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bookmarkStart w:id="3" w:name="_GoBack"/>
      <w:bookmarkEnd w:id="3"/>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怀化市公安局交通警察支队</w:t>
      </w: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怀化市公安局交通警察支队</w:t>
      </w:r>
      <w:r>
        <w:rPr>
          <w:rFonts w:ascii="Times New Roman" w:hAnsi="Times New Roman" w:cs="Times New Roman"/>
          <w:bCs/>
          <w:sz w:val="32"/>
          <w:szCs w:val="32"/>
        </w:rPr>
        <w:t>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w:t>
      </w:r>
      <w:r>
        <w:rPr>
          <w:rFonts w:hint="eastAsia" w:ascii="Times New Roman" w:hAnsi="Times New Roman" w:eastAsia="仿宋_GB2312" w:cs="Times New Roman"/>
          <w:color w:val="000000"/>
          <w:kern w:val="0"/>
          <w:sz w:val="32"/>
          <w:szCs w:val="32"/>
          <w:lang w:eastAsia="zh-CN"/>
        </w:rPr>
        <w:t>收入</w:t>
      </w:r>
      <w:r>
        <w:rPr>
          <w:rFonts w:ascii="Times New Roman" w:hAnsi="Times New Roman" w:eastAsia="仿宋_GB2312" w:cs="Times New Roman"/>
          <w:color w:val="000000"/>
          <w:kern w:val="0"/>
          <w:sz w:val="32"/>
          <w:szCs w:val="32"/>
        </w:rPr>
        <w:t>支出决算情况</w:t>
      </w:r>
    </w:p>
    <w:p>
      <w:pPr>
        <w:autoSpaceDE w:val="0"/>
        <w:autoSpaceDN w:val="0"/>
        <w:adjustRightInd w:val="0"/>
        <w:spacing w:line="600" w:lineRule="exact"/>
        <w:jc w:val="left"/>
      </w:pPr>
      <w:r>
        <w:rPr>
          <w:rFonts w:ascii="Times New Roman" w:hAnsi="Times New Roman" w:eastAsia="仿宋_GB2312" w:cs="Times New Roman"/>
          <w:color w:val="000000"/>
          <w:kern w:val="0"/>
          <w:sz w:val="32"/>
          <w:szCs w:val="32"/>
        </w:rPr>
        <w:t>十、关于机关运行经费支出说明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ascii="Times New Roman" w:hAnsi="Times New Roman" w:eastAsia="仿宋_GB2312" w:cs="Times New Roman"/>
          <w:sz w:val="32"/>
          <w:szCs w:val="32"/>
        </w:rPr>
        <w:t>二</w:t>
      </w:r>
      <w:r>
        <w:rPr>
          <w:rFonts w:ascii="Times New Roman" w:hAnsi="Times New Roman" w:eastAsia="仿宋_GB2312" w:cs="Times New Roman"/>
          <w:color w:val="000000"/>
          <w:kern w:val="0"/>
          <w:sz w:val="32"/>
          <w:szCs w:val="32"/>
        </w:rPr>
        <w:t>、关于政府采购支出说明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怀化市公安局交通警察支队</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numPr>
          <w:ilvl w:val="0"/>
          <w:numId w:val="1"/>
        </w:num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怀化市公安局交通警察支队（以下简称市交警支队）是行政单位。</w:t>
      </w:r>
    </w:p>
    <w:p>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主要工作职责：贯彻执行国家有关道路交通安全、管理的法律、法规和政策；研究拟订全市道路交通安全管理的发展战略和政策性措施。组织开展公安交警思想政治工作和队伍建设，制定并落实民警教育培训制度；协助县（市、区）公安局党委管理交警大队的领导班子；组织开展公安交警工作宣传报道和交通安全宣传教育活动。落实公安机关党风廉政建设相关要求，配合有关部门查处民警违法违纪案件；组织实施交警队伍警务督察工作。承担支队交通管理经费的核算和管理工作；承担支队预算收入和罚没款物的稽查和审核；承担支队国有资产的监督管理工作。组织、监督开展公安交通管理的执法工作。组织实施全市道路交通事故的预防和处理工作；指导并落实基层交通安全组织建设。承担全市机动车辆安全检测、牌证发生工作；承担全市机动车考验员证、检验员证、教练员证的申请、受理、审核、上报和管理工作；承担全市机动车辆和非机动车辆的道路交通管理工作；按职责权限对机动车改装、改型、修理厂家实施安全技术监督；指导并监督全市机动车驾驶员培训单位的工作；依法对全市农机部门牌证发生工作实行管理和监督。承担全市机动车驾驶员的考试、发证等管理工作。组织实施全市道路交通管理科学技术的规划、研究及成果推广应用工作。参与研究城市建设、道路交通和安全设施的规划；承担怀化城区道路交通安全设施建设；参与道路交通安全设施的监督、管理，依法打击破坏道路交通安全设施等违法犯罪活动；承担对涉及交通安全、交通秩序的停车场（库）、车辆停靠点的规范建设和挖掘、占用道路审批管理工作。依法实施道路交通安全违法行为的处罚工作。组织实施全市客运车辆及重点车辆的户籍化管理工作。承担怀化城区的道路交通安全和秩序管理工作；配合有关部门实施重大交通警（保）卫工作；组织开展公路巡逻执法活动和处置重大突发性事件；协同其他警种维护道路治安秩序，打击车匪路霸。按照有关规定，负责或协助管理全市高速公路的交通秩序、治安秩序和交通安全工作。承办市人民政府和市公安局交办的其他事项。</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怀化市公安局交通警察支队</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办公室、交通管理指挥中心、政工科、宣传教育科、警务保障科、法制科、交通安全管理科、车辆管理所、驾驶人考试管理所、交通科技管理科、交通设施管理科、道路交通安全违法处罚科、重点车辆监管所、工会、事故社会救助基金管理、事故处理大队、二大队、特勤大队，监察室单设，下设3个直属机构，直属一大队、直属三大队、直属四大队。</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怀化市公安局交通警察支队</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怀化市公安局交通警察支队</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r>
        <w:rPr>
          <w:rFonts w:hint="eastAsia" w:ascii="Times New Roman" w:hAnsi="Times New Roman" w:eastAsia="方正小标宋_GBK" w:cs="Times New Roman"/>
          <w:bCs/>
          <w:sz w:val="52"/>
          <w:szCs w:val="52"/>
        </w:rPr>
        <w:t>怀化市公安局交通警察支队</w:t>
      </w:r>
      <w:r>
        <w:rPr>
          <w:rFonts w:ascii="Times New Roman" w:hAnsi="Times New Roman" w:eastAsia="方正小标宋_GBK" w:cs="Times New Roman"/>
          <w:sz w:val="52"/>
          <w:szCs w:val="52"/>
        </w:rPr>
        <w:t>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Ind w:w="0" w:type="dxa"/>
        <w:tblLayout w:type="fixed"/>
        <w:tblCellMar>
          <w:top w:w="0" w:type="dxa"/>
          <w:left w:w="108" w:type="dxa"/>
          <w:bottom w:w="0" w:type="dxa"/>
          <w:right w:w="108" w:type="dxa"/>
        </w:tblCellMar>
      </w:tblPr>
      <w:tblGrid>
        <w:gridCol w:w="5628"/>
        <w:gridCol w:w="830"/>
        <w:gridCol w:w="1403"/>
        <w:gridCol w:w="4738"/>
        <w:gridCol w:w="830"/>
        <w:gridCol w:w="1467"/>
      </w:tblGrid>
      <w:tr>
        <w:tblPrEx>
          <w:tblLayout w:type="fixed"/>
          <w:tblCellMar>
            <w:top w:w="0" w:type="dxa"/>
            <w:left w:w="108" w:type="dxa"/>
            <w:bottom w:w="0" w:type="dxa"/>
            <w:right w:w="108" w:type="dxa"/>
          </w:tblCellMar>
        </w:tblPrEx>
        <w:trPr>
          <w:trHeight w:val="340" w:hRule="exact"/>
          <w:jc w:val="center"/>
        </w:trPr>
        <w:tc>
          <w:tcPr>
            <w:tcW w:w="78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12556.08</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一、一般公共服务支出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32</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二、外交支出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33</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三、国防支出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34</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四、公共安全支出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35</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11,469.83</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五、教育支出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36</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六、科学技术支出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37</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七、文化旅游体育与传媒支出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38</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八、社会保障和就业支出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39</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九、卫生健康支出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十、节能环保支出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41</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十一、城乡社区支出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42</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十二、农林水支出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43</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13</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十三、交通运输支出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44</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14</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十四、资源勘探工业信息等支出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45</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十五、商业服务业等支出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46</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16</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十六、金融支出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47</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17</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十七、援助其他地区支出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48</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十八、自然资源海洋气象等支出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49</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19</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十九、住房保障支出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二十、粮油物资储备支出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51</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二十一、国有资本经营预算支出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52</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二十二、灾害防治及应急管理支出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53</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kern w:val="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23</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二十三、其他支出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54</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kern w:val="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24</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二十四、债务还本支出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55</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kern w:val="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二十五、债务付息支出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56</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kern w:val="0"/>
                <w:sz w:val="22"/>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26</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二十六、抗疫特别国债安排的支出</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57</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27</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12556.08</w:t>
            </w: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58</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12556.08</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59</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29</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c>
          <w:tcPr>
            <w:tcW w:w="4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60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w:t>
            </w:r>
          </w:p>
        </w:tc>
      </w:tr>
      <w:tr>
        <w:tblPrEx>
          <w:tblLayout w:type="fixed"/>
          <w:tblCellMar>
            <w:top w:w="0" w:type="dxa"/>
            <w:left w:w="108" w:type="dxa"/>
            <w:bottom w:w="0" w:type="dxa"/>
            <w:right w:w="108" w:type="dxa"/>
          </w:tblCellMar>
        </w:tblPrEx>
        <w:trPr>
          <w:trHeight w:val="340" w:hRule="exact"/>
          <w:jc w:val="center"/>
        </w:trPr>
        <w:tc>
          <w:tcPr>
            <w:tcW w:w="5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ascii="Times New Roman" w:hAnsi="Times New Roman" w:eastAsia="仿宋_GB2312" w:cs="Times New Roman"/>
                <w:color w:val="000000"/>
                <w:sz w:val="22"/>
              </w:rPr>
              <w:t>12556.08</w:t>
            </w:r>
          </w:p>
        </w:tc>
        <w:tc>
          <w:tcPr>
            <w:tcW w:w="4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61</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ascii="Times New Roman" w:hAnsi="Times New Roman" w:eastAsia="仿宋_GB2312" w:cs="Times New Roman"/>
                <w:color w:val="000000"/>
                <w:sz w:val="22"/>
              </w:rPr>
              <w:t>12556.08</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公开02表</w:t>
      </w:r>
    </w:p>
    <w:p>
      <w:pPr>
        <w:tabs>
          <w:tab w:val="left" w:pos="630"/>
          <w:tab w:val="left" w:pos="2100"/>
          <w:tab w:val="right" w:pos="14004"/>
        </w:tabs>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bCs/>
          <w:color w:val="000000"/>
          <w:kern w:val="0"/>
          <w:sz w:val="20"/>
          <w:szCs w:val="20"/>
        </w:rPr>
        <w:tab/>
      </w:r>
      <w:r>
        <w:rPr>
          <w:rFonts w:ascii="Times New Roman" w:hAnsi="Times New Roman" w:eastAsia="仿宋_GB2312" w:cs="Times New Roman"/>
          <w:color w:val="000000"/>
          <w:sz w:val="20"/>
          <w:szCs w:val="20"/>
        </w:rPr>
        <w:t>单位：万元</w:t>
      </w:r>
    </w:p>
    <w:tbl>
      <w:tblPr>
        <w:tblStyle w:val="8"/>
        <w:tblW w:w="14666" w:type="dxa"/>
        <w:jc w:val="center"/>
        <w:tblInd w:w="0" w:type="dxa"/>
        <w:tblLayout w:type="fixed"/>
        <w:tblCellMar>
          <w:top w:w="0" w:type="dxa"/>
          <w:left w:w="0" w:type="dxa"/>
          <w:bottom w:w="0" w:type="dxa"/>
          <w:right w:w="0" w:type="dxa"/>
        </w:tblCellMar>
      </w:tblPr>
      <w:tblGrid>
        <w:gridCol w:w="1040"/>
        <w:gridCol w:w="2146"/>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4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0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146"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12,556.08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12,556.08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20103</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2010302</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2019999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11,469.83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11,469.83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公安</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11,454.83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11,454.83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2040201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2040202</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2040220</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执法办案</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其他公安支出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3,629.91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3,629.91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2049999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20805</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2080505</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21011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2101101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2149999</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22102</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0" w:type="dxa"/>
            <w:bottom w:w="0" w:type="dxa"/>
            <w:right w:w="0" w:type="dxa"/>
          </w:tblCellMar>
        </w:tblPrEx>
        <w:trPr>
          <w:trHeight w:val="450" w:hRule="atLeast"/>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2210201</w:t>
            </w:r>
          </w:p>
        </w:tc>
        <w:tc>
          <w:tcPr>
            <w:tcW w:w="2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14212" w:type="dxa"/>
        <w:jc w:val="center"/>
        <w:tblInd w:w="0" w:type="dxa"/>
        <w:tblLayout w:type="fixed"/>
        <w:tblCellMar>
          <w:top w:w="0" w:type="dxa"/>
          <w:left w:w="108" w:type="dxa"/>
          <w:bottom w:w="0" w:type="dxa"/>
          <w:right w:w="108" w:type="dxa"/>
        </w:tblCellMar>
      </w:tblPr>
      <w:tblGrid>
        <w:gridCol w:w="1035"/>
        <w:gridCol w:w="3957"/>
        <w:gridCol w:w="1671"/>
        <w:gridCol w:w="1128"/>
        <w:gridCol w:w="1128"/>
        <w:gridCol w:w="1671"/>
        <w:gridCol w:w="1128"/>
        <w:gridCol w:w="2494"/>
      </w:tblGrid>
      <w:tr>
        <w:tblPrEx>
          <w:tblLayout w:type="fixed"/>
          <w:tblCellMar>
            <w:top w:w="0" w:type="dxa"/>
            <w:left w:w="108" w:type="dxa"/>
            <w:bottom w:w="0" w:type="dxa"/>
            <w:right w:w="108" w:type="dxa"/>
          </w:tblCellMar>
        </w:tblPrEx>
        <w:trPr>
          <w:trHeight w:val="595" w:hRule="atLeast"/>
          <w:jc w:val="center"/>
        </w:trPr>
        <w:tc>
          <w:tcPr>
            <w:tcW w:w="499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1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1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1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4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0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9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95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54" w:hRule="atLeast"/>
          <w:jc w:val="center"/>
        </w:trPr>
        <w:tc>
          <w:tcPr>
            <w:tcW w:w="49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67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128"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28"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7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128"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49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454" w:hRule="atLeast"/>
          <w:jc w:val="center"/>
        </w:trPr>
        <w:tc>
          <w:tcPr>
            <w:tcW w:w="49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12,556.08</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7,694.57</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4,861.51</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一般公共服务支出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7.60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20103</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政府办公厅（室）及相关机构事务</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2010302</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一般行政管理事务</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20199</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其他一般公共服务支出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2019999</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其他一般公共服务支出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5.60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公共安全支出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11,469.83</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4,757.91</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公安</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11,454.83</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4,742.91</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2040201</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行政运行</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6,711.93</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2040202</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一般行政管理事务</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2040220</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执法办案</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1,043.00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2040299</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其他公安支出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3,629.91</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3,629.91</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20499</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其他公共安全支出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2049999</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其他公共安全支出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社会保障和就业支出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20805</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行政事业单位养老支出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2080505</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机关事业单位基本养老保险缴费支出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474.81</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卫生健康支出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21011</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行政事业单位医疗</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2101101</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行政单位医疗</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185.46</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交通运输支出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21499</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其他交通运输支出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2149999</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其他交通运输支出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96.00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住房保障支出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22102</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住房改革支出</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r>
        <w:tblPrEx>
          <w:tblLayout w:type="fixed"/>
          <w:tblCellMar>
            <w:top w:w="0" w:type="dxa"/>
            <w:left w:w="108" w:type="dxa"/>
            <w:bottom w:w="0" w:type="dxa"/>
            <w:right w:w="108" w:type="dxa"/>
          </w:tblCellMar>
        </w:tblPrEx>
        <w:trPr>
          <w:trHeight w:val="454" w:hRule="atLeast"/>
          <w:jc w:val="center"/>
        </w:trPr>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2210201</w:t>
            </w:r>
          </w:p>
        </w:tc>
        <w:tc>
          <w:tcPr>
            <w:tcW w:w="3957" w:type="dxa"/>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 xml:space="preserve">  住房公积金</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322.38</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671"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28"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249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pStyle w:val="2"/>
      </w:pPr>
    </w:p>
    <w:p>
      <w:pPr>
        <w:pStyle w:val="3"/>
        <w:ind w:firstLine="480"/>
      </w:pPr>
    </w:p>
    <w:p/>
    <w:p>
      <w:pPr>
        <w:pStyle w:val="2"/>
      </w:pPr>
    </w:p>
    <w:p>
      <w:pPr>
        <w:pStyle w:val="3"/>
        <w:ind w:firstLine="480"/>
      </w:pPr>
    </w:p>
    <w:p/>
    <w:p>
      <w:pPr>
        <w:pStyle w:val="2"/>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color w:val="000000"/>
          <w:kern w:val="0"/>
          <w:sz w:val="20"/>
          <w:szCs w:val="20"/>
        </w:rPr>
        <w:t>单位：万元</w:t>
      </w:r>
    </w:p>
    <w:tbl>
      <w:tblPr>
        <w:tblStyle w:val="8"/>
        <w:tblW w:w="14218" w:type="dxa"/>
        <w:jc w:val="center"/>
        <w:tblInd w:w="0" w:type="dxa"/>
        <w:tblLayout w:type="fixed"/>
        <w:tblCellMar>
          <w:top w:w="0" w:type="dxa"/>
          <w:left w:w="108" w:type="dxa"/>
          <w:bottom w:w="0" w:type="dxa"/>
          <w:right w:w="108" w:type="dxa"/>
        </w:tblCellMar>
      </w:tblPr>
      <w:tblGrid>
        <w:gridCol w:w="3516"/>
        <w:gridCol w:w="616"/>
        <w:gridCol w:w="1096"/>
        <w:gridCol w:w="3516"/>
        <w:gridCol w:w="616"/>
        <w:gridCol w:w="1096"/>
        <w:gridCol w:w="1450"/>
        <w:gridCol w:w="1128"/>
        <w:gridCol w:w="1184"/>
      </w:tblGrid>
      <w:tr>
        <w:tblPrEx>
          <w:tblLayout w:type="fixed"/>
          <w:tblCellMar>
            <w:top w:w="0" w:type="dxa"/>
            <w:left w:w="108" w:type="dxa"/>
            <w:bottom w:w="0" w:type="dxa"/>
            <w:right w:w="108" w:type="dxa"/>
          </w:tblCellMar>
        </w:tblPrEx>
        <w:trPr>
          <w:trHeight w:val="402" w:hRule="atLeast"/>
          <w:jc w:val="center"/>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990"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12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7.60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7.60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34</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11,469.83</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11,469.83</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37</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38</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39</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40</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41</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十、节能环保支出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44</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45</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十四、资源勘探工业信息等支出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46</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十五、商业服务业等支出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十六、金融支出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17</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十七、援助其他地区支出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49</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十八、自然资源海洋气象等支出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50</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19</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十九、住房保障支出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51</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二十、粮油物资储备支出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52</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二十一、国有资本经营预算支出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二十二、灾害防治及应急管理支出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二十三、其他支出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55</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24</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二十四、债务还本支出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25</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二十五、债务付息支出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57</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3516" w:type="dxa"/>
            <w:tcBorders>
              <w:top w:val="nil"/>
              <w:left w:val="nil"/>
              <w:bottom w:val="single" w:color="auto" w:sz="4" w:space="0"/>
              <w:right w:val="single" w:color="auto" w:sz="4" w:space="0"/>
            </w:tcBorders>
            <w:shd w:val="clear" w:color="auto" w:fill="auto"/>
            <w:noWrap/>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二十六、抗疫特别国债安排的支出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58</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3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59</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28</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5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61</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62</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31</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5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63</w:t>
            </w:r>
          </w:p>
        </w:tc>
        <w:tc>
          <w:tcPr>
            <w:tcW w:w="10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4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w:t>
            </w:r>
          </w:p>
        </w:tc>
        <w:tc>
          <w:tcPr>
            <w:tcW w:w="109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35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64</w:t>
            </w:r>
          </w:p>
        </w:tc>
        <w:tc>
          <w:tcPr>
            <w:tcW w:w="1096" w:type="dxa"/>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1450" w:type="dxa"/>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12,556.08</w:t>
            </w:r>
          </w:p>
        </w:tc>
        <w:tc>
          <w:tcPr>
            <w:tcW w:w="112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pStyle w:val="2"/>
      </w:pPr>
    </w:p>
    <w:p>
      <w:pPr>
        <w:pStyle w:val="3"/>
        <w:ind w:firstLine="480"/>
      </w:pPr>
    </w:p>
    <w:p/>
    <w:p>
      <w:pPr>
        <w:pStyle w:val="2"/>
      </w:pPr>
    </w:p>
    <w:p>
      <w:pPr>
        <w:pStyle w:val="3"/>
        <w:ind w:firstLine="480"/>
      </w:pPr>
    </w:p>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12,556.08</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7,694.57</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b/>
                <w:kern w:val="0"/>
                <w:sz w:val="22"/>
              </w:rPr>
            </w:pPr>
            <w:r>
              <w:rPr>
                <w:rFonts w:hint="eastAsia" w:ascii="Times New Roman" w:hAnsi="Times New Roman" w:eastAsia="仿宋_GB2312" w:cs="Times New Roman"/>
                <w:b/>
                <w:kern w:val="0"/>
                <w:sz w:val="22"/>
              </w:rPr>
              <w:t>4,861.51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7.60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20103</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2010302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2019999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公共安全支出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11,469.83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6,711.93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4,757.91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公安</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11,454.83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6,711.93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4,742.91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6,711.93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6,711.93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2040220</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执法办案</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1,043.00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2040299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其他公安支出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3,629.91</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3,629.91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其他公共安全支出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2049999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其他公共安全支出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208</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20805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2080505</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474.81</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210</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卫生健康支出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21011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2101101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185.46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214</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交通运输支出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21499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其他交通运输支出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2149999</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其他交通运输支出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96.00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住房保障支出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22102</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住房改革支出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2210201</w:t>
            </w:r>
          </w:p>
        </w:tc>
        <w:tc>
          <w:tcPr>
            <w:tcW w:w="3527"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322.38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pPr>
        <w:widowControl/>
        <w:tabs>
          <w:tab w:val="left" w:pos="584"/>
          <w:tab w:val="right" w:pos="14004"/>
        </w:tabs>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8"/>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459"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6,730.25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761.45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3,594.61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17.82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1,010.53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1.70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884.37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1.01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1.41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1.01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472.07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14.68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1.20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234.99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41.38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408.81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3.94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123.13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201.86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0.89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15.90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2.25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0.35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2.10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14.22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8.18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322.31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29.31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Layout w:type="fixed"/>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1.81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206.81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185.54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9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91.52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307"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6932.11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公用经费合计　</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762.46</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215" w:type="dxa"/>
        <w:tblInd w:w="0" w:type="dxa"/>
        <w:tblLayout w:type="fixed"/>
        <w:tblCellMar>
          <w:top w:w="0" w:type="dxa"/>
          <w:left w:w="108" w:type="dxa"/>
          <w:bottom w:w="0" w:type="dxa"/>
          <w:right w:w="108" w:type="dxa"/>
        </w:tblCellMar>
      </w:tblPr>
      <w:tblGrid>
        <w:gridCol w:w="3093"/>
        <w:gridCol w:w="3097"/>
        <w:gridCol w:w="1831"/>
        <w:gridCol w:w="3097"/>
        <w:gridCol w:w="3097"/>
      </w:tblGrid>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bCs/>
          <w:color w:val="000000"/>
          <w:kern w:val="0"/>
          <w:sz w:val="20"/>
          <w:szCs w:val="20"/>
        </w:rPr>
        <w:t>怀化市公安局交通警察支队</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14542" w:type="dxa"/>
        <w:jc w:val="center"/>
        <w:tblInd w:w="0" w:type="dxa"/>
        <w:tblLayout w:type="fixed"/>
        <w:tblCellMar>
          <w:top w:w="0" w:type="dxa"/>
          <w:left w:w="108" w:type="dxa"/>
          <w:bottom w:w="0" w:type="dxa"/>
          <w:right w:w="108" w:type="dxa"/>
        </w:tblCellMar>
      </w:tblPr>
      <w:tblGrid>
        <w:gridCol w:w="934"/>
        <w:gridCol w:w="1227"/>
        <w:gridCol w:w="1085"/>
        <w:gridCol w:w="1187"/>
        <w:gridCol w:w="1425"/>
        <w:gridCol w:w="1376"/>
        <w:gridCol w:w="1050"/>
        <w:gridCol w:w="1166"/>
        <w:gridCol w:w="1166"/>
        <w:gridCol w:w="1166"/>
        <w:gridCol w:w="1358"/>
        <w:gridCol w:w="1402"/>
      </w:tblGrid>
      <w:tr>
        <w:tblPrEx>
          <w:tblLayout w:type="fixed"/>
          <w:tblCellMar>
            <w:top w:w="0" w:type="dxa"/>
            <w:left w:w="108" w:type="dxa"/>
            <w:bottom w:w="0" w:type="dxa"/>
            <w:right w:w="108" w:type="dxa"/>
          </w:tblCellMar>
        </w:tblPrEx>
        <w:trPr>
          <w:trHeight w:val="606" w:hRule="atLeast"/>
          <w:jc w:val="center"/>
        </w:trPr>
        <w:tc>
          <w:tcPr>
            <w:tcW w:w="7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223.19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220.94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220.94</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223.19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220.94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220.94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2.25</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021" w:right="1418" w:bottom="1134" w:left="1418"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rPr>
        <w:t>减少858.84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6.4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项目经费减少。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万元，其中：基本支出7694.57万元，占</w:t>
      </w:r>
      <w:r>
        <w:rPr>
          <w:rFonts w:hint="eastAsia" w:ascii="Times New Roman" w:hAnsi="Times New Roman" w:eastAsia="仿宋_GB2312" w:cs="Times New Roman"/>
          <w:sz w:val="32"/>
          <w:szCs w:val="32"/>
        </w:rPr>
        <w:t>61.28</w:t>
      </w:r>
      <w:r>
        <w:rPr>
          <w:rFonts w:ascii="Times New Roman" w:hAnsi="Times New Roman" w:eastAsia="仿宋_GB2312" w:cs="Times New Roman"/>
          <w:sz w:val="32"/>
          <w:szCs w:val="32"/>
        </w:rPr>
        <w:t>%；项目支出4861.51万元，占</w:t>
      </w:r>
      <w:r>
        <w:rPr>
          <w:rFonts w:hint="eastAsia" w:ascii="Times New Roman" w:hAnsi="Times New Roman" w:eastAsia="仿宋_GB2312" w:cs="Times New Roman"/>
          <w:sz w:val="32"/>
          <w:szCs w:val="32"/>
        </w:rPr>
        <w:t>38.72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rPr>
        <w:t>减少858.84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6.4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项目经费减少。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rPr>
        <w:t>减少858.84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6.4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项目经费减少。</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一般公共服务（类）支出7.6万元，占0.06%；公共安全支出</w:t>
      </w:r>
      <w:r>
        <w:rPr>
          <w:rFonts w:ascii="Times New Roman" w:hAnsi="Times New Roman" w:eastAsia="仿宋_GB2312" w:cs="Times New Roman"/>
          <w:sz w:val="32"/>
          <w:szCs w:val="32"/>
        </w:rPr>
        <w:t>11469.83</w:t>
      </w:r>
      <w:r>
        <w:rPr>
          <w:rFonts w:hint="eastAsia" w:ascii="Times New Roman" w:hAnsi="Times New Roman" w:eastAsia="仿宋_GB2312" w:cs="Times New Roman"/>
          <w:sz w:val="32"/>
          <w:szCs w:val="32"/>
        </w:rPr>
        <w:t>万元，占91.35%；社会保障和就业支出</w:t>
      </w:r>
      <w:r>
        <w:rPr>
          <w:rFonts w:ascii="Times New Roman" w:hAnsi="Times New Roman" w:eastAsia="仿宋_GB2312" w:cs="Times New Roman"/>
          <w:sz w:val="32"/>
          <w:szCs w:val="32"/>
        </w:rPr>
        <w:t>474.81</w:t>
      </w:r>
      <w:r>
        <w:rPr>
          <w:rFonts w:hint="eastAsia" w:ascii="Times New Roman" w:hAnsi="Times New Roman" w:eastAsia="仿宋_GB2312" w:cs="Times New Roman"/>
          <w:sz w:val="32"/>
          <w:szCs w:val="32"/>
        </w:rPr>
        <w:t>万元，占3.78%；卫生健康支出</w:t>
      </w:r>
      <w:r>
        <w:rPr>
          <w:rFonts w:ascii="Times New Roman" w:hAnsi="Times New Roman" w:eastAsia="仿宋_GB2312" w:cs="Times New Roman"/>
          <w:sz w:val="32"/>
          <w:szCs w:val="32"/>
        </w:rPr>
        <w:t>185.46</w:t>
      </w:r>
      <w:r>
        <w:rPr>
          <w:rFonts w:hint="eastAsia" w:ascii="Times New Roman" w:hAnsi="Times New Roman" w:eastAsia="仿宋_GB2312" w:cs="Times New Roman"/>
          <w:sz w:val="32"/>
          <w:szCs w:val="32"/>
        </w:rPr>
        <w:t>万元，占1.48%；交通运输支出</w:t>
      </w:r>
      <w:r>
        <w:rPr>
          <w:rFonts w:ascii="Times New Roman" w:hAnsi="Times New Roman" w:eastAsia="仿宋_GB2312" w:cs="Times New Roman"/>
          <w:sz w:val="32"/>
          <w:szCs w:val="32"/>
        </w:rPr>
        <w:t>96</w:t>
      </w:r>
      <w:r>
        <w:rPr>
          <w:rFonts w:hint="eastAsia" w:ascii="Times New Roman" w:hAnsi="Times New Roman" w:eastAsia="仿宋_GB2312" w:cs="Times New Roman"/>
          <w:sz w:val="32"/>
          <w:szCs w:val="32"/>
        </w:rPr>
        <w:t>.00万元，占0.76%；住房保障支出</w:t>
      </w:r>
      <w:r>
        <w:rPr>
          <w:rFonts w:ascii="Times New Roman" w:hAnsi="Times New Roman" w:eastAsia="仿宋_GB2312" w:cs="Times New Roman"/>
          <w:sz w:val="32"/>
          <w:szCs w:val="32"/>
        </w:rPr>
        <w:t>322.38</w:t>
      </w:r>
      <w:r>
        <w:rPr>
          <w:rFonts w:hint="eastAsia" w:ascii="Times New Roman" w:hAnsi="Times New Roman" w:eastAsia="仿宋_GB2312" w:cs="Times New Roman"/>
          <w:sz w:val="32"/>
          <w:szCs w:val="32"/>
        </w:rPr>
        <w:t>万元，占2.57%。</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2024年度财政拨款支出年初预算数为10880</w:t>
      </w:r>
      <w:r>
        <w:rPr>
          <w:rFonts w:hint="eastAsia" w:ascii="Times New Roman" w:hAnsi="Times New Roman" w:eastAsia="仿宋_GB2312" w:cs="Times New Roman"/>
          <w:sz w:val="32"/>
          <w:szCs w:val="32"/>
        </w:rPr>
        <w:t>.72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12556.08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201（类）03（款）02（项）</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rPr>
        <w:t>.00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本年度</w:t>
      </w:r>
      <w:r>
        <w:rPr>
          <w:rFonts w:hint="eastAsia" w:ascii="Times New Roman" w:hAnsi="Times New Roman" w:eastAsia="仿宋_GB2312" w:cs="Times New Roman"/>
          <w:sz w:val="32"/>
          <w:szCs w:val="32"/>
          <w:lang w:eastAsia="zh-CN"/>
        </w:rPr>
        <w:t>发生了资产处置评估费</w:t>
      </w:r>
      <w:r>
        <w:rPr>
          <w:rFonts w:hint="eastAsia" w:ascii="Times New Roman" w:hAnsi="Times New Roman" w:eastAsia="仿宋_GB2312" w:cs="Times New Roman"/>
          <w:sz w:val="32"/>
          <w:szCs w:val="32"/>
        </w:rPr>
        <w:t>，而年初预算未纳入。</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rPr>
        <w:t>支出201</w:t>
      </w:r>
      <w:r>
        <w:rPr>
          <w:rFonts w:ascii="Times New Roman" w:hAnsi="Times New Roman" w:eastAsia="仿宋_GB2312" w:cs="Times New Roman"/>
          <w:sz w:val="32"/>
          <w:szCs w:val="32"/>
        </w:rPr>
        <w:t>（类）99（款）99（项）</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本年度</w:t>
      </w:r>
      <w:r>
        <w:rPr>
          <w:rFonts w:hint="eastAsia" w:ascii="Times New Roman" w:hAnsi="Times New Roman" w:eastAsia="仿宋_GB2312" w:cs="Times New Roman"/>
          <w:sz w:val="32"/>
          <w:szCs w:val="32"/>
          <w:lang w:eastAsia="zh-CN"/>
        </w:rPr>
        <w:t>发生了</w:t>
      </w:r>
      <w:r>
        <w:rPr>
          <w:rFonts w:hint="eastAsia" w:ascii="Times New Roman" w:hAnsi="Times New Roman" w:eastAsia="仿宋_GB2312" w:cs="Times New Roman"/>
          <w:sz w:val="32"/>
          <w:szCs w:val="32"/>
        </w:rPr>
        <w:t>其他一般公共服务支出，而年初预算未纳入。</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3、公共安全支出204</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02</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01</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6766.08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6711.93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99.20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厉行节约，进一步加强内控管理。</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4、公共安全支出204（类）02（款）02（项）：一般行政管理事务。</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年初预算为0万元，支出决算为70.00万元，完成年初预算的100%，决算数大于年初预算数的主要原因是：本年度</w:t>
      </w:r>
      <w:r>
        <w:rPr>
          <w:rFonts w:hint="eastAsia" w:ascii="Times New Roman" w:hAnsi="Times New Roman" w:eastAsia="仿宋_GB2312" w:cs="Times New Roman"/>
          <w:sz w:val="32"/>
          <w:szCs w:val="32"/>
          <w:lang w:eastAsia="zh-CN"/>
        </w:rPr>
        <w:t>发生了</w:t>
      </w:r>
      <w:r>
        <w:rPr>
          <w:rFonts w:hint="eastAsia" w:ascii="Times New Roman" w:hAnsi="Times New Roman" w:eastAsia="仿宋_GB2312" w:cs="Times New Roman"/>
          <w:sz w:val="32"/>
          <w:szCs w:val="32"/>
        </w:rPr>
        <w:t>行政管理事务</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，而年初预算未纳入。</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5、公共安全支出204（类）02（款）20（项）：执法办案。</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年初预算为0万元，支出决算为1043.00万元，完成年初预算的100%，决算数大于年初预算数的主要原因是：本年度发生了省拨科目三考场经费</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，而年初预算未纳入。</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6、公共安全支出204（类）02（款）99（项）：其他公安支出。</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年初预算为3170.06万元，支出决算为3629.91万元，完成年初预算的100%，决算数大于年初预算数的主要原因是：其他商品服务支出增多，导致经费增加。</w:t>
      </w:r>
    </w:p>
    <w:p>
      <w:pPr>
        <w:pStyle w:val="12"/>
        <w:overflowPunct w:val="0"/>
        <w:autoSpaceDE/>
        <w:autoSpaceDN/>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7、公共安全支出204（类）99（款）99（项）：其他公共安全支出。</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年初预算为0万元，支出决算为15.00万元，完成年初预算的100%，决算数大于年初预算数的主要原因是：其他公共安全支出增多，导致经费增加。</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8、社会保障和就业支出208（类）05（款）05（项）：机关事业单位基本养老保险缴费支出。</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年初预算为428.19万元，支出决算为</w:t>
      </w:r>
      <w:r>
        <w:rPr>
          <w:rFonts w:ascii="Times New Roman" w:hAnsi="Times New Roman" w:eastAsia="仿宋_GB2312" w:cs="Times New Roman"/>
          <w:sz w:val="32"/>
          <w:szCs w:val="32"/>
        </w:rPr>
        <w:t>474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1万元，完成年初预算的100%，决算数大于年初预算数的主要原因是：本年度</w:t>
      </w:r>
      <w:r>
        <w:rPr>
          <w:rFonts w:hint="eastAsia" w:ascii="Times New Roman" w:hAnsi="Times New Roman" w:eastAsia="仿宋_GB2312" w:cs="Times New Roman"/>
          <w:sz w:val="32"/>
          <w:szCs w:val="32"/>
          <w:lang w:eastAsia="zh-CN"/>
        </w:rPr>
        <w:t>因有工资调整，</w:t>
      </w:r>
      <w:r>
        <w:rPr>
          <w:rFonts w:hint="eastAsia" w:ascii="Times New Roman" w:hAnsi="Times New Roman" w:eastAsia="仿宋_GB2312" w:cs="Times New Roman"/>
          <w:sz w:val="32"/>
          <w:szCs w:val="32"/>
        </w:rPr>
        <w:t>机关事业单位基本养老保险缴费增加，年初预算未完全纳入。</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9、卫生健康支出210（类）11（款）01（项）：行政单位医疗。</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年初预算为181.01万元，支出决算为</w:t>
      </w:r>
      <w:r>
        <w:rPr>
          <w:rFonts w:ascii="Times New Roman" w:hAnsi="Times New Roman" w:eastAsia="仿宋_GB2312" w:cs="Times New Roman"/>
          <w:sz w:val="32"/>
          <w:szCs w:val="32"/>
        </w:rPr>
        <w:t>185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46</w:t>
      </w:r>
      <w:r>
        <w:rPr>
          <w:rFonts w:hint="eastAsia" w:ascii="Times New Roman" w:hAnsi="Times New Roman" w:eastAsia="仿宋_GB2312" w:cs="Times New Roman"/>
          <w:sz w:val="32"/>
          <w:szCs w:val="32"/>
        </w:rPr>
        <w:t>万元，完成年初预算的100%，决算数大于年初预算数的主要原因是：本年度</w:t>
      </w:r>
      <w:r>
        <w:rPr>
          <w:rFonts w:hint="eastAsia" w:ascii="Times New Roman" w:hAnsi="Times New Roman" w:eastAsia="仿宋_GB2312" w:cs="Times New Roman"/>
          <w:sz w:val="32"/>
          <w:szCs w:val="32"/>
          <w:lang w:eastAsia="zh-CN"/>
        </w:rPr>
        <w:t>因有工资调整，</w:t>
      </w:r>
      <w:r>
        <w:rPr>
          <w:rFonts w:hint="eastAsia" w:ascii="Times New Roman" w:hAnsi="Times New Roman" w:eastAsia="仿宋_GB2312" w:cs="Times New Roman"/>
          <w:sz w:val="32"/>
          <w:szCs w:val="32"/>
        </w:rPr>
        <w:t>职工基本医疗保险缴费增加，年初预算未完全纳入。</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10、交通运输支出214（类）99（款）99（项）：其他交通运输支出。</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年初预算为0万元，支出决算为96.00万元，完成年初预算的100%，决算数大于年初预算数的主要原因是：</w:t>
      </w:r>
      <w:r>
        <w:rPr>
          <w:rFonts w:hint="eastAsia" w:ascii="Times New Roman" w:hAnsi="Times New Roman" w:eastAsia="仿宋_GB2312" w:cs="Times New Roman"/>
          <w:sz w:val="32"/>
          <w:szCs w:val="32"/>
          <w:lang w:eastAsia="zh-CN"/>
        </w:rPr>
        <w:t>本年度发生了交通顽瘴痼疾整治经费支出，而</w:t>
      </w:r>
      <w:r>
        <w:rPr>
          <w:rFonts w:hint="eastAsia" w:ascii="Times New Roman" w:hAnsi="Times New Roman" w:eastAsia="仿宋_GB2312" w:cs="Times New Roman"/>
          <w:sz w:val="32"/>
          <w:szCs w:val="32"/>
        </w:rPr>
        <w:t>年初未纳入预算。</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11、住房保障支出221（类）02（款）01（项）：住房公积金。</w:t>
      </w:r>
    </w:p>
    <w:p>
      <w:pPr>
        <w:pStyle w:val="12"/>
        <w:overflowPunct w:val="0"/>
        <w:autoSpaceDE/>
        <w:autoSpaceDN/>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年初预算为335.37万元，支出决算为</w:t>
      </w:r>
      <w:r>
        <w:rPr>
          <w:rFonts w:ascii="Times New Roman" w:hAnsi="Times New Roman" w:eastAsia="仿宋_GB2312" w:cs="Times New Roman"/>
          <w:sz w:val="32"/>
          <w:szCs w:val="32"/>
        </w:rPr>
        <w:t>322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8万元，完成年初预算的96.13%，决算数小于年初预算数的主要原因是：本年度有人员减少，</w:t>
      </w:r>
      <w:r>
        <w:rPr>
          <w:rFonts w:hint="eastAsia" w:ascii="Times New Roman" w:hAnsi="Times New Roman" w:eastAsia="仿宋_GB2312" w:cs="Times New Roman"/>
          <w:sz w:val="32"/>
          <w:szCs w:val="32"/>
          <w:lang w:eastAsia="zh-CN"/>
        </w:rPr>
        <w:t>住房公积金支出</w:t>
      </w:r>
      <w:r>
        <w:rPr>
          <w:rFonts w:hint="eastAsia" w:ascii="Times New Roman" w:hAnsi="Times New Roman" w:eastAsia="仿宋_GB2312" w:cs="Times New Roman"/>
          <w:sz w:val="32"/>
          <w:szCs w:val="32"/>
        </w:rPr>
        <w:t>减少。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2024年度一般公共预算财政拨款基本支出7694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57万元，其中：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ascii="Times New Roman" w:hAnsi="Times New Roman" w:eastAsia="仿宋_GB2312" w:cs="Times New Roman"/>
          <w:sz w:val="32"/>
          <w:szCs w:val="32"/>
        </w:rPr>
        <w:t>6730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25万元，占基本支出的</w:t>
      </w:r>
      <w:r>
        <w:rPr>
          <w:rFonts w:hint="eastAsia" w:ascii="Times New Roman" w:hAnsi="Times New Roman" w:eastAsia="仿宋_GB2312" w:cs="Times New Roman"/>
          <w:sz w:val="32"/>
          <w:szCs w:val="32"/>
        </w:rPr>
        <w:t>87.47</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基本工资、津贴补贴、奖金、伙食补助费、机关事业单位基本养老保险缴费、职工基本医疗保险缴费、其他工资福利支出、抚恤金、生活补助、其他对个人和家庭的补助。</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964.32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12.53</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咨询费、水费、电费、邮电费、差旅费、维修（护）费、会议费、培训费、公务接待费、专用材料费、劳务费、委托业务费、工会经费、福利费、公务用车运行维护费、其他交通费用、其他商品和服务支出、办公设备购置。</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222.20</w:t>
      </w:r>
      <w:r>
        <w:rPr>
          <w:rFonts w:ascii="Times New Roman" w:hAnsi="Times New Roman" w:eastAsia="仿宋_GB2312" w:cs="Times New Roman"/>
          <w:sz w:val="32"/>
          <w:szCs w:val="32"/>
        </w:rPr>
        <w:t>万元，支出决算为223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19万元，完成预算的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116.75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34.34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公务用车运行维护费增加</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厉行节约，严格控制“三公”经费支出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决算数等于年初预算数的主要原因是无因公出国安排。</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218.20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220.94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116.49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34.52</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120.48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218.20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220.94</w:t>
      </w:r>
      <w:r>
        <w:rPr>
          <w:rFonts w:ascii="Times New Roman" w:hAnsi="Times New Roman" w:eastAsia="仿宋_GB2312" w:cs="Times New Roman"/>
          <w:sz w:val="32"/>
          <w:szCs w:val="32"/>
        </w:rPr>
        <w:t>万元，</w:t>
      </w:r>
    </w:p>
    <w:p>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车辆运维费用</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3.99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1.84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本年度“湘商大会”专项开支，车辆运维费用增加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71</w:t>
      </w:r>
      <w:r>
        <w:rPr>
          <w:rFonts w:ascii="Times New Roman" w:hAnsi="Times New Roman" w:eastAsia="仿宋_GB2312" w:cs="Times New Roman"/>
          <w:sz w:val="32"/>
          <w:szCs w:val="32"/>
        </w:rPr>
        <w:t>辆。</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4.00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56.25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0.26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10.36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本单位例行节约</w:t>
      </w:r>
      <w:r>
        <w:rPr>
          <w:rFonts w:ascii="Times New Roman" w:hAnsi="Times New Roman" w:eastAsia="仿宋_GB2312" w:cs="Times New Roman"/>
          <w:sz w:val="32"/>
          <w:szCs w:val="32"/>
        </w:rPr>
        <w:t>。2024年度共接待来访团组27个、来宾179人次，主要是</w:t>
      </w:r>
      <w:r>
        <w:rPr>
          <w:rFonts w:hint="eastAsia" w:ascii="Times New Roman" w:hAnsi="Times New Roman" w:eastAsia="仿宋_GB2312" w:cs="Times New Roman"/>
          <w:sz w:val="32"/>
          <w:szCs w:val="32"/>
        </w:rPr>
        <w:t>公共交通警察业务发生的接待支出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本单位无政府性基金收支。</w:t>
      </w:r>
    </w:p>
    <w:p>
      <w:pPr>
        <w:pStyle w:val="12"/>
        <w:numPr>
          <w:ilvl w:val="0"/>
          <w:numId w:val="2"/>
        </w:numPr>
        <w:overflowPunct w:val="0"/>
        <w:autoSpaceDE/>
        <w:autoSpaceDN/>
        <w:spacing w:line="600" w:lineRule="exact"/>
        <w:ind w:left="-10" w:leftChars="0" w:firstLine="640" w:firstLineChars="0"/>
        <w:jc w:val="both"/>
        <w:rPr>
          <w:rFonts w:ascii="Times New Roman" w:hAnsi="Times New Roman" w:cs="Times New Roman"/>
          <w:bCs/>
          <w:sz w:val="32"/>
          <w:szCs w:val="32"/>
        </w:rPr>
      </w:pPr>
      <w:r>
        <w:rPr>
          <w:rFonts w:hint="eastAsia" w:ascii="Times New Roman" w:hAnsi="Times New Roman" w:cs="Times New Roman"/>
          <w:bCs/>
          <w:sz w:val="32"/>
          <w:szCs w:val="32"/>
        </w:rPr>
        <w:t>国有资本经营预算</w:t>
      </w:r>
      <w:r>
        <w:rPr>
          <w:rFonts w:ascii="Times New Roman" w:hAnsi="Times New Roman" w:cs="Times New Roman"/>
          <w:bCs/>
          <w:sz w:val="32"/>
          <w:szCs w:val="32"/>
        </w:rPr>
        <w:t>收入支出决算情况</w:t>
      </w:r>
    </w:p>
    <w:p>
      <w:pPr>
        <w:pStyle w:val="12"/>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eastAsia="仿宋_GB2312" w:cs="Times New Roman"/>
          <w:sz w:val="32"/>
          <w:szCs w:val="32"/>
        </w:rPr>
        <w:t>本单位无国有资本经营预算收支。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十、关于机关运行经费支出说明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本部门2024年度机关运行经费支出762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46万元，比年初预算数减少</w:t>
      </w:r>
      <w:r>
        <w:rPr>
          <w:rFonts w:hint="eastAsia" w:ascii="Times New Roman" w:hAnsi="Times New Roman" w:eastAsia="仿宋_GB2312" w:cs="Times New Roman"/>
          <w:sz w:val="32"/>
          <w:szCs w:val="32"/>
        </w:rPr>
        <w:t>179.48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19.05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本单位例行节约</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十一、一般性支出情况说明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具体内容涉密不予公开</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15.90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具体内容涉密不予公开</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bCs/>
          <w:color w:val="auto"/>
          <w:sz w:val="32"/>
          <w:szCs w:val="32"/>
        </w:rPr>
        <w:t>二</w:t>
      </w:r>
      <w:r>
        <w:rPr>
          <w:rFonts w:ascii="Times New Roman" w:hAnsi="Times New Roman" w:cs="Times New Roman"/>
          <w:bCs/>
          <w:sz w:val="32"/>
          <w:szCs w:val="32"/>
        </w:rPr>
        <w:t>、关于政府采购支出说明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本部门2024年度政府采购支出总额2945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15万元，其中：政府采购货物支出1334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15万元、政府采购工程支出1611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00万元、政府采购服务支出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万元。授予中小企业合同金额2945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%，其中：授予小微企业合同金额2945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45.30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54.70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71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63</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公务用</w:t>
      </w:r>
      <w:r>
        <w:rPr>
          <w:rFonts w:ascii="Times New Roman" w:hAnsi="Times New Roman" w:eastAsia="仿宋_GB2312" w:cs="Times New Roman"/>
          <w:color w:val="auto"/>
          <w:sz w:val="32"/>
          <w:szCs w:val="32"/>
        </w:rPr>
        <w:t>车；单位价值100万元以上设备</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2"/>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本部门预算绩效管理开展情况、绩效目标和绩效评价报告等按照财政绩效部门要求已公开，见附件。</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b/>
          <w:bCs/>
          <w:color w:val="000000"/>
          <w:kern w:val="0"/>
          <w:sz w:val="32"/>
          <w:szCs w:val="32"/>
        </w:rPr>
        <w:t>机关运行经费。</w:t>
      </w:r>
      <w:r>
        <w:rPr>
          <w:rFonts w:hint="eastAsia" w:ascii="Times New Roman" w:hAnsi="Times New Roman" w:eastAsia="仿宋_GB2312" w:cs="Times New Roman"/>
          <w:color w:val="000000"/>
          <w:kern w:val="0"/>
          <w:sz w:val="32"/>
          <w:szCs w:val="32"/>
        </w:rPr>
        <w:t>为保障行政单位（包括参照公务员管理的事业单位）运行。用一般公共预算拨款安排用于购买货物和服务的各项资金，包括办公及印刷费、邮电费、咨询费、会议费、福利费、日常维修费、办公用房水电费、公务用车维护费等。</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rPr>
        <w:t>二、“三公”经费。</w:t>
      </w:r>
      <w:r>
        <w:rPr>
          <w:rFonts w:hint="eastAsia" w:ascii="Times New Roman" w:hAnsi="Times New Roman" w:eastAsia="仿宋_GB2312" w:cs="Times New Roman"/>
          <w:color w:val="000000"/>
          <w:kern w:val="0"/>
          <w:sz w:val="32"/>
          <w:szCs w:val="32"/>
        </w:rPr>
        <w:t>纳入财政预算管理的“三公”经费，是指用一般公共预算拨款安排的公务接待费、公共用车购置及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rPr>
        <w:t>2024年度怀化市公安局交通警察支队整体支出绩效自评报告。</w:t>
      </w:r>
    </w:p>
    <w:p>
      <w:pPr>
        <w:pStyle w:val="12"/>
        <w:spacing w:line="60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w:t>
      </w:r>
      <w:r>
        <w:rPr>
          <w:rFonts w:hint="eastAsia" w:ascii="Times New Roman" w:hAnsi="Times New Roman" w:eastAsia="仿宋_GB2312" w:cs="Times New Roman"/>
          <w:sz w:val="32"/>
          <w:szCs w:val="32"/>
        </w:rPr>
        <w:t>2024年度怀化市公安局交通警察支队专项资金绩效自评报告。</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hakuyoxingshu7000"/>
    <w:panose1 w:val="00000000000000000000"/>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00DE9"/>
    <w:multiLevelType w:val="singleLevel"/>
    <w:tmpl w:val="A9200DE9"/>
    <w:lvl w:ilvl="0" w:tentative="0">
      <w:start w:val="1"/>
      <w:numFmt w:val="chineseCounting"/>
      <w:suff w:val="nothing"/>
      <w:lvlText w:val="（%1）"/>
      <w:lvlJc w:val="left"/>
      <w:rPr>
        <w:rFonts w:hint="eastAsia"/>
      </w:rPr>
    </w:lvl>
  </w:abstractNum>
  <w:abstractNum w:abstractNumId="1">
    <w:nsid w:val="2BF8CA61"/>
    <w:multiLevelType w:val="singleLevel"/>
    <w:tmpl w:val="2BF8CA61"/>
    <w:lvl w:ilvl="0" w:tentative="0">
      <w:start w:val="9"/>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1214A"/>
    <w:rsid w:val="0002229B"/>
    <w:rsid w:val="000273BD"/>
    <w:rsid w:val="0003620C"/>
    <w:rsid w:val="00040CBC"/>
    <w:rsid w:val="000415B7"/>
    <w:rsid w:val="00041E3F"/>
    <w:rsid w:val="00055DAA"/>
    <w:rsid w:val="00061F7B"/>
    <w:rsid w:val="000658A3"/>
    <w:rsid w:val="00074155"/>
    <w:rsid w:val="00080785"/>
    <w:rsid w:val="000A26F8"/>
    <w:rsid w:val="000A3F69"/>
    <w:rsid w:val="000B20F1"/>
    <w:rsid w:val="000C5742"/>
    <w:rsid w:val="000E4079"/>
    <w:rsid w:val="00103957"/>
    <w:rsid w:val="00152C6D"/>
    <w:rsid w:val="00162D39"/>
    <w:rsid w:val="001678BD"/>
    <w:rsid w:val="00180596"/>
    <w:rsid w:val="00182373"/>
    <w:rsid w:val="001947B4"/>
    <w:rsid w:val="001A67DB"/>
    <w:rsid w:val="001B67D1"/>
    <w:rsid w:val="001C3C29"/>
    <w:rsid w:val="001D2B79"/>
    <w:rsid w:val="001D51E5"/>
    <w:rsid w:val="001E080D"/>
    <w:rsid w:val="001E53D0"/>
    <w:rsid w:val="001F0C3B"/>
    <w:rsid w:val="00202C82"/>
    <w:rsid w:val="00214427"/>
    <w:rsid w:val="00220689"/>
    <w:rsid w:val="00221AFD"/>
    <w:rsid w:val="00221FE1"/>
    <w:rsid w:val="00226CB7"/>
    <w:rsid w:val="00235C3A"/>
    <w:rsid w:val="00252450"/>
    <w:rsid w:val="00264552"/>
    <w:rsid w:val="00264EF9"/>
    <w:rsid w:val="00265724"/>
    <w:rsid w:val="0027426B"/>
    <w:rsid w:val="00296D60"/>
    <w:rsid w:val="002E0A30"/>
    <w:rsid w:val="0030077D"/>
    <w:rsid w:val="003130C4"/>
    <w:rsid w:val="0031609D"/>
    <w:rsid w:val="00316C4B"/>
    <w:rsid w:val="0032192B"/>
    <w:rsid w:val="0033283E"/>
    <w:rsid w:val="00341B06"/>
    <w:rsid w:val="003479BD"/>
    <w:rsid w:val="003676B5"/>
    <w:rsid w:val="0037197D"/>
    <w:rsid w:val="003768D5"/>
    <w:rsid w:val="003926B9"/>
    <w:rsid w:val="003C2E17"/>
    <w:rsid w:val="003C47E6"/>
    <w:rsid w:val="003C4FC2"/>
    <w:rsid w:val="00401F9A"/>
    <w:rsid w:val="004065DD"/>
    <w:rsid w:val="00416E61"/>
    <w:rsid w:val="0042790C"/>
    <w:rsid w:val="004506F9"/>
    <w:rsid w:val="00462315"/>
    <w:rsid w:val="004644CE"/>
    <w:rsid w:val="004717A2"/>
    <w:rsid w:val="00473DF3"/>
    <w:rsid w:val="00481BB6"/>
    <w:rsid w:val="00487911"/>
    <w:rsid w:val="00490F48"/>
    <w:rsid w:val="00491741"/>
    <w:rsid w:val="004B0CEE"/>
    <w:rsid w:val="004C2A0A"/>
    <w:rsid w:val="004F5EFB"/>
    <w:rsid w:val="00500E5F"/>
    <w:rsid w:val="005122EF"/>
    <w:rsid w:val="0051441A"/>
    <w:rsid w:val="00517C33"/>
    <w:rsid w:val="00517D5F"/>
    <w:rsid w:val="00517E9C"/>
    <w:rsid w:val="00523644"/>
    <w:rsid w:val="0054069E"/>
    <w:rsid w:val="00544866"/>
    <w:rsid w:val="00552A3D"/>
    <w:rsid w:val="00574CC8"/>
    <w:rsid w:val="005767CC"/>
    <w:rsid w:val="00583B64"/>
    <w:rsid w:val="00590D9F"/>
    <w:rsid w:val="00595D26"/>
    <w:rsid w:val="005A74E6"/>
    <w:rsid w:val="005B404E"/>
    <w:rsid w:val="005D3908"/>
    <w:rsid w:val="005D4D55"/>
    <w:rsid w:val="005E0320"/>
    <w:rsid w:val="005E0E6C"/>
    <w:rsid w:val="005E2CFB"/>
    <w:rsid w:val="005E56D6"/>
    <w:rsid w:val="005F2103"/>
    <w:rsid w:val="005F3D1C"/>
    <w:rsid w:val="005F4189"/>
    <w:rsid w:val="00613520"/>
    <w:rsid w:val="006171EE"/>
    <w:rsid w:val="0062378F"/>
    <w:rsid w:val="00641842"/>
    <w:rsid w:val="00651EEC"/>
    <w:rsid w:val="00686673"/>
    <w:rsid w:val="00691E8C"/>
    <w:rsid w:val="00693CEE"/>
    <w:rsid w:val="006A22C4"/>
    <w:rsid w:val="006A351B"/>
    <w:rsid w:val="006B0422"/>
    <w:rsid w:val="006C1B53"/>
    <w:rsid w:val="006C595A"/>
    <w:rsid w:val="006D7730"/>
    <w:rsid w:val="006E3008"/>
    <w:rsid w:val="006E5284"/>
    <w:rsid w:val="006F3EB5"/>
    <w:rsid w:val="006F56C8"/>
    <w:rsid w:val="006F679C"/>
    <w:rsid w:val="00702E34"/>
    <w:rsid w:val="00704395"/>
    <w:rsid w:val="00710FE7"/>
    <w:rsid w:val="00717621"/>
    <w:rsid w:val="00720FF1"/>
    <w:rsid w:val="00727A53"/>
    <w:rsid w:val="007502DE"/>
    <w:rsid w:val="007862BD"/>
    <w:rsid w:val="00787B42"/>
    <w:rsid w:val="00794111"/>
    <w:rsid w:val="007A1E2E"/>
    <w:rsid w:val="007B230E"/>
    <w:rsid w:val="007C4539"/>
    <w:rsid w:val="007F3657"/>
    <w:rsid w:val="00810F0C"/>
    <w:rsid w:val="00811AA2"/>
    <w:rsid w:val="00812ED5"/>
    <w:rsid w:val="008277D9"/>
    <w:rsid w:val="0084478C"/>
    <w:rsid w:val="0086638C"/>
    <w:rsid w:val="008764FA"/>
    <w:rsid w:val="00883980"/>
    <w:rsid w:val="00885A88"/>
    <w:rsid w:val="008A1079"/>
    <w:rsid w:val="008A3E8D"/>
    <w:rsid w:val="008A5055"/>
    <w:rsid w:val="008D17F4"/>
    <w:rsid w:val="009237C4"/>
    <w:rsid w:val="00944C48"/>
    <w:rsid w:val="00950252"/>
    <w:rsid w:val="00967F5D"/>
    <w:rsid w:val="00987E22"/>
    <w:rsid w:val="00992150"/>
    <w:rsid w:val="009A0F95"/>
    <w:rsid w:val="009A6653"/>
    <w:rsid w:val="009B3ADF"/>
    <w:rsid w:val="009C31C5"/>
    <w:rsid w:val="009C3B52"/>
    <w:rsid w:val="009E6817"/>
    <w:rsid w:val="009E6E9A"/>
    <w:rsid w:val="009F7225"/>
    <w:rsid w:val="00A01D2B"/>
    <w:rsid w:val="00A1392A"/>
    <w:rsid w:val="00A30D46"/>
    <w:rsid w:val="00A42218"/>
    <w:rsid w:val="00A70249"/>
    <w:rsid w:val="00A70B02"/>
    <w:rsid w:val="00A71D9F"/>
    <w:rsid w:val="00A928EF"/>
    <w:rsid w:val="00A92E9F"/>
    <w:rsid w:val="00A94B43"/>
    <w:rsid w:val="00AA77DA"/>
    <w:rsid w:val="00AB18FF"/>
    <w:rsid w:val="00B26269"/>
    <w:rsid w:val="00B30A2E"/>
    <w:rsid w:val="00B33BEA"/>
    <w:rsid w:val="00B57C9F"/>
    <w:rsid w:val="00B63572"/>
    <w:rsid w:val="00B6363A"/>
    <w:rsid w:val="00B845B3"/>
    <w:rsid w:val="00B85D8B"/>
    <w:rsid w:val="00BB4A40"/>
    <w:rsid w:val="00BD6022"/>
    <w:rsid w:val="00BD6C3E"/>
    <w:rsid w:val="00BE3674"/>
    <w:rsid w:val="00C10681"/>
    <w:rsid w:val="00C10822"/>
    <w:rsid w:val="00C15C89"/>
    <w:rsid w:val="00C27C0D"/>
    <w:rsid w:val="00C3049A"/>
    <w:rsid w:val="00C31B1E"/>
    <w:rsid w:val="00C32F2E"/>
    <w:rsid w:val="00C40AE3"/>
    <w:rsid w:val="00C53A02"/>
    <w:rsid w:val="00C646BB"/>
    <w:rsid w:val="00C73888"/>
    <w:rsid w:val="00C77645"/>
    <w:rsid w:val="00C8004B"/>
    <w:rsid w:val="00CD643D"/>
    <w:rsid w:val="00CE04C3"/>
    <w:rsid w:val="00CE34BE"/>
    <w:rsid w:val="00CE6752"/>
    <w:rsid w:val="00CE76A0"/>
    <w:rsid w:val="00D148C6"/>
    <w:rsid w:val="00D17A8A"/>
    <w:rsid w:val="00D269E0"/>
    <w:rsid w:val="00D30C50"/>
    <w:rsid w:val="00D415BA"/>
    <w:rsid w:val="00D63780"/>
    <w:rsid w:val="00D644EE"/>
    <w:rsid w:val="00DC42A3"/>
    <w:rsid w:val="00DD06FF"/>
    <w:rsid w:val="00DD5FE9"/>
    <w:rsid w:val="00E00C7A"/>
    <w:rsid w:val="00E37D6C"/>
    <w:rsid w:val="00E41DEC"/>
    <w:rsid w:val="00E55B68"/>
    <w:rsid w:val="00E561AE"/>
    <w:rsid w:val="00E67BE6"/>
    <w:rsid w:val="00E8683C"/>
    <w:rsid w:val="00E96650"/>
    <w:rsid w:val="00EA2B72"/>
    <w:rsid w:val="00F17367"/>
    <w:rsid w:val="00F74360"/>
    <w:rsid w:val="00F77A77"/>
    <w:rsid w:val="00FB462F"/>
    <w:rsid w:val="00FB53FF"/>
    <w:rsid w:val="00FD58EE"/>
    <w:rsid w:val="00FE16FA"/>
    <w:rsid w:val="00FE328A"/>
    <w:rsid w:val="00FE6269"/>
    <w:rsid w:val="00FF5CD6"/>
    <w:rsid w:val="1D97DEFF"/>
    <w:rsid w:val="1DFF72E5"/>
    <w:rsid w:val="1EFC6F07"/>
    <w:rsid w:val="2FDF85B8"/>
    <w:rsid w:val="2FFFEE04"/>
    <w:rsid w:val="34DF85B0"/>
    <w:rsid w:val="3B8F36BC"/>
    <w:rsid w:val="491FF225"/>
    <w:rsid w:val="4FFD214C"/>
    <w:rsid w:val="510C4660"/>
    <w:rsid w:val="5777D4F5"/>
    <w:rsid w:val="59DD8326"/>
    <w:rsid w:val="5DEF592A"/>
    <w:rsid w:val="5FC6BB1E"/>
    <w:rsid w:val="5FF720F1"/>
    <w:rsid w:val="67FF5C0B"/>
    <w:rsid w:val="6EFC0924"/>
    <w:rsid w:val="6FB74722"/>
    <w:rsid w:val="6FEF8B7E"/>
    <w:rsid w:val="71A6591B"/>
    <w:rsid w:val="737D59BA"/>
    <w:rsid w:val="77C37683"/>
    <w:rsid w:val="79D19834"/>
    <w:rsid w:val="79FF515B"/>
    <w:rsid w:val="7B11525F"/>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3003</Words>
  <Characters>4384</Characters>
  <Lines>113</Lines>
  <Paragraphs>31</Paragraphs>
  <TotalTime>17</TotalTime>
  <ScaleCrop>false</ScaleCrop>
  <LinksUpToDate>false</LinksUpToDate>
  <CharactersWithSpaces>4536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2025-09-15T02:24:00Z</dcterms:created>
  <dc:creator>李航 null</dc:creator>
  <cp:lastModifiedBy>Administrator</cp:lastModifiedBy>
  <cp:lastPrinted>2024-08-08T18:20:00Z</cp:lastPrinted>
  <dcterms:modified xsi:type="dcterms:W3CDTF">2025-09-30T08:10:14Z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BB7B6AA21D207914D6FDA268992A22D6</vt:lpwstr>
  </property>
  <property fmtid="{D5CDD505-2E9C-101B-9397-08002B2CF9AE}" pid="4" name="KSOTemplateDocerSaveRecord">
    <vt:lpwstr>eyJoZGlkIjoiZjE3MTIyNmRmYWRiMzY2ODlmZjg5NDBkMTgxMDk5MWYiLCJ1c2VySWQiOiI1NTY1NjUzNzQifQ==</vt:lpwstr>
  </property>
</Properties>
</file>