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pacing w:val="-20"/>
          <w:sz w:val="44"/>
          <w:szCs w:val="44"/>
        </w:rPr>
      </w:pPr>
      <w:bookmarkStart w:id="0" w:name="_GoBack"/>
      <w:bookmarkEnd w:id="0"/>
      <w:r>
        <w:rPr>
          <w:rFonts w:hint="eastAsia" w:ascii="方正小标宋简体" w:eastAsia="方正小标宋简体"/>
          <w:spacing w:val="-20"/>
          <w:sz w:val="44"/>
          <w:szCs w:val="44"/>
        </w:rPr>
        <w:t>项目支出自评结果汇总分析报告</w:t>
      </w:r>
    </w:p>
    <w:p>
      <w:pPr>
        <w:spacing w:line="560" w:lineRule="exact"/>
        <w:rPr>
          <w:rFonts w:ascii="仿宋_GB2312" w:eastAsia="仿宋_GB2312"/>
          <w:sz w:val="32"/>
          <w:szCs w:val="32"/>
        </w:rPr>
      </w:pPr>
    </w:p>
    <w:p>
      <w:pPr>
        <w:pStyle w:val="9"/>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项目支出基本情况</w:t>
      </w:r>
    </w:p>
    <w:p>
      <w:pPr>
        <w:pStyle w:val="9"/>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部门项目支出构成情况</w:t>
      </w:r>
    </w:p>
    <w:p>
      <w:pPr>
        <w:pStyle w:val="16"/>
        <w:spacing w:line="360" w:lineRule="auto"/>
        <w:ind w:firstLine="632" w:firstLineChars="200"/>
        <w:rPr>
          <w:rFonts w:ascii="仿宋" w:eastAsia="仿宋"/>
          <w:sz w:val="32"/>
          <w:szCs w:val="32"/>
        </w:rPr>
      </w:pPr>
      <w:r>
        <w:rPr>
          <w:rFonts w:hint="eastAsia" w:ascii="仿宋" w:hAnsi="仿宋" w:eastAsia="仿宋"/>
          <w:spacing w:val="-2"/>
          <w:sz w:val="32"/>
          <w:szCs w:val="32"/>
        </w:rPr>
        <w:t>2024年度我单位项目资金有26项，其中</w:t>
      </w:r>
      <w:r>
        <w:rPr>
          <w:rFonts w:hint="eastAsia" w:ascii="仿宋" w:hAnsi="仿宋" w:eastAsia="仿宋"/>
          <w:bCs/>
          <w:spacing w:val="-2"/>
          <w:sz w:val="32"/>
          <w:szCs w:val="32"/>
        </w:rPr>
        <w:t>省编人员经费用于弥补省编人员经费的各项支出，业务装备经费用于保障单位车辆购置、科技信息化建设，为交管工作提供基础保障，业务办案经费用于保障单位公务车辆运行维护、涉案停车场执法暂扣车辆和交通事故拖车及保管，事故鉴定等业务正常开展，考场服务费完成全市驾驶人科目二、科目三考试，车驾管上户办证专用材料费按照放管服要求，保障全市车辆上户、办证在规定时效按质按量完成，办公楼维修费用于支队及直属大队办公用房修缮，保障办公环境安全，物业管理费保障支队及直属一大队、四大队院区内建筑物的保洁、绿化保养、公共区域保洁、公共卫生间保洁，联通、电信线路租赁费用于移动、联通、电信网络租赁，保障专网线路使用畅通，专项行动经费用于保障2024年百日行动、春运交通安全、警保卫、专项整治顺利开展，民辅警加班误餐费用于保障民辅警加班误餐，从优待警，交警五小工程支出用于改善民辅警工作条件，丰富警营生活，食堂劳务费用用于食堂相关劳务费用，保障单位食堂正常运转，资产清查和处置成本费用用于资产清查和处置，道路交通事故救助工作经费用于发生道路交通事故时救助工作，2023年真抓实干个人奖励金用于奖励2023年真抓实干工作优秀干部，建国75周年交通安保装备建设经费用于保障建国75周年交通安保装备建设，确保各项业务正常开展，2024年真抓实干奖励经费用于弥补公用经费的各项支出，省拨科目三考场经费用于保障单位民辅警、退休人员相关经费，考场租赁，电费，电梯、空调维护，办公费等各项商品服务支出，保障日常工作事务正常运转，平台运维服务用于保障全市公安专网线路的安全，民警双休日加班费从优待警，保障干警法定工作日之外加班补贴，创文明路面建设城区道路划线及三色标线按计划开展全年城区道路建设工作，保障群众出行安全，人民警察执勤岗位津贴用于保障人民警察执勤津贴正常发放，从优待警，专项行动经费用于保障2024年百日行动、春运交通安全、警保卫、专项整治顺利开展，城区交通设施及科技信息化建设用于保障全市城区交通设施及科技信息化建设，确保群众出行安全，人民警察伤亡补助金用于发放人民警察伤亡补助金，顽瘴痼疾整治行动专项经费交通问题顽瘴痼疾整治经费，整治全市范围内交通顽瘴问题，保障群众人身安全，辅警经费保障辅警队伍运转，保障城区道路交通安全畅通有序。</w:t>
      </w:r>
    </w:p>
    <w:p>
      <w:pPr>
        <w:pStyle w:val="9"/>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总体预算和执行情况</w:t>
      </w:r>
    </w:p>
    <w:p>
      <w:pPr>
        <w:pStyle w:val="16"/>
        <w:spacing w:line="360" w:lineRule="auto"/>
        <w:ind w:firstLine="632" w:firstLineChars="200"/>
        <w:rPr>
          <w:rFonts w:hint="eastAsia" w:ascii="仿宋" w:hAnsi="仿宋" w:eastAsia="仿宋"/>
          <w:bCs/>
          <w:spacing w:val="-2"/>
          <w:sz w:val="32"/>
          <w:szCs w:val="32"/>
        </w:rPr>
      </w:pPr>
      <w:r>
        <w:rPr>
          <w:rFonts w:hint="eastAsia" w:ascii="仿宋" w:hAnsi="仿宋" w:eastAsia="仿宋"/>
          <w:bCs/>
          <w:spacing w:val="-2"/>
          <w:sz w:val="32"/>
          <w:szCs w:val="32"/>
        </w:rPr>
        <w:t>部门所有项目资金均由财政拨款获得，根据怀财预（2024）5号文件安排，2024年度中央、省、市财政安排专项项目资金5488.06万元，年中调整后预算数为7179.51万元，市财政按照市领导批示和财政预决算评审报告，合理安排资金，资金到位率100%。</w:t>
      </w:r>
    </w:p>
    <w:p>
      <w:pPr>
        <w:pStyle w:val="9"/>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项目自评工作展情况</w:t>
      </w:r>
    </w:p>
    <w:p>
      <w:pPr>
        <w:pStyle w:val="16"/>
        <w:spacing w:line="360" w:lineRule="auto"/>
        <w:ind w:firstLine="632" w:firstLineChars="200"/>
        <w:rPr>
          <w:rFonts w:ascii="楷体" w:eastAsia="楷体"/>
          <w:b/>
          <w:sz w:val="32"/>
          <w:szCs w:val="32"/>
        </w:rPr>
      </w:pPr>
      <w:r>
        <w:rPr>
          <w:rFonts w:hint="eastAsia" w:ascii="仿宋" w:hAnsi="仿宋" w:eastAsia="仿宋"/>
          <w:bCs/>
          <w:spacing w:val="-2"/>
          <w:sz w:val="32"/>
          <w:szCs w:val="32"/>
        </w:rPr>
        <w:t>部门所有项目由具体管理科室负责，支队领导、监察室、法制科及警保科负责督导。具体实施由管理科室负责提起，支队领导负责审议是否通过，警保科负责处理财务报账相关流程，监察室、法制科负责全过程监督。自评根据年初财政拨款预算数和年末决算数计算全年执行率，结合对照项目年度总体目标从产出、效益、满意度和成本四项指标开展整体评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三、项目自评结果及分析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（一）自评分数及分析</w:t>
      </w:r>
    </w:p>
    <w:p>
      <w:pPr>
        <w:pStyle w:val="16"/>
        <w:spacing w:line="360" w:lineRule="auto"/>
        <w:ind w:firstLine="632" w:firstLineChars="200"/>
        <w:rPr>
          <w:rFonts w:ascii="仿宋" w:hAnsi="仿宋" w:eastAsia="仿宋"/>
          <w:bCs/>
          <w:spacing w:val="-2"/>
          <w:sz w:val="32"/>
          <w:szCs w:val="32"/>
        </w:rPr>
      </w:pPr>
      <w:r>
        <w:rPr>
          <w:rFonts w:hint="eastAsia" w:ascii="仿宋" w:hAnsi="仿宋" w:eastAsia="仿宋"/>
          <w:bCs/>
          <w:spacing w:val="-2"/>
          <w:sz w:val="32"/>
          <w:szCs w:val="32"/>
        </w:rPr>
        <w:t>部门2024年所有项目除“交警五小工程支出项目”外自评得分均为100分，“交警五小工程支出项目” 执行率不到位的原因，自评得分为97.80分，项目资金总体得分98.15分。</w:t>
      </w:r>
    </w:p>
    <w:p>
      <w:pPr>
        <w:spacing w:line="560" w:lineRule="exact"/>
        <w:ind w:left="640"/>
        <w:rPr>
          <w:rFonts w:hint="eastAsia" w:ascii="仿宋_GB2312" w:eastAsia="仿宋_GB2312"/>
          <w:sz w:val="32"/>
          <w:szCs w:val="32"/>
        </w:rPr>
      </w:pPr>
      <w:r>
        <w:rPr>
          <w:rFonts w:hint="eastAsia" w:ascii="仿宋_GB2312" w:eastAsia="仿宋_GB2312"/>
          <w:sz w:val="32"/>
          <w:szCs w:val="32"/>
        </w:rPr>
        <w:t>（二）预算执行情况分析</w:t>
      </w:r>
    </w:p>
    <w:p>
      <w:pPr>
        <w:spacing w:line="560" w:lineRule="exact"/>
        <w:ind w:firstLine="632" w:firstLineChars="200"/>
        <w:rPr>
          <w:rFonts w:ascii="仿宋" w:hAnsi="仿宋" w:eastAsia="仿宋" w:cs="Times New Roman"/>
          <w:bCs/>
          <w:spacing w:val="-2"/>
          <w:sz w:val="32"/>
          <w:szCs w:val="32"/>
        </w:rPr>
      </w:pPr>
      <w:r>
        <w:rPr>
          <w:rFonts w:hint="eastAsia" w:ascii="仿宋" w:hAnsi="仿宋" w:eastAsia="仿宋" w:cs="Times New Roman"/>
          <w:bCs/>
          <w:spacing w:val="-2"/>
          <w:sz w:val="32"/>
          <w:szCs w:val="32"/>
        </w:rPr>
        <w:t>项目支出本年度年初预算数申报及批复为</w:t>
      </w:r>
      <w:r>
        <w:rPr>
          <w:rFonts w:ascii="仿宋" w:hAnsi="仿宋" w:eastAsia="仿宋" w:cs="Times New Roman"/>
          <w:bCs/>
          <w:spacing w:val="-2"/>
          <w:sz w:val="32"/>
          <w:szCs w:val="32"/>
        </w:rPr>
        <w:t>5488</w:t>
      </w:r>
      <w:r>
        <w:rPr>
          <w:rFonts w:hint="eastAsia" w:ascii="仿宋" w:hAnsi="仿宋" w:eastAsia="仿宋" w:cs="Times New Roman"/>
          <w:bCs/>
          <w:spacing w:val="-2"/>
          <w:sz w:val="32"/>
          <w:szCs w:val="32"/>
        </w:rPr>
        <w:t>.</w:t>
      </w:r>
      <w:r>
        <w:rPr>
          <w:rFonts w:ascii="仿宋" w:hAnsi="仿宋" w:eastAsia="仿宋" w:cs="Times New Roman"/>
          <w:bCs/>
          <w:spacing w:val="-2"/>
          <w:sz w:val="32"/>
          <w:szCs w:val="32"/>
        </w:rPr>
        <w:t>06</w:t>
      </w:r>
      <w:r>
        <w:rPr>
          <w:rFonts w:hint="eastAsia" w:ascii="仿宋" w:hAnsi="仿宋" w:eastAsia="仿宋" w:cs="Times New Roman"/>
          <w:bCs/>
          <w:spacing w:val="-2"/>
          <w:sz w:val="32"/>
          <w:szCs w:val="32"/>
        </w:rPr>
        <w:t>万元，年末决算数</w:t>
      </w:r>
      <w:r>
        <w:rPr>
          <w:rFonts w:ascii="仿宋" w:hAnsi="仿宋" w:eastAsia="仿宋" w:cs="Times New Roman"/>
          <w:bCs/>
          <w:spacing w:val="-2"/>
          <w:sz w:val="32"/>
          <w:szCs w:val="32"/>
        </w:rPr>
        <w:t>7179</w:t>
      </w:r>
      <w:r>
        <w:rPr>
          <w:rFonts w:hint="eastAsia" w:ascii="仿宋" w:hAnsi="仿宋" w:eastAsia="仿宋" w:cs="Times New Roman"/>
          <w:bCs/>
          <w:spacing w:val="-2"/>
          <w:sz w:val="32"/>
          <w:szCs w:val="32"/>
        </w:rPr>
        <w:t>.</w:t>
      </w:r>
      <w:r>
        <w:rPr>
          <w:rFonts w:ascii="仿宋" w:hAnsi="仿宋" w:eastAsia="仿宋" w:cs="Times New Roman"/>
          <w:bCs/>
          <w:spacing w:val="-2"/>
          <w:sz w:val="32"/>
          <w:szCs w:val="32"/>
        </w:rPr>
        <w:t>5</w:t>
      </w:r>
      <w:r>
        <w:rPr>
          <w:rFonts w:hint="eastAsia" w:ascii="仿宋" w:hAnsi="仿宋" w:eastAsia="仿宋" w:cs="Times New Roman"/>
          <w:bCs/>
          <w:spacing w:val="-2"/>
          <w:sz w:val="32"/>
          <w:szCs w:val="32"/>
        </w:rPr>
        <w:t>1万元，预算执行完成率为130.82%。</w:t>
      </w:r>
    </w:p>
    <w:p>
      <w:pPr>
        <w:pStyle w:val="9"/>
        <w:numPr>
          <w:ilvl w:val="0"/>
          <w:numId w:val="2"/>
        </w:numPr>
        <w:spacing w:line="560" w:lineRule="exact"/>
        <w:ind w:firstLineChars="0"/>
        <w:rPr>
          <w:rFonts w:hint="eastAsia" w:ascii="仿宋_GB2312" w:eastAsia="仿宋_GB2312"/>
          <w:sz w:val="32"/>
          <w:szCs w:val="32"/>
        </w:rPr>
      </w:pPr>
      <w:r>
        <w:rPr>
          <w:rFonts w:hint="eastAsia" w:ascii="仿宋_GB2312" w:eastAsia="仿宋_GB2312"/>
          <w:sz w:val="32"/>
          <w:szCs w:val="32"/>
        </w:rPr>
        <w:t>资金管理情况分析</w:t>
      </w:r>
    </w:p>
    <w:p>
      <w:pPr>
        <w:spacing w:line="560" w:lineRule="exact"/>
        <w:ind w:firstLine="632" w:firstLineChars="200"/>
        <w:rPr>
          <w:rFonts w:ascii="仿宋_GB2312" w:eastAsia="仿宋_GB2312"/>
          <w:sz w:val="32"/>
          <w:szCs w:val="32"/>
        </w:rPr>
      </w:pPr>
      <w:r>
        <w:rPr>
          <w:rFonts w:hint="eastAsia" w:ascii="仿宋" w:hAnsi="仿宋" w:eastAsia="仿宋"/>
          <w:bCs/>
          <w:spacing w:val="-2"/>
          <w:sz w:val="32"/>
          <w:szCs w:val="32"/>
        </w:rPr>
        <w:t>通过年初一般公共预算拨款和年中预算调整，各项目资金到位率均有保障。各项目实施进度能基本保证年初项目目标完成，市城区交通秩序有明显成效。项目财政性资金到位后，按实际发生数进行支付，按照项目工作计划进度，对比实际工作进度及项目成功率，项目质量达标率能保证100%。</w:t>
      </w:r>
    </w:p>
    <w:p>
      <w:pPr>
        <w:pStyle w:val="9"/>
        <w:numPr>
          <w:ilvl w:val="0"/>
          <w:numId w:val="2"/>
        </w:numPr>
        <w:spacing w:line="560" w:lineRule="exact"/>
        <w:ind w:firstLineChars="0"/>
        <w:rPr>
          <w:rFonts w:hint="eastAsia" w:ascii="仿宋_GB2312" w:eastAsia="仿宋_GB2312"/>
          <w:sz w:val="32"/>
          <w:szCs w:val="32"/>
        </w:rPr>
      </w:pPr>
      <w:r>
        <w:rPr>
          <w:rFonts w:hint="eastAsia" w:ascii="仿宋_GB2312" w:eastAsia="仿宋_GB2312"/>
          <w:sz w:val="32"/>
          <w:szCs w:val="32"/>
        </w:rPr>
        <w:t>总体绩效目标完成情况分析</w:t>
      </w:r>
    </w:p>
    <w:p>
      <w:pPr>
        <w:spacing w:line="560" w:lineRule="exact"/>
        <w:ind w:firstLine="632" w:firstLineChars="200"/>
        <w:rPr>
          <w:rFonts w:ascii="仿宋_GB2312" w:eastAsia="仿宋_GB2312"/>
          <w:sz w:val="32"/>
          <w:szCs w:val="32"/>
        </w:rPr>
      </w:pPr>
      <w:r>
        <w:rPr>
          <w:rFonts w:hint="eastAsia" w:ascii="仿宋" w:hAnsi="仿宋" w:eastAsia="仿宋"/>
          <w:bCs/>
          <w:spacing w:val="-2"/>
          <w:sz w:val="32"/>
          <w:szCs w:val="32"/>
        </w:rPr>
        <w:t>一是所有项目能按时间和任务进度完成绩效阶段性目标，项目整体流程健全，项目的申请、设立过程符合相关要求，绩效目标合理，绩效指标明显；二是实际到位资金与预算投入资金相吻合，应付资金及时到位；三是业务管理制度健全，执行有效，业务管理有效；四是财务管理制度健全，资金使用合规，财务监控有效；五是项目按时间和任务进度绩效阶段性目标已基本完成；六是通过项目建设，可持续性巩固我市城区交通秩序管理。</w:t>
      </w:r>
    </w:p>
    <w:p>
      <w:pPr>
        <w:pStyle w:val="9"/>
        <w:numPr>
          <w:ilvl w:val="0"/>
          <w:numId w:val="2"/>
        </w:numPr>
        <w:spacing w:line="560" w:lineRule="exact"/>
        <w:ind w:firstLineChars="0"/>
        <w:rPr>
          <w:rFonts w:hint="eastAsia" w:ascii="仿宋_GB2312" w:eastAsia="仿宋_GB2312"/>
          <w:sz w:val="32"/>
          <w:szCs w:val="32"/>
        </w:rPr>
      </w:pPr>
      <w:r>
        <w:rPr>
          <w:rFonts w:hint="eastAsia" w:ascii="仿宋_GB2312" w:eastAsia="仿宋_GB2312"/>
          <w:sz w:val="32"/>
          <w:szCs w:val="32"/>
        </w:rPr>
        <w:t>绩效指标完成情况分析</w:t>
      </w:r>
    </w:p>
    <w:p>
      <w:pPr>
        <w:spacing w:line="560" w:lineRule="exact"/>
        <w:ind w:firstLine="632" w:firstLineChars="200"/>
        <w:rPr>
          <w:rFonts w:hint="eastAsia" w:ascii="仿宋" w:hAnsi="仿宋" w:eastAsia="仿宋"/>
          <w:bCs/>
          <w:spacing w:val="-2"/>
          <w:sz w:val="32"/>
          <w:szCs w:val="32"/>
        </w:rPr>
      </w:pPr>
      <w:r>
        <w:rPr>
          <w:rFonts w:hint="eastAsia" w:ascii="仿宋" w:hAnsi="仿宋" w:eastAsia="仿宋"/>
          <w:bCs/>
          <w:spacing w:val="-2"/>
          <w:sz w:val="32"/>
          <w:szCs w:val="32"/>
        </w:rPr>
        <w:t>预算执行率方面：部门2024年所有项目除“交警五小工程支出项目”外执行率均为100%；</w:t>
      </w:r>
    </w:p>
    <w:p>
      <w:pPr>
        <w:spacing w:line="560" w:lineRule="exact"/>
        <w:ind w:firstLine="632" w:firstLineChars="200"/>
        <w:rPr>
          <w:rFonts w:hint="eastAsia" w:ascii="仿宋" w:hAnsi="仿宋" w:eastAsia="仿宋"/>
          <w:bCs/>
          <w:spacing w:val="-2"/>
          <w:sz w:val="32"/>
          <w:szCs w:val="32"/>
        </w:rPr>
      </w:pPr>
      <w:r>
        <w:rPr>
          <w:rFonts w:hint="eastAsia" w:ascii="仿宋" w:hAnsi="仿宋" w:eastAsia="仿宋"/>
          <w:bCs/>
          <w:spacing w:val="-2"/>
          <w:sz w:val="32"/>
          <w:szCs w:val="32"/>
        </w:rPr>
        <w:t>产出方面：项目资金管理率能达到100%，数量指标均能达标，项目验收合格率均能达到100%，项目均在2024年12月底之前完成；</w:t>
      </w:r>
    </w:p>
    <w:p>
      <w:pPr>
        <w:spacing w:line="560" w:lineRule="exact"/>
        <w:ind w:firstLine="632" w:firstLineChars="200"/>
        <w:rPr>
          <w:rFonts w:hint="eastAsia" w:ascii="仿宋" w:hAnsi="仿宋" w:eastAsia="仿宋"/>
          <w:bCs/>
          <w:spacing w:val="-2"/>
          <w:sz w:val="32"/>
          <w:szCs w:val="32"/>
        </w:rPr>
      </w:pPr>
      <w:r>
        <w:rPr>
          <w:rFonts w:hint="eastAsia" w:ascii="仿宋" w:hAnsi="仿宋" w:eastAsia="仿宋"/>
          <w:bCs/>
          <w:spacing w:val="-2"/>
          <w:sz w:val="32"/>
          <w:szCs w:val="32"/>
        </w:rPr>
        <w:t>成本效益方面：经济效益、社会效益、生态效益、可持续效益均能实现效果明显；</w:t>
      </w:r>
    </w:p>
    <w:p>
      <w:pPr>
        <w:spacing w:line="560" w:lineRule="exact"/>
        <w:ind w:firstLine="632" w:firstLineChars="200"/>
        <w:rPr>
          <w:rFonts w:hint="eastAsia" w:ascii="仿宋" w:hAnsi="仿宋" w:eastAsia="仿宋"/>
          <w:bCs/>
          <w:spacing w:val="-2"/>
          <w:sz w:val="32"/>
          <w:szCs w:val="32"/>
        </w:rPr>
      </w:pPr>
      <w:r>
        <w:rPr>
          <w:rFonts w:hint="eastAsia" w:ascii="仿宋" w:hAnsi="仿宋" w:eastAsia="仿宋"/>
          <w:bCs/>
          <w:spacing w:val="-2"/>
          <w:sz w:val="32"/>
          <w:szCs w:val="32"/>
        </w:rPr>
        <w:t>满意度方面：服务对象满意度均能达到90%以上；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成本方面：经济成本均能控制在项目预算资金范围内、社会成本节约率和生态环境成本节约率均能达到100%。</w:t>
      </w:r>
    </w:p>
    <w:p>
      <w:pPr>
        <w:pStyle w:val="9"/>
        <w:numPr>
          <w:ilvl w:val="0"/>
          <w:numId w:val="3"/>
        </w:numPr>
        <w:spacing w:line="560" w:lineRule="exact"/>
        <w:ind w:firstLineChars="0"/>
        <w:rPr>
          <w:rFonts w:ascii="黑体" w:hAnsi="黑体" w:eastAsia="黑体"/>
          <w:sz w:val="32"/>
          <w:szCs w:val="32"/>
        </w:rPr>
      </w:pPr>
      <w:r>
        <w:rPr>
          <w:rFonts w:hint="eastAsia" w:ascii="黑体" w:hAnsi="黑体" w:eastAsia="黑体"/>
          <w:sz w:val="32"/>
          <w:szCs w:val="32"/>
        </w:rPr>
        <w:t>项目自评发现的问题及整改措施</w:t>
      </w:r>
    </w:p>
    <w:p>
      <w:pPr>
        <w:pStyle w:val="16"/>
        <w:spacing w:line="360" w:lineRule="auto"/>
        <w:ind w:firstLine="474" w:firstLineChars="150"/>
        <w:rPr>
          <w:rFonts w:ascii="仿宋" w:hAnsi="仿宋" w:eastAsia="仿宋"/>
          <w:bCs/>
          <w:spacing w:val="-2"/>
          <w:sz w:val="32"/>
          <w:szCs w:val="32"/>
        </w:rPr>
      </w:pPr>
      <w:r>
        <w:rPr>
          <w:rFonts w:hint="eastAsia" w:ascii="仿宋" w:hAnsi="仿宋" w:eastAsia="仿宋"/>
          <w:bCs/>
          <w:spacing w:val="-2"/>
          <w:sz w:val="32"/>
          <w:szCs w:val="32"/>
        </w:rPr>
        <w:t>项目资金的使用效率还不够高，存在资金落实不到位的情况，对项目资金的管理还需进一步加强。</w:t>
      </w:r>
    </w:p>
    <w:p>
      <w:pPr>
        <w:pStyle w:val="9"/>
        <w:numPr>
          <w:ilvl w:val="0"/>
          <w:numId w:val="3"/>
        </w:numPr>
        <w:spacing w:line="560" w:lineRule="exact"/>
        <w:ind w:firstLineChars="0"/>
        <w:rPr>
          <w:rFonts w:hint="eastAsia" w:ascii="黑体" w:hAnsi="黑体" w:eastAsia="黑体"/>
          <w:sz w:val="32"/>
          <w:szCs w:val="32"/>
        </w:rPr>
      </w:pPr>
      <w:r>
        <w:rPr>
          <w:rFonts w:hint="eastAsia" w:ascii="黑体" w:hAnsi="黑体" w:eastAsia="黑体"/>
          <w:sz w:val="32"/>
          <w:szCs w:val="32"/>
        </w:rPr>
        <w:t>项目自评工作建议及预算安排建议</w:t>
      </w:r>
    </w:p>
    <w:p>
      <w:pPr>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一是实施好制定的项目实施细则、财务管理制度、项目建设专项资金管理工作规程，提高资金使用效率；二是重要事项和大额资金严格执行“三重一大”集体决策制度；三是积极落实“零基”预算政策，按需安排好下一年度的项目资金，保障全市交通运转工作正常开展。</w:t>
      </w:r>
    </w:p>
    <w:p>
      <w:pPr>
        <w:pStyle w:val="9"/>
        <w:numPr>
          <w:ilvl w:val="0"/>
          <w:numId w:val="3"/>
        </w:numPr>
        <w:spacing w:line="560" w:lineRule="exact"/>
        <w:ind w:firstLineChars="0"/>
        <w:rPr>
          <w:rFonts w:ascii="黑体" w:hAnsi="黑体" w:eastAsia="黑体"/>
          <w:sz w:val="32"/>
          <w:szCs w:val="32"/>
        </w:rPr>
      </w:pPr>
      <w:r>
        <w:rPr>
          <w:rFonts w:hint="eastAsia" w:ascii="黑体" w:hAnsi="黑体" w:eastAsia="黑体"/>
          <w:sz w:val="32"/>
          <w:szCs w:val="32"/>
        </w:rPr>
        <w:t>其他需要说明的问题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仿宋_GB2312" w:eastAsia="仿宋_GB2312"/>
          <w:sz w:val="32"/>
          <w:szCs w:val="32"/>
        </w:rPr>
      </w:pPr>
    </w:p>
    <w:p>
      <w:pPr>
        <w:spacing w:line="560" w:lineRule="exact"/>
        <w:ind w:right="1120" w:firstLine="640" w:firstLineChars="200"/>
        <w:jc w:val="center"/>
        <w:rPr>
          <w:rFonts w:ascii="仿宋_GB2312" w:eastAsia="仿宋_GB2312"/>
          <w:sz w:val="32"/>
          <w:szCs w:val="32"/>
        </w:rPr>
      </w:pP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B720B"/>
    <w:multiLevelType w:val="multilevel"/>
    <w:tmpl w:val="2B0B720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9470A4B"/>
    <w:multiLevelType w:val="multilevel"/>
    <w:tmpl w:val="39470A4B"/>
    <w:lvl w:ilvl="0" w:tentative="0">
      <w:start w:val="4"/>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7B274CC5"/>
    <w:multiLevelType w:val="multilevel"/>
    <w:tmpl w:val="7B274CC5"/>
    <w:lvl w:ilvl="0" w:tentative="0">
      <w:start w:val="1"/>
      <w:numFmt w:val="japaneseCounting"/>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DF"/>
    <w:rsid w:val="000009E4"/>
    <w:rsid w:val="000036C4"/>
    <w:rsid w:val="00007E1F"/>
    <w:rsid w:val="0005476F"/>
    <w:rsid w:val="00093732"/>
    <w:rsid w:val="000A043F"/>
    <w:rsid w:val="000A5A04"/>
    <w:rsid w:val="000A6453"/>
    <w:rsid w:val="000C4A5C"/>
    <w:rsid w:val="000D5DDB"/>
    <w:rsid w:val="000E7432"/>
    <w:rsid w:val="000F3FBC"/>
    <w:rsid w:val="000F6F8D"/>
    <w:rsid w:val="000F7037"/>
    <w:rsid w:val="00111412"/>
    <w:rsid w:val="00111C09"/>
    <w:rsid w:val="00124C71"/>
    <w:rsid w:val="0012639B"/>
    <w:rsid w:val="00134288"/>
    <w:rsid w:val="001368BD"/>
    <w:rsid w:val="00145DBF"/>
    <w:rsid w:val="00155A16"/>
    <w:rsid w:val="001576FC"/>
    <w:rsid w:val="001A093C"/>
    <w:rsid w:val="001A0FE1"/>
    <w:rsid w:val="001A3ABA"/>
    <w:rsid w:val="001A4582"/>
    <w:rsid w:val="001B154B"/>
    <w:rsid w:val="001B47A5"/>
    <w:rsid w:val="001B7C2B"/>
    <w:rsid w:val="001D05F7"/>
    <w:rsid w:val="001D16E8"/>
    <w:rsid w:val="001E1702"/>
    <w:rsid w:val="001E493B"/>
    <w:rsid w:val="001E6F69"/>
    <w:rsid w:val="001F7AEE"/>
    <w:rsid w:val="00216968"/>
    <w:rsid w:val="0021778D"/>
    <w:rsid w:val="00221665"/>
    <w:rsid w:val="00267879"/>
    <w:rsid w:val="00272A2E"/>
    <w:rsid w:val="00286094"/>
    <w:rsid w:val="0029246B"/>
    <w:rsid w:val="002A0A2A"/>
    <w:rsid w:val="002A4F0B"/>
    <w:rsid w:val="002A7B7D"/>
    <w:rsid w:val="002D358D"/>
    <w:rsid w:val="002D4395"/>
    <w:rsid w:val="003036B2"/>
    <w:rsid w:val="00323DB8"/>
    <w:rsid w:val="0032524B"/>
    <w:rsid w:val="0033546D"/>
    <w:rsid w:val="00345001"/>
    <w:rsid w:val="00346526"/>
    <w:rsid w:val="00353614"/>
    <w:rsid w:val="0035657F"/>
    <w:rsid w:val="003670BA"/>
    <w:rsid w:val="0039046A"/>
    <w:rsid w:val="0039339C"/>
    <w:rsid w:val="0039367D"/>
    <w:rsid w:val="0039376A"/>
    <w:rsid w:val="003A6FC4"/>
    <w:rsid w:val="003B6EF7"/>
    <w:rsid w:val="003C08A6"/>
    <w:rsid w:val="003C4177"/>
    <w:rsid w:val="003C4F9E"/>
    <w:rsid w:val="003C6714"/>
    <w:rsid w:val="003D7EB3"/>
    <w:rsid w:val="003E6B75"/>
    <w:rsid w:val="00410A96"/>
    <w:rsid w:val="00412A36"/>
    <w:rsid w:val="00447C0B"/>
    <w:rsid w:val="004610E4"/>
    <w:rsid w:val="0047590F"/>
    <w:rsid w:val="004770CA"/>
    <w:rsid w:val="00481B78"/>
    <w:rsid w:val="00483445"/>
    <w:rsid w:val="0049593A"/>
    <w:rsid w:val="004B2334"/>
    <w:rsid w:val="004B56DD"/>
    <w:rsid w:val="004B79A4"/>
    <w:rsid w:val="004F0F3F"/>
    <w:rsid w:val="004F5676"/>
    <w:rsid w:val="005030DE"/>
    <w:rsid w:val="00513F65"/>
    <w:rsid w:val="005543FD"/>
    <w:rsid w:val="00564807"/>
    <w:rsid w:val="005733B2"/>
    <w:rsid w:val="005810E5"/>
    <w:rsid w:val="005911C8"/>
    <w:rsid w:val="005A28CA"/>
    <w:rsid w:val="005A4E33"/>
    <w:rsid w:val="005B082A"/>
    <w:rsid w:val="005B7040"/>
    <w:rsid w:val="005C2188"/>
    <w:rsid w:val="005D385D"/>
    <w:rsid w:val="005E26B3"/>
    <w:rsid w:val="00604A17"/>
    <w:rsid w:val="00606172"/>
    <w:rsid w:val="00616F83"/>
    <w:rsid w:val="00620361"/>
    <w:rsid w:val="0062123D"/>
    <w:rsid w:val="00646EF0"/>
    <w:rsid w:val="006844B3"/>
    <w:rsid w:val="00684F31"/>
    <w:rsid w:val="006A0917"/>
    <w:rsid w:val="006C1BFD"/>
    <w:rsid w:val="006D14F2"/>
    <w:rsid w:val="006D1711"/>
    <w:rsid w:val="006F2C11"/>
    <w:rsid w:val="007067A1"/>
    <w:rsid w:val="00714DBD"/>
    <w:rsid w:val="0074701B"/>
    <w:rsid w:val="007529FE"/>
    <w:rsid w:val="00765E6A"/>
    <w:rsid w:val="00770305"/>
    <w:rsid w:val="007803E2"/>
    <w:rsid w:val="007805BA"/>
    <w:rsid w:val="007A28F3"/>
    <w:rsid w:val="007A628D"/>
    <w:rsid w:val="007A7794"/>
    <w:rsid w:val="007D26FC"/>
    <w:rsid w:val="007E1F85"/>
    <w:rsid w:val="007E49C6"/>
    <w:rsid w:val="00803FC8"/>
    <w:rsid w:val="008072A9"/>
    <w:rsid w:val="008152B8"/>
    <w:rsid w:val="00823199"/>
    <w:rsid w:val="008302DD"/>
    <w:rsid w:val="00843843"/>
    <w:rsid w:val="00845F3E"/>
    <w:rsid w:val="008629A0"/>
    <w:rsid w:val="00864891"/>
    <w:rsid w:val="00865B43"/>
    <w:rsid w:val="00871F81"/>
    <w:rsid w:val="00877E88"/>
    <w:rsid w:val="0088795D"/>
    <w:rsid w:val="00895499"/>
    <w:rsid w:val="008A697C"/>
    <w:rsid w:val="008C5E8E"/>
    <w:rsid w:val="008E6ECB"/>
    <w:rsid w:val="008F0547"/>
    <w:rsid w:val="008F2328"/>
    <w:rsid w:val="00904386"/>
    <w:rsid w:val="00905C91"/>
    <w:rsid w:val="009135E0"/>
    <w:rsid w:val="00916F8F"/>
    <w:rsid w:val="00917144"/>
    <w:rsid w:val="00937C84"/>
    <w:rsid w:val="00941055"/>
    <w:rsid w:val="00941F7D"/>
    <w:rsid w:val="00953A39"/>
    <w:rsid w:val="00956EEE"/>
    <w:rsid w:val="009701F3"/>
    <w:rsid w:val="00977232"/>
    <w:rsid w:val="009824C0"/>
    <w:rsid w:val="00996DA8"/>
    <w:rsid w:val="009D5252"/>
    <w:rsid w:val="009E24AD"/>
    <w:rsid w:val="009E2B54"/>
    <w:rsid w:val="00A109C9"/>
    <w:rsid w:val="00A11ED2"/>
    <w:rsid w:val="00A2346E"/>
    <w:rsid w:val="00A67B6C"/>
    <w:rsid w:val="00A716E6"/>
    <w:rsid w:val="00A80EAB"/>
    <w:rsid w:val="00AA178B"/>
    <w:rsid w:val="00AB2E45"/>
    <w:rsid w:val="00AB2FD7"/>
    <w:rsid w:val="00AB6971"/>
    <w:rsid w:val="00AB7212"/>
    <w:rsid w:val="00AB7290"/>
    <w:rsid w:val="00AC2D7A"/>
    <w:rsid w:val="00AC5663"/>
    <w:rsid w:val="00AF0276"/>
    <w:rsid w:val="00B0160D"/>
    <w:rsid w:val="00B06B14"/>
    <w:rsid w:val="00B072C8"/>
    <w:rsid w:val="00B219CF"/>
    <w:rsid w:val="00B4390C"/>
    <w:rsid w:val="00B774BB"/>
    <w:rsid w:val="00B83FA5"/>
    <w:rsid w:val="00B96F8E"/>
    <w:rsid w:val="00B97761"/>
    <w:rsid w:val="00BA3516"/>
    <w:rsid w:val="00BB5038"/>
    <w:rsid w:val="00BD3DF1"/>
    <w:rsid w:val="00BE12B5"/>
    <w:rsid w:val="00BF1D31"/>
    <w:rsid w:val="00BF24C7"/>
    <w:rsid w:val="00C15CAE"/>
    <w:rsid w:val="00C1703F"/>
    <w:rsid w:val="00C258EB"/>
    <w:rsid w:val="00C82B14"/>
    <w:rsid w:val="00C94FB2"/>
    <w:rsid w:val="00CC203E"/>
    <w:rsid w:val="00CC4E67"/>
    <w:rsid w:val="00CD5EB4"/>
    <w:rsid w:val="00CF7BEE"/>
    <w:rsid w:val="00D06C6F"/>
    <w:rsid w:val="00D0730D"/>
    <w:rsid w:val="00D50D8A"/>
    <w:rsid w:val="00D63DAE"/>
    <w:rsid w:val="00D94061"/>
    <w:rsid w:val="00D96884"/>
    <w:rsid w:val="00D96DD6"/>
    <w:rsid w:val="00DA564D"/>
    <w:rsid w:val="00DB1080"/>
    <w:rsid w:val="00DB46A3"/>
    <w:rsid w:val="00DB6C1C"/>
    <w:rsid w:val="00DC12F8"/>
    <w:rsid w:val="00DC3FC6"/>
    <w:rsid w:val="00DD32DF"/>
    <w:rsid w:val="00DE71B6"/>
    <w:rsid w:val="00DF5DDC"/>
    <w:rsid w:val="00DF613E"/>
    <w:rsid w:val="00E13F74"/>
    <w:rsid w:val="00E1420A"/>
    <w:rsid w:val="00E14F6F"/>
    <w:rsid w:val="00E342A9"/>
    <w:rsid w:val="00E35070"/>
    <w:rsid w:val="00E37E15"/>
    <w:rsid w:val="00E64C72"/>
    <w:rsid w:val="00E8697F"/>
    <w:rsid w:val="00E93CB3"/>
    <w:rsid w:val="00EA787C"/>
    <w:rsid w:val="00EC0399"/>
    <w:rsid w:val="00ED668C"/>
    <w:rsid w:val="00EE4FD7"/>
    <w:rsid w:val="00F07783"/>
    <w:rsid w:val="00F14EE9"/>
    <w:rsid w:val="00F23FD9"/>
    <w:rsid w:val="00F3459B"/>
    <w:rsid w:val="00F35718"/>
    <w:rsid w:val="00F414A0"/>
    <w:rsid w:val="00F432E4"/>
    <w:rsid w:val="00F44051"/>
    <w:rsid w:val="00F51DE6"/>
    <w:rsid w:val="00F53503"/>
    <w:rsid w:val="00F57C28"/>
    <w:rsid w:val="00F8622A"/>
    <w:rsid w:val="00FA28E8"/>
    <w:rsid w:val="00FA486C"/>
    <w:rsid w:val="00FB7E70"/>
    <w:rsid w:val="00FF2C9C"/>
    <w:rsid w:val="2C5B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日期 Char"/>
    <w:basedOn w:val="8"/>
    <w:link w:val="2"/>
    <w:semiHidden/>
    <w:uiPriority w:val="99"/>
  </w:style>
  <w:style w:type="paragraph" w:customStyle="1" w:styleId="14">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5">
    <w:name w:val="font01"/>
    <w:uiPriority w:val="0"/>
    <w:rPr>
      <w:rFonts w:hint="eastAsia" w:ascii="宋体" w:hAnsi="宋体" w:eastAsia="宋体" w:cs="宋体"/>
      <w:color w:val="FF0000"/>
      <w:sz w:val="21"/>
      <w:szCs w:val="21"/>
      <w:u w:val="none"/>
    </w:rPr>
  </w:style>
  <w:style w:type="paragraph" w:styleId="16">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43CC6-651C-4DCC-9521-F5D074503D07}">
  <ds:schemaRefs/>
</ds:datastoreItem>
</file>

<file path=docProps/app.xml><?xml version="1.0" encoding="utf-8"?>
<Properties xmlns="http://schemas.openxmlformats.org/officeDocument/2006/extended-properties" xmlns:vt="http://schemas.openxmlformats.org/officeDocument/2006/docPropsVTypes">
  <Template>Normal</Template>
  <Pages>5</Pages>
  <Words>340</Words>
  <Characters>1940</Characters>
  <Lines>16</Lines>
  <Paragraphs>4</Paragraphs>
  <TotalTime>90</TotalTime>
  <ScaleCrop>false</ScaleCrop>
  <LinksUpToDate>false</LinksUpToDate>
  <CharactersWithSpaces>2276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2025-05-04T04:45:00Z</dcterms:created>
  <dc:creator>Administrator</dc:creator>
  <cp:lastModifiedBy>Administrator</cp:lastModifiedBy>
  <cp:lastPrinted>2024-08-15T08:15:00Z</cp:lastPrinted>
  <dcterms:modified xsi:type="dcterms:W3CDTF">2025-08-18T03:15:19Z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