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文旅共法治齐飞，初心与坚守同行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——</w:t>
      </w:r>
      <w:r>
        <w:rPr>
          <w:rFonts w:hint="eastAsia" w:ascii="方正小标宋简体" w:eastAsia="方正小标宋简体"/>
          <w:sz w:val="28"/>
          <w:szCs w:val="28"/>
        </w:rPr>
        <w:t>古村里的“打更人”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林 娟</w:t>
      </w:r>
    </w:p>
    <w:p>
      <w:pPr>
        <w:spacing w:line="70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听！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一声声低沉的锣响在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深夜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的高椅古村中回荡，打更人杨进发穿行于交错的巷道，将“注意防火，保护家园”的叮嘱送至村中的每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个角落。</w:t>
      </w:r>
    </w:p>
    <w:p>
      <w:pPr>
        <w:spacing w:line="7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高椅古村是全国重点文物保护单位，拥有104栋保存完好的明清古民居，被誉为“古民居建筑的活化石”。保护好国宝老宅是村里的头等大事。自古以来，村里一直都有打更人，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用脚步和锣声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守护着古村。杨进发也已经坚守了20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多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年。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这么些年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来，无论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夏日酷暑还是数九寒冬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我们总能在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古村小巷里看到他巡视的身影。</w:t>
      </w:r>
    </w:p>
    <w:p>
      <w:pPr>
        <w:spacing w:line="7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杨进发是土生土长的高椅人，一家8口四世同堂，居住在老宅窨子屋。2021年，为了方便家里的老人孩子洗漱淋浴，他想在自家老宅旁修建一个小浴室。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还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向砖厂预订了一批新砖，景区管理所得知后，与乡村两级有关干部上门进行查看，发现，他规划新砌的浴室不仅会破坏古村落的整体风貌，还触犯了文物保护法的红线。</w:t>
      </w:r>
    </w:p>
    <w:p>
      <w:pPr>
        <w:spacing w:line="7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“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这地是我的，我在自己的土地上建房，天经地义！我犯着哪门子法了？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</w:t>
      </w:r>
    </w:p>
    <w:p>
      <w:pPr>
        <w:spacing w:line="70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“伢伢，话可不能这么说，这地啊，是您的，没错，可这村子，是老祖宗守护了几百年留下来的，是留给我们后人的无价之宝！您乱修乱建可就真犯法了，犯的是《中华人民共和国文物保护法》，您用心守护了几十年的地方，我想，您比谁都盼着它好啊！”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动之以情、晓之以法，工作人员耐心细致地向杨进发讲解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相关法律法规。</w:t>
      </w:r>
    </w:p>
    <w:p>
      <w:pPr>
        <w:spacing w:line="70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“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是哦，不破坏才是更好的守护！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”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杨进发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轻声说道，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逐渐认识到了自己行为的严重性，表示不会再擅自违规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新建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。因为没有对文物古建造成实质性的破坏，景区管理所督促其退还了预订的红砖，并帮助他在政策允许下进行了旧厕改造，方便了日常生活。</w:t>
      </w:r>
    </w:p>
    <w:p>
      <w:pPr>
        <w:spacing w:line="7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从误解到共识，杨进发说，身为一位老党员，深感惭愧，是自己平日里对法律的认知还不够。</w:t>
      </w:r>
    </w:p>
    <w:p>
      <w:pPr>
        <w:spacing w:line="7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于是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，他编写了很多琅琅上口的法治宣传标语，在巡夜打更时，便大声地喊出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来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：“小心屋里柴火灶，燃起火来要坐牢！”“守好村子青砖瓦，破坏可是要犯法！”到了冬天，他还会说：“炕上腊肉香喷喷，炕下烧火不离人。”他用自己的方式在古村里进行法治宣传，简单朴实的打更语，是他对法律法规的深刻认识，更是对文物家园的深情守护。</w:t>
      </w:r>
    </w:p>
    <w:p>
      <w:pPr>
        <w:spacing w:line="70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景区和村里都很支持杨进发的做法，鼓励当地村民、干部加入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他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的队伍，人人都是文保员，人人都是“打更人”。在景区进行文明守法、文物保护等宣传。</w:t>
      </w:r>
    </w:p>
    <w:p>
      <w:pPr>
        <w:spacing w:line="70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春风化雨，润物无声，文化传承者变为法律守护者，打更人，这个在古村落中传承了数百年的职业，如今被赋予了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新的使命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方正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此时此刻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，我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心中满怀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激动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与自豪，因为我也是一名古村的“打更人”。我们将继续用实际行动践行法治，步履不停，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让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文旅共法治齐飞，初心与坚守同行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共同守护好我们的国宝、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家园！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944A5"/>
    <w:rsid w:val="DDE9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 w:line="440" w:lineRule="exact"/>
      <w:jc w:val="center"/>
      <w:outlineLvl w:val="0"/>
    </w:pPr>
    <w:rPr>
      <w:rFonts w:ascii="Cambria" w:hAnsi="Cambria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2024-12-06T17:17:00Z</dcterms:created>
  <dc:creator>greatwall</dc:creator>
  <cp:lastModifiedBy>greatwall</cp:lastModifiedBy>
  <dcterms:modified xsi:type="dcterms:W3CDTF">2024-12-06T17:17:56Z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