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怀化市民族宗教事务局</w:t>
      </w:r>
      <w:r>
        <w:rPr>
          <w:rFonts w:hint="default" w:ascii="Times New Roman" w:hAnsi="Times New Roman" w:eastAsia="方正小标宋_GBK" w:cs="Times New Roman"/>
          <w:b w:val="0"/>
          <w:bCs w:val="0"/>
          <w:sz w:val="36"/>
          <w:szCs w:val="36"/>
          <w:lang w:val="en-US" w:eastAsia="zh-CN"/>
        </w:rPr>
        <w:t>政府信息主动公开事项目录</w:t>
      </w:r>
    </w:p>
    <w:p>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怀化市民族宗教事务局</w:t>
      </w:r>
    </w:p>
    <w:tbl>
      <w:tblPr>
        <w:tblStyle w:val="5"/>
        <w:tblW w:w="14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3"/>
        <w:gridCol w:w="1116"/>
        <w:gridCol w:w="1614"/>
        <w:gridCol w:w="1789"/>
        <w:gridCol w:w="2971"/>
        <w:gridCol w:w="1100"/>
        <w:gridCol w:w="1965"/>
        <w:gridCol w:w="119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 w:hRule="atLeast"/>
          <w:tblHead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政策文件</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其他政策文件</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除行政规范性文件以外的其他可以公开的文件</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2</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机构概况</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领导信息</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单位负责人姓名、职务、主管或分管工作等</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http://www.huaihua.gov.cn/mzswj/c108764/ldlist.shtml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机构信息</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依据三定方案确定的机关职能，以及机构设置、办公地址、办公时间、联系方式等</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http://www.huaihua.gov.cn/mzswj/c108763/jgszArticle.shtml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3</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规划计划</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民宗领域规划计划</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涉及民宗业务职能的中长期计划、年度工作计划信息、计划执行情况</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4</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民宗领域政务服务事项信息</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民宗领域办理行政许可和其他对外管理服务事项目录，行使事项的依据、条件、程序以及办理结果</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自该政府信息形成或者变更之日起20个工作日内；行政许可自决定之日起7个工作日内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6"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5</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行政处罚</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民宗领域行政处罚信息</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民宗领域实施行政处罚的依据、条件、程序以及本行政机关认为具有一定社会影响的行政处罚决定</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；《中华人民共和国政府信息公开条例》（国务院令第711号）第二十条；《国务院关于建立完善守信联合激励和失信联合惩戒制度加快推进社会诚信建设的指导意见》（国发〔2016〕33号）第（十七）条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自该政府信息形成或者变更之日起20个工作日内；行政处罚自决定之日起7个工作日内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6</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财政预算、决算</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预算、决算</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部门预算、决算及执行情况</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http://www.huaihua.gov.cn/mzswj/c108775/list.shtml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“三公”经费财政拨款预算总额和分项数额，对增减变化的原因说明</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http://www.huaihua.gov.cn/mzswj/c108775/list.shtml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绩效评价</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按要求将项目支出绩效评价结果编入预算并公开</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《财政部关于印发&lt;项目支出绩效评价管理办法&gt;的通知》（财预〔2020〕10号）第二十八条；《湖南省财政厅关于印发&lt;湖南省预算支出绩效评价管理办法&gt;的通知》（湘财绩〔2020〕7号）第四十二条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http://www.huaihua.gov.cn/mzswj/c108775/list.shtml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7</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行政事业性收费信息</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行政事业性收费清单</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行政事业性收费的收费主体、收费对象、收费范围、计费（量）单位和标准、收费频次等</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0"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8</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政府采购</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政府集中采购项目的实施情况</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包括采购项目公告、采购文件、采购项目预算金额、采购结果、采购合同等信息</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1"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9</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民宗领域重大建设项目的批准和实施情况</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民宗领域重大建设项目名称、审批、核准、备案和批准结果信息，实施过程、结果和社会效果等信息</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《中华人民共和国政府信息公开条例》（国务院令第711号）第二十条；《国务院办公厅关于推进重大建设项目批准和实施领域政府信息公开的意见》（国办发〔2017〕94号）</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项目</w:t>
            </w:r>
            <w:r>
              <w:rPr>
                <w:rFonts w:hint="eastAsia" w:eastAsia="方正仿宋_GBK" w:cs="Times New Roman"/>
                <w:snapToGrid w:val="0"/>
                <w:kern w:val="21"/>
                <w:sz w:val="20"/>
                <w:szCs w:val="20"/>
                <w:lang w:val="en-US" w:eastAsia="zh-CN" w:bidi="ar-SA"/>
              </w:rPr>
              <w:t>承办科室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5"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10</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应急管理</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突发公共事件的应急预案、预警信息及应对情况</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民宗领域突发公共事件应急预案，发布的预警信息和事件应对情况</w:t>
            </w:r>
            <w:r>
              <w:rPr>
                <w:rFonts w:hint="eastAsia" w:eastAsia="方正仿宋_GBK" w:cs="Times New Roman"/>
                <w:snapToGrid w:val="0"/>
                <w:kern w:val="21"/>
                <w:sz w:val="20"/>
                <w:szCs w:val="20"/>
                <w:lang w:val="en-US" w:eastAsia="zh-CN" w:bidi="ar-SA"/>
              </w:rPr>
              <w:t>经审查可以公开的</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《中华人民共和国政府信息公开条例》（国务院令第711号）第二十条；《国务院办公厅关于印发&lt;突发事件应急预案管理办法&gt;的通知》（国办发〔2024〕5号）第二十八条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办公室、民族科、宗教科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5"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11</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公务员招录</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公务员招考的职位、名额、报考条件等事项</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《中华人民共和国政府信息公开条例》（国务院令第711号）第二十条；《公务员录用规定》第十七条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0"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公务员录用</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公务员招考的录用结果</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《中华人民共和国政府信息公开条例》（国务院令第711号）第二十条；《公务员录用规定》第三十六条、第三十七条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http://www.huaihua.gov.cn/mzswj/c108774/list.shtml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0"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12</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建议提案</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人大代表建议和政协提案办理</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对涉及公共利益、公众权益、社会关切及需要社会广泛知晓的省人大代表建议、省政协提案及其答复意见经审查可以公开的</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自该政府信息形成或者变更之日起20个工作日内；省人大代表建议和省政协提案在答复代表和提案者后一个月内开</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0"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13</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中共中央办公厅 国务院办公厅印发《法治政府建设与责任落实督察工作规定》第二十四条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每年4月1日之前</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2"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14</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业务事项</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少数民族发展资金分配情况</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少数民族发展资金分配情况</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财政部农业农村部国家发展改革委国家民委国家林草局《关于修订调整衔接推进乡村振兴补助资金绩效评价相关指标的通知》（财农〔2024〕5号）</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民族科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2" w:hRule="atLeast"/>
        </w:trPr>
        <w:tc>
          <w:tcPr>
            <w:tcW w:w="833"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涉及民宗系统牵头的“高效办成一件事”办理标准化工作规程和办事指南</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加快推进“一件事一次办”打造政务服务升级版的指导意见》（国办发〔2022〕32号）；《国务院关于进一步优化政务服务提升行政效能推动“高效办成一件事”的指导意见》（国发〔2024〕3号）</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0"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15</w:t>
            </w:r>
          </w:p>
        </w:tc>
        <w:tc>
          <w:tcPr>
            <w:tcW w:w="1116"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政府信息公开指南</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政府信息主动公开、依申请公开有关情况，不予公开的内容，政府信息公开工作机构的名称、办公地址、办公时间、联系电话、传真号码、互联网联系方式等</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http://www.huaihua.gov.cn/mzswj/c108804/singleArticle.shtml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政府信息公开目录</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政府信息主动公开事项目录</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http://www.huaihua.gov.cn/mzswj/c108774/list.shtml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7"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《中华人民共和国政府信息公开条例》（国务院令第711号）第四十九条</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每年1月31日前向社会公布</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http://www.huaihua.gov.cn/mzswj/c108805/list.shtml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1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1116"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政府信息公开工作制度</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《国务院办公厅政府信息与政务公开办公室关于规范政府信息公开平台有关事项的通知》（国办公开办函〔2019〕61号）第二部分</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政策法规科</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0"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16</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政府网站报表</w:t>
            </w:r>
          </w:p>
        </w:tc>
        <w:tc>
          <w:tcPr>
            <w:tcW w:w="1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政府网站工作年度报表</w:t>
            </w:r>
          </w:p>
        </w:tc>
        <w:tc>
          <w:tcPr>
            <w:tcW w:w="17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包括信息发布、专栏专题、解读回应、办事服务、互动交流、安全防护、移动新媒体、创新发展等情况</w:t>
            </w:r>
          </w:p>
        </w:tc>
        <w:tc>
          <w:tcPr>
            <w:tcW w:w="29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w:t>
            </w:r>
            <w:bookmarkStart w:id="0" w:name="_GoBack"/>
            <w:bookmarkEnd w:id="0"/>
            <w:r>
              <w:rPr>
                <w:rFonts w:hint="default" w:ascii="Times New Roman" w:hAnsi="Times New Roman" w:eastAsia="方正仿宋_GBK" w:cs="Times New Roman"/>
                <w:snapToGrid w:val="0"/>
                <w:kern w:val="21"/>
                <w:sz w:val="20"/>
                <w:szCs w:val="20"/>
                <w:lang w:val="en-US" w:eastAsia="zh-CN" w:bidi="ar-SA"/>
              </w:rPr>
              <w:t>院办公厅关于做好政府网站年度报表发布工作的通知》（国办函〔2018〕12号）</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每年1月31日前发布</w:t>
            </w:r>
          </w:p>
        </w:tc>
        <w:tc>
          <w:tcPr>
            <w:tcW w:w="11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http://www.huaihua.gov.cn/mzswj/c108777/list.shtml</w:t>
            </w:r>
          </w:p>
        </w:tc>
      </w:tr>
    </w:tbl>
    <w:p/>
    <w:sectPr>
      <w:headerReference r:id="rId5" w:type="default"/>
      <w:footerReference r:id="rId6" w:type="default"/>
      <w:pgSz w:w="16838" w:h="11906" w:orient="landscape"/>
      <w:pgMar w:top="1701" w:right="1701" w:bottom="1701" w:left="170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A6924"/>
    <w:rsid w:val="1E7A6924"/>
    <w:rsid w:val="26C113F1"/>
    <w:rsid w:val="300F790D"/>
    <w:rsid w:val="3B8B1729"/>
    <w:rsid w:val="3BFD6442"/>
    <w:rsid w:val="52CF4C25"/>
    <w:rsid w:val="57401E90"/>
    <w:rsid w:val="5C4B6BCE"/>
    <w:rsid w:val="690B1279"/>
    <w:rsid w:val="6C4B5ABC"/>
    <w:rsid w:val="7C7636F0"/>
    <w:rsid w:val="7CF83073"/>
    <w:rsid w:val="E7740445"/>
    <w:rsid w:val="FEFF83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szCs w:val="22"/>
      <w:lang w:val="en-US" w:eastAsia="zh-CN" w:bidi="ar-SA"/>
    </w:rPr>
  </w:style>
  <w:style w:type="paragraph" w:styleId="2">
    <w:name w:val="heading 5"/>
    <w:basedOn w:val="1"/>
    <w:next w:val="1"/>
    <w:unhideWhenUsed/>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2025-12-19T10:14:00Z</dcterms:created>
  <dc:creator>Administrator</dc:creator>
  <cp:lastModifiedBy>user</cp:lastModifiedBy>
  <cp:lastPrinted>2025-12-19T16:49:29Z</cp:lastPrinted>
  <dcterms:modified xsi:type="dcterms:W3CDTF">2025-12-19T17:36:27Z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