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3FE45">
      <w:pPr>
        <w:pStyle w:val="6"/>
        <w:widowControl/>
        <w:shd w:val="clear" w:color="auto" w:fill="FFFFFF"/>
        <w:spacing w:beforeAutospacing="0" w:afterAutospacing="0" w:line="480" w:lineRule="exact"/>
        <w:ind w:firstLine="1200" w:firstLineChars="300"/>
        <w:jc w:val="both"/>
        <w:rPr>
          <w:rFonts w:ascii="方正小标宋_GBK" w:hAnsi="方正小标宋_GBK" w:eastAsia="方正小标宋_GBK" w:cs="方正小标宋_GBK"/>
          <w:color w:val="000000"/>
          <w:sz w:val="40"/>
          <w:szCs w:val="40"/>
          <w:shd w:val="clear" w:color="auto" w:fill="FFFFFF"/>
        </w:rPr>
      </w:pPr>
      <w:bookmarkStart w:id="0" w:name="_GoBack"/>
      <w:bookmarkEnd w:id="0"/>
      <w:r>
        <w:rPr>
          <w:rFonts w:hint="eastAsia" w:ascii="方正小标宋_GBK" w:hAnsi="方正小标宋_GBK" w:eastAsia="方正小标宋_GBK" w:cs="方正小标宋_GBK"/>
          <w:color w:val="000000"/>
          <w:sz w:val="40"/>
          <w:szCs w:val="40"/>
          <w:shd w:val="clear" w:color="auto" w:fill="FFFFFF"/>
        </w:rPr>
        <w:t>2025年度怀化市殡葬事务中心整体支出</w:t>
      </w:r>
    </w:p>
    <w:p w14:paraId="1F779A66">
      <w:pPr>
        <w:pStyle w:val="6"/>
        <w:widowControl/>
        <w:shd w:val="clear" w:color="auto" w:fill="FFFFFF"/>
        <w:spacing w:beforeAutospacing="0" w:afterAutospacing="0" w:line="480" w:lineRule="exact"/>
        <w:ind w:firstLine="2800" w:firstLineChars="700"/>
        <w:jc w:val="both"/>
        <w:rPr>
          <w:rFonts w:ascii="方正小标宋_GBK" w:hAnsi="方正小标宋_GBK" w:eastAsia="方正小标宋_GBK" w:cs="方正小标宋_GBK"/>
          <w:color w:val="000000"/>
          <w:sz w:val="40"/>
          <w:szCs w:val="40"/>
          <w:shd w:val="clear" w:color="auto" w:fill="FFFFFF"/>
        </w:rPr>
      </w:pPr>
    </w:p>
    <w:p w14:paraId="7ADEA192">
      <w:pPr>
        <w:pStyle w:val="6"/>
        <w:widowControl/>
        <w:shd w:val="clear" w:color="auto" w:fill="FFFFFF"/>
        <w:spacing w:beforeAutospacing="0" w:afterAutospacing="0" w:line="480" w:lineRule="exact"/>
        <w:ind w:firstLine="2800" w:firstLineChars="700"/>
        <w:jc w:val="both"/>
        <w:rPr>
          <w:rFonts w:ascii="方正小标宋_GBK" w:hAnsi="方正小标宋_GBK" w:eastAsia="方正小标宋_GBK" w:cs="方正小标宋_GBK"/>
          <w:color w:val="000000"/>
          <w:sz w:val="40"/>
          <w:szCs w:val="40"/>
          <w:shd w:val="clear" w:color="auto" w:fill="FFFFFF"/>
        </w:rPr>
      </w:pPr>
      <w:r>
        <w:rPr>
          <w:rFonts w:hint="eastAsia" w:ascii="方正小标宋_GBK" w:hAnsi="方正小标宋_GBK" w:eastAsia="方正小标宋_GBK" w:cs="方正小标宋_GBK"/>
          <w:color w:val="000000"/>
          <w:sz w:val="40"/>
          <w:szCs w:val="40"/>
          <w:shd w:val="clear" w:color="auto" w:fill="FFFFFF"/>
        </w:rPr>
        <w:t>绩效自评报告</w:t>
      </w:r>
    </w:p>
    <w:p w14:paraId="5E80A2E2">
      <w:pPr>
        <w:pStyle w:val="6"/>
        <w:widowControl/>
        <w:shd w:val="clear" w:color="auto" w:fill="FFFFFF"/>
        <w:spacing w:beforeAutospacing="0" w:afterAutospacing="0" w:line="480" w:lineRule="exact"/>
        <w:ind w:firstLine="2800" w:firstLineChars="700"/>
        <w:jc w:val="both"/>
        <w:rPr>
          <w:rFonts w:ascii="方正小标宋_GBK" w:hAnsi="方正小标宋_GBK" w:eastAsia="方正小标宋_GBK" w:cs="方正小标宋_GBK"/>
          <w:color w:val="000000"/>
          <w:sz w:val="40"/>
          <w:szCs w:val="40"/>
          <w:shd w:val="clear" w:color="auto" w:fill="FFFFFF"/>
        </w:rPr>
      </w:pPr>
    </w:p>
    <w:p w14:paraId="6F6A4578">
      <w:pPr>
        <w:pStyle w:val="6"/>
        <w:widowControl/>
        <w:shd w:val="clear" w:color="auto" w:fill="FFFFFF"/>
        <w:spacing w:beforeAutospacing="0" w:afterAutospacing="0" w:line="480" w:lineRule="exact"/>
        <w:ind w:firstLine="2800" w:firstLineChars="700"/>
        <w:jc w:val="both"/>
        <w:rPr>
          <w:rFonts w:ascii="方正小标宋_GBK" w:hAnsi="方正小标宋_GBK" w:eastAsia="方正小标宋_GBK" w:cs="方正小标宋_GBK"/>
          <w:color w:val="000000"/>
          <w:sz w:val="40"/>
          <w:szCs w:val="40"/>
          <w:shd w:val="clear" w:color="auto" w:fill="FFFFFF"/>
        </w:rPr>
      </w:pPr>
      <w:r>
        <w:rPr>
          <w:rFonts w:hint="eastAsia" w:ascii="方正小标宋_GBK" w:hAnsi="方正小标宋_GBK" w:eastAsia="方正小标宋_GBK" w:cs="方正小标宋_GBK"/>
          <w:color w:val="000000"/>
          <w:sz w:val="40"/>
          <w:szCs w:val="40"/>
          <w:shd w:val="clear" w:color="auto" w:fill="FFFFFF"/>
        </w:rPr>
        <w:t>（参考格式）</w:t>
      </w:r>
    </w:p>
    <w:p w14:paraId="0EE5B7CA">
      <w:pPr>
        <w:snapToGrid w:val="0"/>
        <w:spacing w:line="520" w:lineRule="exact"/>
        <w:ind w:firstLine="643" w:firstLineChars="200"/>
        <w:rPr>
          <w:rFonts w:ascii="方正黑体_GBK" w:hAnsi="方正黑体_GBK" w:eastAsia="方正黑体_GBK" w:cs="方正黑体_GBK"/>
          <w:b/>
          <w:bCs/>
          <w:sz w:val="32"/>
          <w:szCs w:val="32"/>
        </w:rPr>
      </w:pPr>
    </w:p>
    <w:p w14:paraId="2C9D2991">
      <w:pPr>
        <w:snapToGrid w:val="0"/>
        <w:spacing w:line="520" w:lineRule="exact"/>
        <w:ind w:firstLine="643" w:firstLineChars="200"/>
        <w:rPr>
          <w:rFonts w:ascii="方正黑体_GBK" w:hAnsi="方正黑体_GBK" w:eastAsia="方正黑体_GBK" w:cs="方正黑体_GBK"/>
          <w:b/>
          <w:bCs/>
          <w:sz w:val="32"/>
          <w:szCs w:val="32"/>
        </w:rPr>
      </w:pPr>
    </w:p>
    <w:p w14:paraId="2BEC2AFA">
      <w:pPr>
        <w:snapToGrid w:val="0"/>
        <w:spacing w:line="520" w:lineRule="exact"/>
        <w:ind w:firstLine="643" w:firstLineChars="200"/>
        <w:rPr>
          <w:rFonts w:ascii="方正黑体_GBK" w:hAnsi="方正黑体_GBK" w:eastAsia="方正黑体_GBK" w:cs="方正黑体_GBK"/>
          <w:b/>
          <w:bCs/>
          <w:sz w:val="32"/>
          <w:szCs w:val="32"/>
        </w:rPr>
      </w:pPr>
    </w:p>
    <w:p w14:paraId="5F7F75A9">
      <w:pPr>
        <w:snapToGrid w:val="0"/>
        <w:spacing w:line="520" w:lineRule="exact"/>
        <w:ind w:firstLine="643" w:firstLineChars="200"/>
        <w:rPr>
          <w:rFonts w:ascii="方正黑体_GBK" w:hAnsi="方正黑体_GBK" w:eastAsia="方正黑体_GBK" w:cs="方正黑体_GBK"/>
          <w:b/>
          <w:bCs/>
          <w:sz w:val="32"/>
          <w:szCs w:val="32"/>
        </w:rPr>
      </w:pPr>
    </w:p>
    <w:p w14:paraId="32A38E75">
      <w:pPr>
        <w:snapToGrid w:val="0"/>
        <w:spacing w:line="520" w:lineRule="exact"/>
        <w:ind w:firstLine="2891" w:firstLineChars="9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单位名称（盖章）：</w:t>
      </w:r>
    </w:p>
    <w:p w14:paraId="1F5C45C2">
      <w:pPr>
        <w:snapToGrid w:val="0"/>
        <w:spacing w:line="520" w:lineRule="exact"/>
        <w:ind w:firstLine="643" w:firstLineChars="200"/>
        <w:rPr>
          <w:rFonts w:ascii="方正黑体_GBK" w:hAnsi="方正黑体_GBK" w:eastAsia="方正黑体_GBK" w:cs="方正黑体_GBK"/>
          <w:b/>
          <w:bCs/>
          <w:sz w:val="32"/>
          <w:szCs w:val="32"/>
        </w:rPr>
      </w:pPr>
    </w:p>
    <w:p w14:paraId="7164A39C">
      <w:pPr>
        <w:snapToGrid w:val="0"/>
        <w:spacing w:line="520" w:lineRule="exact"/>
        <w:ind w:firstLine="643" w:firstLineChars="200"/>
        <w:rPr>
          <w:rFonts w:ascii="方正黑体_GBK" w:hAnsi="方正黑体_GBK" w:eastAsia="方正黑体_GBK" w:cs="方正黑体_GBK"/>
          <w:b/>
          <w:bCs/>
          <w:sz w:val="32"/>
          <w:szCs w:val="32"/>
        </w:rPr>
      </w:pPr>
    </w:p>
    <w:p w14:paraId="3A40A0A3">
      <w:pPr>
        <w:snapToGrid w:val="0"/>
        <w:spacing w:line="520" w:lineRule="exact"/>
        <w:rPr>
          <w:rFonts w:ascii="方正黑体_GBK" w:hAnsi="方正黑体_GBK" w:eastAsia="方正黑体_GBK" w:cs="方正黑体_GBK"/>
          <w:b/>
          <w:bCs/>
          <w:sz w:val="32"/>
          <w:szCs w:val="32"/>
        </w:rPr>
      </w:pPr>
    </w:p>
    <w:p w14:paraId="2DA6E4BB">
      <w:pPr>
        <w:snapToGrid w:val="0"/>
        <w:spacing w:line="520" w:lineRule="exact"/>
        <w:rPr>
          <w:rFonts w:ascii="方正黑体_GBK" w:hAnsi="方正黑体_GBK" w:eastAsia="方正黑体_GBK" w:cs="方正黑体_GBK"/>
          <w:b/>
          <w:bCs/>
          <w:sz w:val="32"/>
          <w:szCs w:val="32"/>
        </w:rPr>
      </w:pPr>
    </w:p>
    <w:p w14:paraId="1783FA8E">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298E064F">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（一）部门（单位）基本情况。</w:t>
      </w:r>
    </w:p>
    <w:p w14:paraId="0C10EDAA">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怀化市殡葬事务中心是怀化市民政局下属副处级财政差额公益二类事业单位，内设办公室、财务部、公墓服务部、殡仪服务部、安全保障部5个副科级机构。2025年末，核定编制31人，实际在职29人，人员控制率93.55%。</w:t>
      </w:r>
    </w:p>
    <w:p w14:paraId="6DA5D743">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主要职责：提供遗体接运、存放、整容、防腐、告别、火化等殡仪服务；负责公墓运营与骨灰寄存；承办无名遗体、涉案遗体处置；落实特殊群体殡葬费用减免补助；执行惠民殡葬政策；开展殡葬改革与移风易俗宣传；完成市民政局交办的其他任务。</w:t>
      </w:r>
    </w:p>
    <w:p w14:paraId="3D64060E">
      <w:pPr>
        <w:numPr>
          <w:ilvl w:val="0"/>
          <w:numId w:val="1"/>
        </w:num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部门（单位）整体支出规模、使用方向和主要内容、涉及范围等。</w:t>
      </w:r>
    </w:p>
    <w:p w14:paraId="7E7CCC06">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2025年度部门整体支出：</w:t>
      </w:r>
    </w:p>
    <w:p w14:paraId="0F2D6A17">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年初预算：1427.55万元</w:t>
      </w:r>
    </w:p>
    <w:p w14:paraId="1CBFFD61">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全年预算：7771.22万元</w:t>
      </w:r>
    </w:p>
    <w:p w14:paraId="020C5D2A">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全年执行：4158.94万元</w:t>
      </w:r>
    </w:p>
    <w:p w14:paraId="579EE2C5">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预算执行率：53.51%</w:t>
      </w:r>
    </w:p>
    <w:p w14:paraId="1D417794">
      <w:pPr>
        <w:snapToGrid w:val="0"/>
        <w:spacing w:line="520" w:lineRule="exact"/>
        <w:ind w:firstLine="64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资金结构：</w:t>
      </w:r>
    </w:p>
    <w:p w14:paraId="769A1D82">
      <w:pPr>
        <w:snapToGrid w:val="0"/>
        <w:spacing w:line="520" w:lineRule="exact"/>
        <w:ind w:firstLine="64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基本支出：1113.20万元，用于人员经费、公用经费等日常运转。</w:t>
      </w:r>
    </w:p>
    <w:p w14:paraId="3F65448F">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项目支出：6658.02万元，用于殡仪馆原址新建、日常运行维护。</w:t>
      </w:r>
    </w:p>
    <w:p w14:paraId="0E28F43B">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11B65F94">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771E03E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人员经费：足额保障工资、社保、公积金等，发放及时、管理规范。</w:t>
      </w:r>
    </w:p>
    <w:p w14:paraId="6D7ED2D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公用经费：预算88.47万元，决算77.27万元，执行率87.34%，严控非必要开支。</w:t>
      </w:r>
    </w:p>
    <w:p w14:paraId="23101B75">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“三公”经费：预算41万元，决算6.94万元，全部为公车运行维护费，无公务接待、无出国出境经费，厉行节约成效显著。</w:t>
      </w:r>
    </w:p>
    <w:p w14:paraId="4C00A2FC">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3214EA01">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资金来源：一般公共预算、政府性基金、非税收入、其他资金统筹保障。</w:t>
      </w:r>
    </w:p>
    <w:p w14:paraId="44CFD94A">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执行情况：原址新建项目预算6128万元，执行2956.87万元；日常运行维护预算530.02万元，执行202.53万元。</w:t>
      </w:r>
    </w:p>
    <w:p w14:paraId="4CEBEA4F">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管理情况：严格执行预算、国库支付、政府采购制度，账务规范；存在预算执行与工程进度匹配度不高、预算弹性不足等问题。</w:t>
      </w:r>
    </w:p>
    <w:p w14:paraId="604D0336">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60C6DD34">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原址新建项目：受资金到位、天气等影响，仅完成阶段性工程，未达竣工验收目标。</w:t>
      </w:r>
    </w:p>
    <w:p w14:paraId="40A04434">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日常运行维护：火化、殡仪、公墓管理等核心业务正常开展，服务稳定。</w:t>
      </w:r>
    </w:p>
    <w:p w14:paraId="5B972C9B">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专项工作：服务技能培训完成；“岗位大练兵”因工作统筹未开展；绿色殡葬宣传按实际推进。</w:t>
      </w:r>
    </w:p>
    <w:p w14:paraId="123D02E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 制度管理：建立招投标、施工、资金审核、安全监管制度，主管部门定期督导检查。</w:t>
      </w:r>
    </w:p>
    <w:p w14:paraId="05BCE02F">
      <w:pPr>
        <w:snapToGrid w:val="0"/>
        <w:spacing w:line="520" w:lineRule="exact"/>
        <w:rPr>
          <w:rFonts w:ascii="Times New Roman Regular" w:hAnsi="Times New Roman Regular" w:eastAsia="仿宋_GB2312" w:cs="Times New Roman Regular"/>
          <w:sz w:val="32"/>
          <w:szCs w:val="32"/>
        </w:rPr>
      </w:pPr>
      <w:r>
        <w:rPr>
          <w:rFonts w:ascii="方正黑体_GBK" w:hAnsi="方正黑体_GBK" w:eastAsia="方正黑体_GBK" w:cs="方正黑体_GBK"/>
          <w:b/>
          <w:bCs/>
          <w:sz w:val="32"/>
          <w:szCs w:val="32"/>
        </w:rPr>
        <w:t>四、资产管理情况</w:t>
      </w:r>
    </w:p>
    <w:p w14:paraId="6AAFCDED">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2025年政府采购金额113.64万元，资产配置合规、处置规范，建立资产台账，账实相符。资产管理信息化水平不足，动态管理能力有待提升。</w:t>
      </w:r>
    </w:p>
    <w:p w14:paraId="7ADBE817">
      <w:pPr>
        <w:numPr>
          <w:ilvl w:val="0"/>
          <w:numId w:val="2"/>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政府性基金预算支出情况</w:t>
      </w:r>
    </w:p>
    <w:p w14:paraId="03932AD2">
      <w:pPr>
        <w:snapToGrid w:val="0"/>
        <w:spacing w:line="520" w:lineRule="exact"/>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r>
        <w:rPr>
          <w:rFonts w:hint="eastAsia" w:ascii="Times New Roman Regular" w:hAnsi="Times New Roman Regular" w:eastAsia="仿宋_GB2312" w:cs="Times New Roman Regular"/>
          <w:sz w:val="32"/>
          <w:szCs w:val="32"/>
        </w:rPr>
        <w:t>2025年度按财政规定执行，资金使用规范、合法，其全部支出全部用于怀化市殡仪馆原址新建项目，支出合计</w:t>
      </w:r>
      <w:r>
        <w:rPr>
          <w:rFonts w:hint="eastAsia" w:ascii="宋体" w:hAnsi="宋体" w:eastAsia="宋体" w:cs="宋体"/>
          <w:sz w:val="32"/>
          <w:szCs w:val="32"/>
        </w:rPr>
        <w:t>2066.87</w:t>
      </w:r>
      <w:r>
        <w:rPr>
          <w:rFonts w:hint="eastAsia" w:ascii="Times New Roman Regular" w:hAnsi="Times New Roman Regular" w:eastAsia="仿宋_GB2312" w:cs="Times New Roman Regular"/>
          <w:sz w:val="32"/>
          <w:szCs w:val="32"/>
        </w:rPr>
        <w:t>万元。</w:t>
      </w:r>
    </w:p>
    <w:p w14:paraId="6A709E25">
      <w:pPr>
        <w:numPr>
          <w:ilvl w:val="0"/>
          <w:numId w:val="2"/>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国有资本经营预算支出情况</w:t>
      </w:r>
    </w:p>
    <w:p w14:paraId="215B59E9">
      <w:pPr>
        <w:snapToGrid w:val="0"/>
        <w:spacing w:line="520" w:lineRule="exact"/>
        <w:ind w:firstLine="640" w:firstLineChars="200"/>
        <w:rPr>
          <w:rFonts w:ascii="方正黑体_GBK" w:hAnsi="方正黑体_GBK" w:eastAsia="仿宋_GB2312" w:cs="方正黑体_GBK"/>
          <w:b/>
          <w:bCs/>
          <w:sz w:val="32"/>
          <w:szCs w:val="32"/>
        </w:rPr>
      </w:pPr>
      <w:r>
        <w:rPr>
          <w:rFonts w:hint="eastAsia" w:ascii="Times New Roman Regular" w:hAnsi="Times New Roman Regular" w:eastAsia="仿宋_GB2312" w:cs="Times New Roman Regular"/>
          <w:sz w:val="32"/>
          <w:szCs w:val="32"/>
        </w:rPr>
        <w:t>2025年度无国有资本经营预算支出。</w:t>
      </w:r>
    </w:p>
    <w:p w14:paraId="5477919F">
      <w:pPr>
        <w:numPr>
          <w:ilvl w:val="0"/>
          <w:numId w:val="2"/>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社会保险基金预算支出情况</w:t>
      </w:r>
    </w:p>
    <w:p w14:paraId="5C981F52">
      <w:pPr>
        <w:snapToGrid w:val="0"/>
        <w:spacing w:line="520" w:lineRule="exact"/>
        <w:ind w:firstLine="640" w:firstLineChars="200"/>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2025年度无社会保险基金预算支出。</w:t>
      </w:r>
    </w:p>
    <w:p w14:paraId="571D253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八、部门整体支出绩效情况</w:t>
      </w:r>
    </w:p>
    <w:p w14:paraId="6AB944AE">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（一）产出指标</w:t>
      </w:r>
    </w:p>
    <w:p w14:paraId="2B9194D0">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1. 数量指标：火化遗体1464具，集中治丧701场次，提供4类基本殡葬服务，服务技能培训1次，岗位大练兵未开展。</w:t>
      </w:r>
    </w:p>
    <w:p w14:paraId="040BE0D6">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质量指标：工作质量达标率95%、培训合格率95%、火化完成率95%，全部达标。</w:t>
      </w:r>
    </w:p>
    <w:p w14:paraId="3EC5EBE4">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时效指标：年度任务按期完成。</w:t>
      </w:r>
    </w:p>
    <w:p w14:paraId="1294B8EF">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（二）效益指标</w:t>
      </w:r>
    </w:p>
    <w:p w14:paraId="0C171FA2">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经济效益：财政资金使用效益明显；社会效益：殡葬服务稳定供给，惠民政策落实到位；生态效益：绿色殡葬有序推进；可持续影响：服务能力持续增强。</w:t>
      </w:r>
    </w:p>
    <w:p w14:paraId="1F11D191">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（三）满意度指标</w:t>
      </w:r>
    </w:p>
    <w:p w14:paraId="7670AF19">
      <w:pPr>
        <w:snapToGrid w:val="0"/>
        <w:spacing w:line="520" w:lineRule="exact"/>
        <w:ind w:firstLine="64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社会公众满意度≥90%，达标。</w:t>
      </w:r>
    </w:p>
    <w:p w14:paraId="63787527">
      <w:pPr>
        <w:snapToGrid w:val="0"/>
        <w:spacing w:line="520" w:lineRule="exact"/>
        <w:ind w:firstLine="64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（四）成本指标</w:t>
      </w:r>
    </w:p>
    <w:p w14:paraId="3689E3A1">
      <w:pPr>
        <w:snapToGrid w:val="0"/>
        <w:spacing w:line="52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整体支出执行4158.94万元，成本合规可控；执行率偏低主要因项目资金拨付滞后。</w:t>
      </w:r>
    </w:p>
    <w:p w14:paraId="2D75ED78">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3C8492B0">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预算执行率偏低，原址新建项目资金到位滞后。</w:t>
      </w:r>
    </w:p>
    <w:p w14:paraId="4B109113">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预算编制刚性强、弹性不足，应对突发情况能力弱。</w:t>
      </w:r>
    </w:p>
    <w:p w14:paraId="242FE5DE">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部分专项活动统筹不到位，未按计划实施。</w:t>
      </w:r>
    </w:p>
    <w:p w14:paraId="323342B3">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 绩效动态监控、资产信息化管理有待加强。</w:t>
      </w:r>
    </w:p>
    <w:p w14:paraId="65263F4B">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十、下一步改进措施</w:t>
      </w:r>
    </w:p>
    <w:p w14:paraId="0A8E6C6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建立资金拨付预警与专项沟通机制，加快执行进度。</w:t>
      </w:r>
    </w:p>
    <w:p w14:paraId="5468D15F">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细化预算编制，预留弹性空间，提升精准性。</w:t>
      </w:r>
    </w:p>
    <w:p w14:paraId="67A1ECB5">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 制定年度活动清单，压实责任，确保任务落地。</w:t>
      </w:r>
    </w:p>
    <w:p w14:paraId="0804FCA2">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 健全绩效监控体系，实行月度跟踪、季度分析。</w:t>
      </w:r>
    </w:p>
    <w:p w14:paraId="3F54DF1B">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5. 推进资产信息化建设，实现全生命周期管理。</w:t>
      </w:r>
    </w:p>
    <w:p w14:paraId="41068507">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十一、绩效自评结果拟应用和公开情况</w:t>
      </w:r>
    </w:p>
    <w:p w14:paraId="2DB9A3DC">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 内部应用：针对问题召开整改会，明确责任与时限。</w:t>
      </w:r>
    </w:p>
    <w:p w14:paraId="7B7728E1">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 对外公开：按规定公开报告，接受社会监督，提升透明度。</w:t>
      </w:r>
    </w:p>
    <w:p w14:paraId="354A27D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十二、其他需要说明的情况</w:t>
      </w:r>
    </w:p>
    <w:p w14:paraId="14E7ADC7">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无。</w:t>
      </w: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embedRegular r:id="rId1" w:fontKey="{57BB470D-2599-41C8-A087-49EE6B1A40C7}"/>
  </w:font>
  <w:font w:name="方正小标宋_GBK">
    <w:panose1 w:val="03000509000000000000"/>
    <w:charset w:val="86"/>
    <w:family w:val="auto"/>
    <w:pitch w:val="default"/>
    <w:sig w:usb0="00000001" w:usb1="080E0000" w:usb2="00000000" w:usb3="00000000" w:csb0="00040000" w:csb1="00000000"/>
    <w:embedRegular r:id="rId2" w:fontKey="{3E35A00A-15BC-40F5-95B6-B540F4E0A062}"/>
  </w:font>
  <w:font w:name="Times New Roman Regular">
    <w:altName w:val="Times New Roman"/>
    <w:panose1 w:val="00000000000000000000"/>
    <w:charset w:val="00"/>
    <w:family w:val="auto"/>
    <w:pitch w:val="default"/>
    <w:sig w:usb0="00000000" w:usb1="00000000" w:usb2="00000009" w:usb3="00000000" w:csb0="400001FF" w:csb1="FFFF0000"/>
    <w:embedRegular r:id="rId3" w:fontKey="{484C6182-2170-4E4B-A97B-79BEB366A3E6}"/>
  </w:font>
  <w:font w:name="仿宋_GB2312">
    <w:panose1 w:val="02010609030101010101"/>
    <w:charset w:val="86"/>
    <w:family w:val="auto"/>
    <w:pitch w:val="default"/>
    <w:sig w:usb0="00000001" w:usb1="080E0000" w:usb2="00000000" w:usb3="00000000" w:csb0="00040000" w:csb1="00000000"/>
    <w:embedRegular r:id="rId4" w:fontKey="{B0731715-086D-416C-B644-390FC52FA992}"/>
  </w:font>
  <w:font w:name="WPSEMBED4">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9DE46"/>
    <w:multiLevelType w:val="singleLevel"/>
    <w:tmpl w:val="83E9DE46"/>
    <w:lvl w:ilvl="0" w:tentative="0">
      <w:start w:val="5"/>
      <w:numFmt w:val="chineseCounting"/>
      <w:suff w:val="nothing"/>
      <w:lvlText w:val="%1、"/>
      <w:lvlJc w:val="left"/>
      <w:rPr>
        <w:rFonts w:hint="eastAsia"/>
      </w:rPr>
    </w:lvl>
  </w:abstractNum>
  <w:abstractNum w:abstractNumId="1">
    <w:nsid w:val="A8272CCA"/>
    <w:multiLevelType w:val="singleLevel"/>
    <w:tmpl w:val="A8272CC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MDA4YjljOWRkYTEwMzVhMGU0MTZkMjJmNzQ2MTZmMDEifQ=="/>
    <w:docVar w:name="KSO_WPS_MARK_KEY" w:val="9920a277-c0c3-43b4-93d3-1636fe398e0b"/>
  </w:docVars>
  <w:rsids>
    <w:rsidRoot w:val="753C4E9B"/>
    <w:rsid w:val="000C5735"/>
    <w:rsid w:val="001706BD"/>
    <w:rsid w:val="001B7287"/>
    <w:rsid w:val="004A6707"/>
    <w:rsid w:val="004D412A"/>
    <w:rsid w:val="00995FA6"/>
    <w:rsid w:val="00A95972"/>
    <w:rsid w:val="00E45040"/>
    <w:rsid w:val="05E95AA6"/>
    <w:rsid w:val="0C180A78"/>
    <w:rsid w:val="0D276746"/>
    <w:rsid w:val="0D464D9C"/>
    <w:rsid w:val="0DD52794"/>
    <w:rsid w:val="0E956870"/>
    <w:rsid w:val="10C666A5"/>
    <w:rsid w:val="1223366A"/>
    <w:rsid w:val="143877FD"/>
    <w:rsid w:val="14B80712"/>
    <w:rsid w:val="17FCFFF6"/>
    <w:rsid w:val="19E805B2"/>
    <w:rsid w:val="1CBF872E"/>
    <w:rsid w:val="22FE234B"/>
    <w:rsid w:val="23C036D6"/>
    <w:rsid w:val="277E6F02"/>
    <w:rsid w:val="29990575"/>
    <w:rsid w:val="29E844E5"/>
    <w:rsid w:val="2AF6742D"/>
    <w:rsid w:val="2E9E2500"/>
    <w:rsid w:val="312A2265"/>
    <w:rsid w:val="333F3E43"/>
    <w:rsid w:val="36FC0F5D"/>
    <w:rsid w:val="375773F8"/>
    <w:rsid w:val="393E32BB"/>
    <w:rsid w:val="3EFDDE87"/>
    <w:rsid w:val="419B2857"/>
    <w:rsid w:val="41D71DA8"/>
    <w:rsid w:val="4C6611ED"/>
    <w:rsid w:val="4D5D3BD3"/>
    <w:rsid w:val="4EB7F892"/>
    <w:rsid w:val="51EF30FA"/>
    <w:rsid w:val="552A0475"/>
    <w:rsid w:val="56452538"/>
    <w:rsid w:val="578D10CB"/>
    <w:rsid w:val="5A5915AC"/>
    <w:rsid w:val="5ABBC979"/>
    <w:rsid w:val="5BFC7B3B"/>
    <w:rsid w:val="5E77C7C6"/>
    <w:rsid w:val="5FFFAAE0"/>
    <w:rsid w:val="66347B2F"/>
    <w:rsid w:val="667FD72C"/>
    <w:rsid w:val="6A12486A"/>
    <w:rsid w:val="6ABE64BE"/>
    <w:rsid w:val="6B5F16C5"/>
    <w:rsid w:val="6CF3EA5A"/>
    <w:rsid w:val="717B27A9"/>
    <w:rsid w:val="753C4E9B"/>
    <w:rsid w:val="769B7804"/>
    <w:rsid w:val="779FCBF0"/>
    <w:rsid w:val="77F7E21B"/>
    <w:rsid w:val="781113A7"/>
    <w:rsid w:val="791E6510"/>
    <w:rsid w:val="79E2F975"/>
    <w:rsid w:val="7B3BDBF2"/>
    <w:rsid w:val="7B4041A3"/>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autoRedefine/>
    <w:unhideWhenUsed/>
    <w:qFormat/>
    <w:uiPriority w:val="0"/>
    <w:pPr>
      <w:ind w:firstLine="640" w:firstLineChars="200"/>
    </w:pPr>
    <w:rPr>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qFormat/>
    <w:uiPriority w:val="0"/>
    <w:pPr>
      <w:spacing w:beforeAutospacing="1" w:afterAutospacing="1"/>
      <w:jc w:val="left"/>
    </w:pPr>
    <w:rPr>
      <w:rFonts w:cs="Times New Roman"/>
      <w:kern w:val="0"/>
      <w:sz w:val="24"/>
    </w:rPr>
  </w:style>
  <w:style w:type="paragraph" w:styleId="7">
    <w:name w:val="Body Text First Indent 2"/>
    <w:basedOn w:val="3"/>
    <w:autoRedefine/>
    <w:unhideWhenUsed/>
    <w:qFormat/>
    <w:uiPriority w:val="99"/>
    <w:pPr>
      <w:ind w:firstLine="42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1566</Words>
  <Characters>1721</Characters>
  <Lines>13</Lines>
  <Paragraphs>3</Paragraphs>
  <TotalTime>0</TotalTime>
  <ScaleCrop>false</ScaleCrop>
  <LinksUpToDate>false</LinksUpToDate>
  <CharactersWithSpaces>1779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α小星</cp:lastModifiedBy>
  <cp:lastPrinted>2026-03-25T02:10:00Z</cp:lastPrinted>
  <dcterms:modified xsi:type="dcterms:W3CDTF">2026-10-28T08:42:58Z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EFC23DC2240549E095E339D148DF8166_13</vt:lpwstr>
  </property>
  <property fmtid="{D5CDD505-2E9C-101B-9397-08002B2CF9AE}" pid="4" name="KSOTemplateDocerSaveRecord">
    <vt:lpwstr>eyJoZGlkIjoiNWJlMGMxOTM3Mjg4ODNlMmQxNThkYzYxMDY2Zjk3NjgiLCJ1c2VySWQiOiIxMTM4MzkyMTM5In0=</vt:lpwstr>
  </property>
</Properties>
</file>