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82B9E">
      <w:pPr>
        <w:snapToGrid w:val="0"/>
        <w:spacing w:line="520" w:lineRule="exact"/>
        <w:ind w:firstLine="643" w:firstLineChars="200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</w:p>
    <w:p w14:paraId="0269AEB0">
      <w:pPr>
        <w:snapToGrid w:val="0"/>
        <w:spacing w:line="520" w:lineRule="exact"/>
        <w:ind w:left="2000" w:hanging="2000" w:hangingChars="500"/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怀化市殡葬事务中心2025年度单位日常运行维护项目支出</w:t>
      </w:r>
      <w:r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绩效自评报告</w:t>
      </w:r>
    </w:p>
    <w:p w14:paraId="4C36A296">
      <w:pPr>
        <w:snapToGrid w:val="0"/>
        <w:spacing w:line="520" w:lineRule="exact"/>
        <w:ind w:firstLine="3200" w:firstLineChars="800"/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</w:pPr>
      <w:r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(参考格式)</w:t>
      </w:r>
    </w:p>
    <w:p w14:paraId="576FCB3D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sz w:val="32"/>
          <w:szCs w:val="32"/>
        </w:rPr>
      </w:pPr>
    </w:p>
    <w:p w14:paraId="7C27D017">
      <w:pPr>
        <w:snapToGrid w:val="0"/>
        <w:spacing w:line="520" w:lineRule="exact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一、</w:t>
      </w:r>
      <w:r>
        <w:rPr>
          <w:rFonts w:ascii="方正黑体_GBK" w:hAnsi="方正黑体_GBK" w:eastAsia="方正黑体_GBK" w:cs="方正黑体_GBK"/>
          <w:b/>
          <w:bCs/>
          <w:sz w:val="32"/>
          <w:szCs w:val="32"/>
        </w:rPr>
        <w:t>项目概况</w:t>
      </w:r>
    </w:p>
    <w:p w14:paraId="20CA154C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项目基本情况</w:t>
      </w:r>
    </w:p>
    <w:p w14:paraId="3B58B247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1. 主管部门：怀化市民政局负责统筹监管与绩效督导。</w:t>
      </w:r>
    </w:p>
    <w:p w14:paraId="34612CEA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2. 实施单位：怀化市殡葬事务中心，负责日常运营、服务保障、设备维护、资金使用。</w:t>
      </w:r>
    </w:p>
    <w:p w14:paraId="48330BBF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3. 立项依据：保障殡葬服务体系运转，落实惠民政策，符合民政事业发展规划。</w:t>
      </w:r>
    </w:p>
    <w:p w14:paraId="6E1503DD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4. 资金来源：当年财政拨款，专款专用、规范管理。</w:t>
      </w:r>
    </w:p>
    <w:p w14:paraId="1EE1FBDD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5. 分配原则：优先保障火化、殡仪、安全运行等核心业务。</w:t>
      </w:r>
    </w:p>
    <w:p w14:paraId="66FF3A70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项目绩效目标</w:t>
      </w:r>
    </w:p>
    <w:p w14:paraId="0DD2B7FC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1. 主要内容：保障设施设备正常运转，提供遗体火化、殡仪服务、公墓维护等基本服务。</w:t>
      </w:r>
    </w:p>
    <w:p w14:paraId="5851D770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2. 绩效目标：年火化≥1300具，集中治丧≥630场次，提供4类基本服务，质量达标率≥95%，火化完成率≥95%，群众满意度≥90%，年底前完成年度任务。</w:t>
      </w:r>
    </w:p>
    <w:p w14:paraId="28CFA982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3. 目标合理性：贴合实际需求，量化清晰，可行可控。</w:t>
      </w:r>
    </w:p>
    <w:p w14:paraId="41F4832B">
      <w:pPr>
        <w:snapToGrid w:val="0"/>
        <w:spacing w:line="520" w:lineRule="exact"/>
        <w:ind w:firstLine="562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项目自评步骤及方法</w:t>
      </w:r>
    </w:p>
    <w:p w14:paraId="16FA7F0F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采用数据比对、台账核查、现场检查、满意度调查、效益分析相结合方式，逐项评价、量化打分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。</w:t>
      </w:r>
    </w:p>
    <w:p w14:paraId="278E877E">
      <w:pPr>
        <w:snapToGrid w:val="0"/>
        <w:spacing w:line="520" w:lineRule="exact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二、</w:t>
      </w:r>
      <w:r>
        <w:rPr>
          <w:rFonts w:ascii="方正黑体_GBK" w:hAnsi="方正黑体_GBK" w:eastAsia="方正黑体_GBK" w:cs="方正黑体_GBK"/>
          <w:b/>
          <w:bCs/>
          <w:sz w:val="32"/>
          <w:szCs w:val="32"/>
        </w:rPr>
        <w:t>项目资金申报及使用情况</w:t>
      </w:r>
    </w:p>
    <w:p w14:paraId="28DC3B1A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项目资金申报及批复情况</w:t>
      </w:r>
    </w:p>
    <w:p w14:paraId="7DEA8B67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项目年初预算497.90万元，全年预算497.90万元，均为财政拨款，程序规范、无调整。</w:t>
      </w:r>
    </w:p>
    <w:p w14:paraId="6669E1DF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资金计划、到位及使用情况(可用表格形式反映)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248"/>
        <w:gridCol w:w="1248"/>
        <w:gridCol w:w="1248"/>
        <w:gridCol w:w="1248"/>
        <w:gridCol w:w="1248"/>
        <w:gridCol w:w="1248"/>
      </w:tblGrid>
      <w:tr w14:paraId="7726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0D2F07DF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项目</w:t>
            </w:r>
          </w:p>
        </w:tc>
        <w:tc>
          <w:tcPr>
            <w:tcW w:w="1248" w:type="dxa"/>
          </w:tcPr>
          <w:p w14:paraId="67159E0D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年初预算(万元)</w:t>
            </w:r>
          </w:p>
        </w:tc>
        <w:tc>
          <w:tcPr>
            <w:tcW w:w="1248" w:type="dxa"/>
          </w:tcPr>
          <w:p w14:paraId="2F3992BA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全年预算(万元)</w:t>
            </w:r>
          </w:p>
        </w:tc>
        <w:tc>
          <w:tcPr>
            <w:tcW w:w="1248" w:type="dxa"/>
          </w:tcPr>
          <w:p w14:paraId="470667DD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 xml:space="preserve">全年执行(万元) </w:t>
            </w:r>
          </w:p>
        </w:tc>
        <w:tc>
          <w:tcPr>
            <w:tcW w:w="1248" w:type="dxa"/>
          </w:tcPr>
          <w:p w14:paraId="29C46077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执行率</w:t>
            </w:r>
          </w:p>
        </w:tc>
        <w:tc>
          <w:tcPr>
            <w:tcW w:w="1248" w:type="dxa"/>
          </w:tcPr>
          <w:p w14:paraId="798632B5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分值</w:t>
            </w:r>
          </w:p>
        </w:tc>
        <w:tc>
          <w:tcPr>
            <w:tcW w:w="1248" w:type="dxa"/>
          </w:tcPr>
          <w:p w14:paraId="3380234E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得分</w:t>
            </w:r>
          </w:p>
        </w:tc>
      </w:tr>
      <w:tr w14:paraId="42BD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7" w:type="dxa"/>
          </w:tcPr>
          <w:p w14:paraId="53035AD3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日常运行维护</w:t>
            </w:r>
          </w:p>
        </w:tc>
        <w:tc>
          <w:tcPr>
            <w:tcW w:w="1248" w:type="dxa"/>
          </w:tcPr>
          <w:p w14:paraId="219461CC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497.90</w:t>
            </w: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48" w:type="dxa"/>
          </w:tcPr>
          <w:p w14:paraId="5D0EC76E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497.90</w:t>
            </w:r>
          </w:p>
        </w:tc>
        <w:tc>
          <w:tcPr>
            <w:tcW w:w="1248" w:type="dxa"/>
          </w:tcPr>
          <w:p w14:paraId="22AF0F10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197.70</w:t>
            </w:r>
          </w:p>
        </w:tc>
        <w:tc>
          <w:tcPr>
            <w:tcW w:w="1248" w:type="dxa"/>
          </w:tcPr>
          <w:p w14:paraId="6A1C8057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39.71%</w:t>
            </w:r>
          </w:p>
        </w:tc>
        <w:tc>
          <w:tcPr>
            <w:tcW w:w="1248" w:type="dxa"/>
          </w:tcPr>
          <w:p w14:paraId="10D1E43B">
            <w:pPr>
              <w:snapToGrid w:val="0"/>
              <w:spacing w:line="520" w:lineRule="exact"/>
              <w:rPr>
                <w:rFonts w:hint="default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10</w:t>
            </w:r>
          </w:p>
        </w:tc>
        <w:tc>
          <w:tcPr>
            <w:tcW w:w="1248" w:type="dxa"/>
          </w:tcPr>
          <w:p w14:paraId="09F1F8C4">
            <w:pPr>
              <w:snapToGrid w:val="0"/>
              <w:spacing w:line="520" w:lineRule="exact"/>
              <w:rPr>
                <w:rFonts w:hint="default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3.97</w:t>
            </w:r>
          </w:p>
        </w:tc>
      </w:tr>
    </w:tbl>
    <w:p w14:paraId="12A2CB11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资金全额到位，使用合规，主要用于运维、耗材、水电、服务保障；执行率偏低因支出节奏延后。</w:t>
      </w:r>
    </w:p>
    <w:p w14:paraId="00F6ED44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项目财务管理情况</w:t>
      </w:r>
    </w:p>
    <w:p w14:paraId="0F353936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制度健全，核算规范，支付合规，无截留、挤占、挪用资金情况。</w:t>
      </w:r>
    </w:p>
    <w:p w14:paraId="7329949F">
      <w:pPr>
        <w:snapToGrid w:val="0"/>
        <w:spacing w:line="520" w:lineRule="exact"/>
        <w:ind w:firstLine="643" w:firstLineChars="200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三、</w:t>
      </w:r>
      <w:r>
        <w:rPr>
          <w:rFonts w:ascii="方正黑体_GBK" w:hAnsi="方正黑体_GBK" w:eastAsia="方正黑体_GBK" w:cs="方正黑体_GBK"/>
          <w:b/>
          <w:bCs/>
          <w:sz w:val="32"/>
          <w:szCs w:val="32"/>
        </w:rPr>
        <w:t>项目实施及管理情况</w:t>
      </w:r>
    </w:p>
    <w:p w14:paraId="2E7AD81F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项目组织架构及实施流程</w:t>
      </w:r>
    </w:p>
    <w:p w14:paraId="00471095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组织架构：中心统一统筹，多部门协同实施，流程完整。</w:t>
      </w:r>
    </w:p>
    <w:p w14:paraId="68BC0B0A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项目管理情况</w:t>
      </w:r>
    </w:p>
    <w:p w14:paraId="4BD19A77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运营管理：严格执行服务规范、安全制度、采购规定，运营稳定。</w:t>
      </w:r>
    </w:p>
    <w:p w14:paraId="020F0CB5">
      <w:pPr>
        <w:snapToGrid w:val="0"/>
        <w:spacing w:line="520" w:lineRule="exact"/>
        <w:ind w:firstLine="562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项目监管情况</w:t>
      </w:r>
    </w:p>
    <w:p w14:paraId="6E981451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监管情况：民政局定期检查，单位内部日常巡查，监管到位。</w:t>
      </w:r>
    </w:p>
    <w:p w14:paraId="11C795FC">
      <w:pPr>
        <w:snapToGrid w:val="0"/>
        <w:spacing w:line="52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四、项目绩效情况</w:t>
      </w:r>
    </w:p>
    <w:p w14:paraId="2D0842CA">
      <w:pPr>
        <w:snapToGrid w:val="0"/>
        <w:spacing w:line="520" w:lineRule="exact"/>
        <w:ind w:firstLine="562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项目完成情况</w:t>
      </w:r>
    </w:p>
    <w:p w14:paraId="52D95870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数量：火化1464具、治丧701场次，超额完成；质量：达标率95%、火化率95%；时效：按期完成；成本：197.70万元，合规可控。</w:t>
      </w:r>
    </w:p>
    <w:p w14:paraId="2EA4C9B1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项目效益情况</w:t>
      </w:r>
    </w:p>
    <w:p w14:paraId="69DDB575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社会效益：保障群众治丧需求；生态效益：绿色运营规范；可持续影响：夯实长效运营基础；满意度：90%，达标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。</w:t>
      </w:r>
    </w:p>
    <w:p w14:paraId="059FA6D2">
      <w:pPr>
        <w:snapToGrid w:val="0"/>
        <w:spacing w:line="52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五、</w:t>
      </w:r>
      <w:r>
        <w:rPr>
          <w:rFonts w:ascii="方正黑体_GBK" w:hAnsi="方正黑体_GBK" w:eastAsia="方正黑体_GBK" w:cs="方正黑体_GBK"/>
          <w:sz w:val="32"/>
          <w:szCs w:val="32"/>
        </w:rPr>
        <w:t>评价结论及建议</w:t>
      </w:r>
    </w:p>
    <w:p w14:paraId="56E73709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评价结论</w:t>
      </w:r>
    </w:p>
    <w:p w14:paraId="754DE39D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项目自评得分93.97分，服务指标全面完成，质量与满意度高，管理规范；预算执行率偏低，需提升效率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。</w:t>
      </w:r>
    </w:p>
    <w:p w14:paraId="137B7F3C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存在的问题</w:t>
      </w:r>
    </w:p>
    <w:p w14:paraId="711B4B1F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1. 预算执行进度偏慢。</w:t>
      </w:r>
    </w:p>
    <w:p w14:paraId="48A0E0A3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2. 预算与实际支出节奏匹配不足。</w:t>
      </w:r>
    </w:p>
    <w:p w14:paraId="14748CAA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3. 资金精细化管理有待加强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。</w:t>
      </w:r>
    </w:p>
    <w:p w14:paraId="7FDBDB81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相关建议</w:t>
      </w:r>
    </w:p>
    <w:p w14:paraId="392AC5E6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  <w:lang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eastAsia="zh-CN"/>
        </w:rPr>
        <w:t>无。</w:t>
      </w:r>
    </w:p>
    <w:p w14:paraId="4DAD8589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</w:p>
    <w:p w14:paraId="79B84A48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1F41278-B994-49E9-8D63-DD6B14DAE43C}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2" w:fontKey="{F45CE974-3E14-4B01-88B7-7D7321BEA1A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5399024-53AB-4858-BD08-865EB2BD6127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1AF65C8-7375-4C64-9822-5BE720748D30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MDA4YjljOWRkYTEwMzVhMGU0MTZkMjJmNzQ2MTZmMDEifQ=="/>
    <w:docVar w:name="KSO_WPS_MARK_KEY" w:val="9920a277-c0c3-43b4-93d3-1636fe398e0b"/>
  </w:docVars>
  <w:rsids>
    <w:rsidRoot w:val="753C4E9B"/>
    <w:rsid w:val="000C5735"/>
    <w:rsid w:val="004A6707"/>
    <w:rsid w:val="009A5CD8"/>
    <w:rsid w:val="00A25EC9"/>
    <w:rsid w:val="00B67ACC"/>
    <w:rsid w:val="00D962DA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4B80712"/>
    <w:rsid w:val="17FCFFF6"/>
    <w:rsid w:val="19E805B2"/>
    <w:rsid w:val="1CBF872E"/>
    <w:rsid w:val="22FE234B"/>
    <w:rsid w:val="23C036D6"/>
    <w:rsid w:val="277E6F02"/>
    <w:rsid w:val="29990575"/>
    <w:rsid w:val="29E844E5"/>
    <w:rsid w:val="2AF6742D"/>
    <w:rsid w:val="312A2265"/>
    <w:rsid w:val="333F3E43"/>
    <w:rsid w:val="36FC0F5D"/>
    <w:rsid w:val="375773F8"/>
    <w:rsid w:val="393E32BB"/>
    <w:rsid w:val="3AC54C20"/>
    <w:rsid w:val="3AE53136"/>
    <w:rsid w:val="3EFDDE87"/>
    <w:rsid w:val="419B2857"/>
    <w:rsid w:val="41D71DA8"/>
    <w:rsid w:val="47CF654B"/>
    <w:rsid w:val="4C6611ED"/>
    <w:rsid w:val="4D5D3BD3"/>
    <w:rsid w:val="4EB7F892"/>
    <w:rsid w:val="552A0475"/>
    <w:rsid w:val="578D10CB"/>
    <w:rsid w:val="5A5915AC"/>
    <w:rsid w:val="5ABBC979"/>
    <w:rsid w:val="5BFC7B3B"/>
    <w:rsid w:val="5E77C7C6"/>
    <w:rsid w:val="5FFFAAE0"/>
    <w:rsid w:val="66347B2F"/>
    <w:rsid w:val="667FD72C"/>
    <w:rsid w:val="6A12486A"/>
    <w:rsid w:val="6ABE64BE"/>
    <w:rsid w:val="6B5F16C5"/>
    <w:rsid w:val="6CF3EA5A"/>
    <w:rsid w:val="717B27A9"/>
    <w:rsid w:val="753C4E9B"/>
    <w:rsid w:val="769B7804"/>
    <w:rsid w:val="779FCBF0"/>
    <w:rsid w:val="77F7E21B"/>
    <w:rsid w:val="781113A7"/>
    <w:rsid w:val="791E6510"/>
    <w:rsid w:val="79E2F975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HAnsi" w:hAnsiTheme="majorHAnsi" w:cstheme="majorBidi"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unhideWhenUsed/>
    <w:qFormat/>
    <w:uiPriority w:val="0"/>
    <w:pPr>
      <w:ind w:firstLine="640" w:firstLineChars="200"/>
    </w:pPr>
    <w:rPr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3"/>
    <w:autoRedefine/>
    <w:unhideWhenUsed/>
    <w:qFormat/>
    <w:uiPriority w:val="99"/>
    <w:pPr>
      <w:ind w:firstLine="42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标题1"/>
    <w:basedOn w:val="2"/>
    <w:autoRedefine/>
    <w:qFormat/>
    <w:uiPriority w:val="0"/>
    <w:rPr>
      <w:rFonts w:eastAsia="黑体"/>
    </w:rPr>
  </w:style>
  <w:style w:type="paragraph" w:customStyle="1" w:styleId="12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974</Words>
  <Characters>1053</Characters>
  <Lines>9</Lines>
  <Paragraphs>2</Paragraphs>
  <TotalTime>12</TotalTime>
  <ScaleCrop>false</ScaleCrop>
  <LinksUpToDate>false</LinksUpToDate>
  <CharactersWithSpaces>1066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2024-02-23T10:03:00Z</dcterms:created>
  <dc:creator>1402836399</dc:creator>
  <cp:lastModifiedBy>α小星</cp:lastModifiedBy>
  <cp:lastPrinted>2026-03-25T02:10:00Z</cp:lastPrinted>
  <dcterms:modified xsi:type="dcterms:W3CDTF">2026-10-28T08:42:13Z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EFC23DC2240549E095E339D148DF8166_13</vt:lpwstr>
  </property>
  <property fmtid="{D5CDD505-2E9C-101B-9397-08002B2CF9AE}" pid="4" name="KSOTemplateDocerSaveRecord">
    <vt:lpwstr>eyJoZGlkIjoiNWJlMGMxOTM3Mjg4ODNlMmQxNThkYzYxMDY2Zjk3NjgiLCJ1c2VySWQiOiIxMTM4MzkyMTM5In0=</vt:lpwstr>
  </property>
</Properties>
</file>