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hd w:val="clear" w:fill="FFFFFF"/>
        <w:spacing w:lineRule="exact" w:line="600" w:beforeLines="0" w:beforeAutospacing="0" w:afterLines="0" w:afterAutospacing="0"/>
        <w:rPr>
          <w:rFonts w:ascii="Times New Roman" w:hAnsi="Times New Roman" w:eastAsia="黑体" w:cs="Times New Roman"/>
          <w:sz w:val="32"/>
          <w:szCs w:val="32"/>
        </w:rPr>
      </w:pPr>
      <w:r>
        <w:rPr>
          <w:rFonts w:eastAsia="黑体" w:cs="Times New Roman" w:ascii="Times New Roman" w:hAnsi="Times New Roman"/>
          <w:sz w:val="32"/>
          <w:szCs w:val="32"/>
        </w:rPr>
      </w:r>
    </w:p>
    <w:p>
      <w:pPr>
        <w:pStyle w:val="Style14"/>
        <w:rPr>
          <w:rFonts w:ascii="仿宋_GB2312;仿宋" w:hAnsi="仿宋_GB2312;仿宋" w:eastAsia="仿宋_GB2312;仿宋" w:cs="Times New Roman"/>
          <w:sz w:val="32"/>
          <w:szCs w:val="32"/>
        </w:rPr>
      </w:pPr>
      <w:r>
        <w:rPr>
          <w:rFonts w:eastAsia="仿宋_GB2312;仿宋" w:cs="Times New Roman" w:ascii="仿宋_GB2312;仿宋" w:hAnsi="仿宋_GB2312;仿宋"/>
          <w:sz w:val="32"/>
          <w:szCs w:val="32"/>
        </w:rPr>
      </w:r>
    </w:p>
    <w:p>
      <w:pPr>
        <w:pStyle w:val="Style14"/>
        <w:jc w:val="center"/>
        <w:rPr>
          <w:rFonts w:ascii="方正小标宋简体;黑体" w:hAnsi="方正小标宋简体;黑体" w:eastAsia="方正小标宋简体;黑体" w:cs="宋体"/>
          <w:sz w:val="44"/>
          <w:szCs w:val="44"/>
        </w:rPr>
      </w:pPr>
      <w:r>
        <w:rPr>
          <w:rFonts w:ascii="方正小标宋简体;黑体" w:hAnsi="方正小标宋简体;黑体" w:cs="宋体" w:eastAsia="方正小标宋简体;黑体"/>
          <w:sz w:val="44"/>
          <w:szCs w:val="44"/>
        </w:rPr>
        <w:t>怀化市涉企经营许可事项告知书</w:t>
      </w:r>
    </w:p>
    <w:p>
      <w:pPr>
        <w:pStyle w:val="Style14"/>
        <w:jc w:val="center"/>
        <w:rPr>
          <w:rFonts w:ascii="宋体" w:hAnsi="宋体" w:eastAsia="方正小标宋简体;黑体" w:cs="宋体"/>
          <w:sz w:val="44"/>
          <w:szCs w:val="44"/>
        </w:rPr>
      </w:pPr>
      <w:r>
        <w:rPr>
          <w:rFonts w:eastAsia="方正小标宋简体;黑体" w:cs="宋体" w:ascii="宋体" w:hAnsi="宋体"/>
          <w:sz w:val="44"/>
          <w:szCs w:val="44"/>
        </w:rPr>
      </w:r>
    </w:p>
    <w:p>
      <w:pPr>
        <w:pStyle w:val="Style14"/>
        <w:widowControl/>
        <w:numPr>
          <w:ilvl w:val="0"/>
          <w:numId w:val="2"/>
        </w:numPr>
        <w:spacing w:lineRule="exact" w:line="600"/>
        <w:jc w:val="left"/>
        <w:rPr>
          <w:rFonts w:ascii="黑体" w:hAnsi="黑体" w:eastAsia="黑体" w:cs="宋体"/>
          <w:color w:val="000000"/>
          <w:kern w:val="0"/>
          <w:sz w:val="32"/>
          <w:szCs w:val="32"/>
        </w:rPr>
      </w:pPr>
      <w:r>
        <w:rPr>
          <w:rFonts w:ascii="黑体" w:hAnsi="黑体" w:cs="宋体" w:eastAsia="黑体"/>
          <w:color w:val="000000"/>
          <w:kern w:val="0"/>
          <w:sz w:val="32"/>
          <w:szCs w:val="32"/>
        </w:rPr>
        <w:t>许可事项名称及编码</w:t>
      </w:r>
    </w:p>
    <w:p>
      <w:pPr>
        <w:pStyle w:val="Style14"/>
        <w:spacing w:lineRule="exact" w:line="600"/>
        <w:ind w:firstLine="640"/>
        <w:rPr>
          <w:rFonts w:ascii="楷体_GB2312;楷体" w:hAnsi="楷体_GB2312;楷体" w:eastAsia="楷体_GB2312;楷体" w:cs="宋体"/>
          <w:kern w:val="0"/>
          <w:sz w:val="32"/>
          <w:szCs w:val="32"/>
        </w:rPr>
      </w:pPr>
      <w:r>
        <w:rPr>
          <w:rFonts w:ascii="楷体_GB2312;楷体" w:hAnsi="楷体_GB2312;楷体" w:cs="宋体" w:eastAsia="楷体_GB2312;楷体"/>
          <w:kern w:val="0"/>
          <w:sz w:val="32"/>
          <w:szCs w:val="32"/>
        </w:rPr>
        <w:t xml:space="preserve">林草种子生产经营许可证  </w:t>
      </w:r>
      <w:r>
        <w:rPr>
          <w:rFonts w:eastAsia="楷体_GB2312;楷体" w:cs="Times New Roman" w:ascii="Times New Roman" w:hAnsi="Times New Roman"/>
          <w:kern w:val="0"/>
          <w:sz w:val="32"/>
          <w:szCs w:val="21"/>
        </w:rPr>
        <w:t>000164103000</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二、许可事项告知部门</w:t>
      </w:r>
    </w:p>
    <w:p>
      <w:pPr>
        <w:pStyle w:val="Style14"/>
        <w:spacing w:lineRule="exact" w:line="600"/>
        <w:ind w:firstLine="640"/>
        <w:rPr>
          <w:rFonts w:ascii="楷体_GB2312;楷体" w:hAnsi="楷体_GB2312;楷体" w:eastAsia="楷体_GB2312;楷体" w:cs="宋体"/>
          <w:kern w:val="0"/>
          <w:sz w:val="32"/>
          <w:szCs w:val="32"/>
        </w:rPr>
      </w:pPr>
      <w:r>
        <w:rPr>
          <w:rFonts w:ascii="楷体_GB2312;楷体" w:hAnsi="楷体_GB2312;楷体" w:cs="宋体" w:eastAsia="楷体_GB2312;楷体"/>
          <w:kern w:val="0"/>
          <w:sz w:val="32"/>
          <w:szCs w:val="32"/>
        </w:rPr>
        <w:t>怀化市林业局</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三、准予许可的条件</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（一）本行政许可事项获得批准应当具备下列条件：</w:t>
      </w:r>
    </w:p>
    <w:p>
      <w:pPr>
        <w:pStyle w:val="Style14"/>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1</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、具有与林木种子生产经营的种类和数量相适应的生产经营场所。从事籽粒、果实等有性繁殖材料生产的，必须具有晒场、种子库。</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2</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、具有林木种苗相关专业中专以上学历、初级以上技术职称或者同等技术水平的生产、检验、加工、储藏等技术人员。</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4</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、从事籽粒、果实等有性繁殖材料生产的，还应当具有繁殖种子的隔离和培育条件，具有无检疫性有害生物的生产地点或者县级以上人民政府林业主管部门确定的采种林。</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5</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、从事苗木生产的，还应当具有无检疫性有害生物的生产地点。</w:t>
      </w:r>
    </w:p>
    <w:p>
      <w:pPr>
        <w:pStyle w:val="Style14"/>
        <w:spacing w:lineRule="exact" w:line="600"/>
        <w:ind w:firstLine="640"/>
        <w:rPr>
          <w:rFonts w:ascii="Times New Roman" w:hAnsi="Times New Roman" w:eastAsia="仿宋_GB2312;仿宋" w:cs="Times New Roman"/>
          <w:sz w:val="32"/>
          <w:szCs w:val="32"/>
        </w:rPr>
      </w:pPr>
      <w:r>
        <w:rPr>
          <w:rFonts w:ascii="Times New Roman" w:hAnsi="Times New Roman" w:cs="Times New Roman" w:eastAsia="仿宋_GB2312;仿宋"/>
          <w:sz w:val="32"/>
          <w:szCs w:val="32"/>
        </w:rPr>
        <w:t>（二）应当提交的材料及期限：</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1</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、实行选育生产经营相结合的，应当提供育种科研团队、试验示范测试基地以及自主研发林木品种材料（承诺后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2</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、林木种子生产、检验、加工、储藏等技术人员基本情况的说明材料以及劳动合同（承诺后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、从事林木种子进出口业务的，应当提供按照国家有关规定取得的种子进出口许可证明（承诺后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个工作日提交，不从事此业务不用提交）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4</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、生产经营引进外来林木品种种子的，应当提交引种成功的证明材料（承诺后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个工作日提交，不引进则不用提交）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5</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、从事林木良种种子生产经营的，应当提供林木良种证明材料（申请时当即提交）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6</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、林木种子生产经营许可证申请表（申请时当即提交）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7</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、身份证明材料（申请时当即提交）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8</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、林木种子生产、加工、检验、储藏等设施和仪器设备的所有权或者使用权说明材料以及照片（申请时当即提交）</w:t>
      </w:r>
    </w:p>
    <w:p>
      <w:pPr>
        <w:pStyle w:val="Style14"/>
        <w:numPr>
          <w:ilvl w:val="0"/>
          <w:numId w:val="0"/>
        </w:numPr>
        <w:spacing w:lineRule="exact" w:line="600"/>
        <w:ind w:firstLine="640"/>
        <w:rPr>
          <w:rFonts w:ascii="仿宋_GB2312;仿宋" w:hAnsi="仿宋_GB2312;仿宋" w:eastAsia="仿宋_GB2312;仿宋" w:cs="宋体"/>
          <w:b w:val="false"/>
          <w:b w:val="false"/>
          <w:i w:val="false"/>
          <w:i w:val="false"/>
          <w:strike w:val="false"/>
          <w:dstrike w:val="false"/>
          <w:outline w:val="false"/>
          <w:shadow w:val="false"/>
          <w:color w:val="000000"/>
          <w:kern w:val="0"/>
          <w:sz w:val="32"/>
          <w:szCs w:val="32"/>
          <w:u w:val="none"/>
          <w:em w:val="none"/>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9</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、从事具有植物新品种权林木种子生产经营的，应当提供品种权人的书面同意或者国务院林业主管部门品种权转让公告、强制许可决定（承诺后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个工作日提交，不从事此品种生产经营不用提交）</w:t>
      </w:r>
    </w:p>
    <w:p>
      <w:pPr>
        <w:pStyle w:val="Style14"/>
        <w:spacing w:lineRule="exact" w:line="600"/>
        <w:ind w:firstLine="640"/>
        <w:rPr>
          <w:rFonts w:ascii="仿宋_GB2312;仿宋" w:hAnsi="仿宋_GB2312;仿宋" w:eastAsia="仿宋_GB2312;仿宋" w:cs="宋体"/>
          <w:kern w:val="0"/>
          <w:sz w:val="32"/>
          <w:szCs w:val="32"/>
        </w:rPr>
      </w:pP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10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从事转基因林木种子生产经营的，应当提供转基因林木安全证书（承诺后</w:t>
      </w:r>
      <w:r>
        <w:rPr>
          <w:rFonts w:eastAsia="仿宋_GB2312;仿宋" w:cs="宋体" w:ascii="仿宋_GB2312;仿宋" w:hAnsi="仿宋_GB2312;仿宋"/>
          <w:b w:val="false"/>
          <w:i w:val="false"/>
          <w:strike w:val="false"/>
          <w:dstrike w:val="false"/>
          <w:outline w:val="false"/>
          <w:shadow w:val="false"/>
          <w:color w:val="000000"/>
          <w:kern w:val="0"/>
          <w:sz w:val="32"/>
          <w:szCs w:val="32"/>
          <w:u w:val="none"/>
          <w:em w:val="none"/>
        </w:rPr>
        <w:t>30</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个工作日提交</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，不从事此品种生产经营不用提交</w:t>
      </w:r>
      <w:r>
        <w:rPr>
          <w:rFonts w:ascii="仿宋_GB2312;仿宋" w:hAnsi="仿宋_GB2312;仿宋" w:cs="宋体" w:eastAsia="仿宋_GB2312;仿宋"/>
          <w:b w:val="false"/>
          <w:i w:val="false"/>
          <w:strike w:val="false"/>
          <w:dstrike w:val="false"/>
          <w:outline w:val="false"/>
          <w:shadow w:val="false"/>
          <w:color w:val="000000"/>
          <w:kern w:val="0"/>
          <w:sz w:val="32"/>
          <w:szCs w:val="32"/>
          <w:u w:val="none"/>
          <w:em w:val="none"/>
        </w:rPr>
        <w:t>）</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上述材料，申请人应当：</w:t>
      </w:r>
    </w:p>
    <w:p>
      <w:pPr>
        <w:pStyle w:val="Style14"/>
        <w:spacing w:lineRule="exact" w:line="600"/>
        <w:ind w:firstLine="640"/>
        <w:rPr/>
      </w:pPr>
      <w:r>
        <w:rPr>
          <w:rFonts w:ascii="仿宋_GB2312;仿宋" w:hAnsi="仿宋_GB2312;仿宋" w:cs="仿宋_GB2312;仿宋" w:eastAsia="仿宋_GB2312;仿宋"/>
          <w:sz w:val="32"/>
          <w:szCs w:val="32"/>
        </w:rPr>
        <w:t>□</w:t>
      </w:r>
      <w:r>
        <w:rPr>
          <w:rFonts w:ascii="仿宋_GB2312;仿宋" w:hAnsi="仿宋_GB2312;仿宋" w:eastAsia="仿宋_GB2312;仿宋"/>
          <w:sz w:val="32"/>
          <w:szCs w:val="32"/>
        </w:rPr>
        <w:t>在</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 xml:space="preserve">30   </w:t>
      </w:r>
      <w:r>
        <w:rPr>
          <w:rFonts w:ascii="仿宋_GB2312;仿宋" w:hAnsi="仿宋_GB2312;仿宋" w:eastAsia="仿宋_GB2312;仿宋"/>
          <w:sz w:val="32"/>
          <w:szCs w:val="32"/>
        </w:rPr>
        <w:t>个工作日内提交“应当提交的材料”中的第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1</w:t>
      </w:r>
      <w:r>
        <w:rPr>
          <w:rFonts w:eastAsia="仿宋_GB2312;仿宋" w:ascii="仿宋_GB2312;仿宋" w:hAnsi="仿宋_GB2312;仿宋"/>
          <w:sz w:val="32"/>
          <w:szCs w:val="32"/>
          <w:u w:val="single"/>
        </w:rPr>
        <w:t xml:space="preserve">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2</w:t>
      </w:r>
      <w:r>
        <w:rPr>
          <w:rFonts w:eastAsia="仿宋_GB2312;仿宋" w:ascii="仿宋_GB2312;仿宋" w:hAnsi="仿宋_GB2312;仿宋"/>
          <w:sz w:val="32"/>
          <w:szCs w:val="32"/>
          <w:u w:val="single"/>
        </w:rPr>
        <w:t xml:space="preserve">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3</w:t>
      </w:r>
      <w:r>
        <w:rPr>
          <w:rFonts w:eastAsia="仿宋_GB2312;仿宋" w:ascii="仿宋_GB2312;仿宋" w:hAnsi="仿宋_GB2312;仿宋"/>
          <w:sz w:val="32"/>
          <w:szCs w:val="32"/>
          <w:u w:val="single"/>
        </w:rPr>
        <w:t xml:space="preserve">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4</w:t>
      </w:r>
      <w:r>
        <w:rPr>
          <w:rFonts w:eastAsia="仿宋_GB2312;仿宋" w:ascii="仿宋_GB2312;仿宋" w:hAnsi="仿宋_GB2312;仿宋"/>
          <w:sz w:val="32"/>
          <w:szCs w:val="32"/>
          <w:u w:val="single"/>
        </w:rPr>
        <w:t xml:space="preserve"> </w:t>
      </w:r>
      <w:r>
        <w:rPr>
          <w:rFonts w:ascii="仿宋_GB2312;仿宋" w:hAnsi="仿宋_GB2312;仿宋" w:eastAsia="仿宋_GB2312;仿宋"/>
          <w:sz w:val="32"/>
          <w:szCs w:val="32"/>
        </w:rPr>
        <w:t xml:space="preserve">项 </w:t>
      </w:r>
      <w:r>
        <w:rPr>
          <w:rFonts w:ascii="仿宋_GB2312;仿宋" w:hAnsi="仿宋_GB2312;仿宋" w:eastAsia="仿宋_GB2312;仿宋"/>
          <w:sz w:val="32"/>
          <w:szCs w:val="32"/>
        </w:rPr>
        <w:t>、第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 xml:space="preserve">9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eastAsia="仿宋_GB2312;仿宋" w:ascii="仿宋_GB2312;仿宋" w:hAnsi="仿宋_GB2312;仿宋"/>
          <w:sz w:val="32"/>
          <w:szCs w:val="32"/>
          <w:u w:val="single"/>
        </w:rPr>
        <w:t xml:space="preserve">10 </w:t>
      </w:r>
      <w:r>
        <w:rPr>
          <w:rFonts w:ascii="仿宋_GB2312;仿宋" w:hAnsi="仿宋_GB2312;仿宋" w:eastAsia="仿宋_GB2312;仿宋"/>
          <w:sz w:val="32"/>
          <w:szCs w:val="32"/>
        </w:rPr>
        <w:t>项</w:t>
      </w:r>
      <w:r>
        <w:rPr>
          <w:rFonts w:ascii="仿宋_GB2312;仿宋" w:hAnsi="仿宋_GB2312;仿宋" w:eastAsia="仿宋_GB2312;仿宋"/>
          <w:sz w:val="32"/>
          <w:szCs w:val="32"/>
        </w:rPr>
        <w:t>。</w:t>
      </w:r>
    </w:p>
    <w:p>
      <w:pPr>
        <w:pStyle w:val="Style14"/>
        <w:spacing w:lineRule="exact" w:line="600"/>
        <w:ind w:firstLine="640"/>
        <w:rPr/>
      </w:pPr>
      <w:r>
        <w:rPr>
          <w:rFonts w:ascii="仿宋_GB2312;仿宋" w:hAnsi="仿宋_GB2312;仿宋" w:cs="仿宋_GB2312;仿宋" w:eastAsia="仿宋_GB2312;仿宋"/>
          <w:sz w:val="32"/>
          <w:szCs w:val="32"/>
        </w:rPr>
        <w:t>□</w:t>
      </w:r>
      <w:r>
        <w:rPr>
          <w:rFonts w:ascii="仿宋_GB2312;仿宋" w:hAnsi="仿宋_GB2312;仿宋" w:eastAsia="仿宋_GB2312;仿宋"/>
          <w:sz w:val="32"/>
          <w:szCs w:val="32"/>
        </w:rPr>
        <w:t>在行政机关对申请人自愿承诺的内容是否属实进行检查时提交：上述“应当提交的材料”中的第</w:t>
      </w:r>
      <w:r>
        <w:rPr>
          <w:rFonts w:ascii="仿宋_GB2312;仿宋" w:hAnsi="仿宋_GB2312;仿宋" w:eastAsia="仿宋_GB2312;仿宋"/>
          <w:sz w:val="32"/>
          <w:szCs w:val="32"/>
          <w:u w:val="single"/>
        </w:rPr>
        <w:t xml:space="preserve">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ascii="仿宋_GB2312;仿宋" w:hAnsi="仿宋_GB2312;仿宋" w:eastAsia="仿宋_GB2312;仿宋"/>
          <w:sz w:val="32"/>
          <w:szCs w:val="32"/>
        </w:rPr>
        <w:t>项、第</w:t>
      </w:r>
      <w:r>
        <w:rPr>
          <w:rFonts w:ascii="仿宋_GB2312;仿宋" w:hAnsi="仿宋_GB2312;仿宋" w:eastAsia="仿宋_GB2312;仿宋"/>
          <w:sz w:val="32"/>
          <w:szCs w:val="32"/>
          <w:u w:val="single"/>
        </w:rPr>
        <w:t xml:space="preserve">  </w:t>
      </w:r>
      <w:r>
        <w:rPr>
          <w:rFonts w:ascii="仿宋_GB2312;仿宋" w:hAnsi="仿宋_GB2312;仿宋" w:eastAsia="仿宋_GB2312;仿宋"/>
          <w:sz w:val="32"/>
          <w:szCs w:val="32"/>
        </w:rPr>
        <w:t>项。</w:t>
      </w:r>
    </w:p>
    <w:p>
      <w:pPr>
        <w:pStyle w:val="Style14"/>
        <w:spacing w:lineRule="exact" w:line="600"/>
        <w:ind w:firstLine="640"/>
        <w:rPr>
          <w:rFonts w:ascii="楷体_GB2312;楷体" w:hAnsi="楷体_GB2312;楷体" w:eastAsia="楷体_GB2312;楷体" w:cs="宋体"/>
          <w:kern w:val="0"/>
          <w:sz w:val="32"/>
          <w:szCs w:val="32"/>
        </w:rPr>
      </w:pPr>
      <w:r>
        <w:rPr>
          <w:rFonts w:ascii="楷体_GB2312;楷体" w:hAnsi="楷体_GB2312;楷体" w:cs="宋体" w:eastAsia="楷体_GB2312;楷体"/>
          <w:kern w:val="0"/>
          <w:sz w:val="32"/>
          <w:szCs w:val="32"/>
        </w:rPr>
        <w:t>（注：以上由受理人员填写）</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四、承诺的效力</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申请人作出符合许可条件的承诺，并提交签章的承诺书后，行政机关应当场作出行政许可决定。</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申请人承诺已具备经营许可条件的，领证后即可开展经营；申请人尚不具备经营许可条件，但承诺领证后一定期限内具备的，达到经营许可条件并按要求补齐材料后，方可开展经营。</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五、承诺的方式</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本行政许可事项采用书面承诺方式，申请人愿意作出承诺的，应当向行政机关提交本人或委托代理人签字后的承诺书原件。委托办理的，申请人应签署委托代理书。</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六、不实承诺的责任</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pStyle w:val="Style14"/>
        <w:widowControl/>
        <w:spacing w:lineRule="exact" w:line="600"/>
        <w:ind w:firstLine="630"/>
        <w:jc w:val="left"/>
        <w:rPr>
          <w:rFonts w:ascii="黑体" w:hAnsi="黑体" w:eastAsia="黑体" w:cs="宋体"/>
          <w:color w:val="000000"/>
          <w:kern w:val="0"/>
          <w:sz w:val="32"/>
          <w:szCs w:val="32"/>
        </w:rPr>
      </w:pPr>
      <w:r>
        <w:rPr>
          <w:rFonts w:ascii="黑体" w:hAnsi="黑体" w:cs="宋体" w:eastAsia="黑体"/>
          <w:color w:val="000000"/>
          <w:kern w:val="0"/>
          <w:sz w:val="32"/>
          <w:szCs w:val="32"/>
        </w:rPr>
        <w:t>七、行政机关核查权力</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对执意隐瞒真实情况、提供虚假承诺办理有关事项的，依法作出如下处理：依据《中华人民共和国种子法》第七十七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（一）未取得种子生产经营许可证生产经营种子的；</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（二）以欺骗、贿赂等不正当手段取得种子生产经营许可证的；</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（三）未按照种子生产经营许可证的规定生产经营种子的；</w:t>
      </w:r>
    </w:p>
    <w:p>
      <w:pPr>
        <w:pStyle w:val="Style14"/>
        <w:spacing w:lineRule="exact" w:line="600"/>
        <w:ind w:firstLine="640"/>
        <w:rPr>
          <w:rFonts w:ascii="仿宋_GB2312;仿宋" w:hAnsi="仿宋_GB2312;仿宋" w:eastAsia="仿宋_GB2312;仿宋"/>
          <w:sz w:val="32"/>
          <w:szCs w:val="32"/>
        </w:rPr>
      </w:pPr>
      <w:r>
        <w:rPr>
          <w:rFonts w:ascii="仿宋_GB2312;仿宋" w:hAnsi="仿宋_GB2312;仿宋" w:eastAsia="仿宋_GB2312;仿宋"/>
          <w:sz w:val="32"/>
          <w:szCs w:val="32"/>
        </w:rPr>
        <w:t>（四）伪造、变造、买卖、租借种子生产经营许可证的。被吊销种子生产经营许可证的单位，其法定代表人、直接负责的主管人员自处罚决</w:t>
      </w:r>
      <w:bookmarkStart w:id="0" w:name="_GoBack"/>
      <w:bookmarkEnd w:id="0"/>
      <w:r>
        <w:rPr>
          <w:rFonts w:ascii="仿宋_GB2312;仿宋" w:hAnsi="仿宋_GB2312;仿宋" w:eastAsia="仿宋_GB2312;仿宋"/>
          <w:sz w:val="32"/>
          <w:szCs w:val="32"/>
        </w:rPr>
        <w:t xml:space="preserve">定作出之日起五年内不得担任种子企业的法定代表人、高级管理人员。 </w:t>
      </w:r>
    </w:p>
    <w:p>
      <w:pPr>
        <w:pStyle w:val="Style14"/>
        <w:spacing w:lineRule="exact" w:line="600"/>
        <w:ind w:firstLine="640"/>
        <w:rPr>
          <w:rFonts w:ascii="楷体_GB2312;楷体" w:hAnsi="楷体_GB2312;楷体" w:eastAsia="楷体_GB2312;楷体" w:cs="宋体"/>
          <w:kern w:val="0"/>
          <w:sz w:val="32"/>
          <w:szCs w:val="32"/>
        </w:rPr>
      </w:pPr>
      <w:r>
        <w:rPr>
          <w:rFonts w:eastAsia="楷体_GB2312;楷体" w:cs="宋体" w:ascii="楷体_GB2312;楷体" w:hAnsi="楷体_GB2312;楷体"/>
          <w:kern w:val="0"/>
          <w:sz w:val="32"/>
          <w:szCs w:val="32"/>
        </w:rPr>
      </w:r>
    </w:p>
    <w:p>
      <w:pPr>
        <w:pStyle w:val="Style14"/>
        <w:spacing w:lineRule="exact" w:line="600"/>
        <w:ind w:firstLine="640"/>
        <w:rPr>
          <w:rFonts w:ascii="楷体_GB2312;楷体" w:hAnsi="楷体_GB2312;楷体" w:eastAsia="楷体_GB2312;楷体" w:cs="宋体"/>
          <w:kern w:val="0"/>
          <w:sz w:val="32"/>
          <w:szCs w:val="32"/>
        </w:rPr>
      </w:pPr>
      <w:r>
        <w:rPr>
          <w:rFonts w:eastAsia="楷体_GB2312;楷体" w:cs="宋体" w:ascii="楷体_GB2312;楷体" w:hAnsi="楷体_GB2312;楷体"/>
          <w:kern w:val="0"/>
          <w:sz w:val="32"/>
          <w:szCs w:val="32"/>
        </w:rPr>
      </w:r>
    </w:p>
    <w:p>
      <w:pPr>
        <w:pStyle w:val="Style14"/>
        <w:spacing w:lineRule="exact" w:line="600"/>
        <w:ind w:firstLine="640"/>
        <w:rPr>
          <w:rFonts w:ascii="楷体_GB2312;楷体" w:hAnsi="楷体_GB2312;楷体" w:eastAsia="楷体_GB2312;楷体" w:cs="宋体"/>
          <w:kern w:val="0"/>
          <w:sz w:val="32"/>
          <w:szCs w:val="32"/>
        </w:rPr>
      </w:pPr>
      <w:r>
        <w:rPr>
          <w:rFonts w:eastAsia="楷体_GB2312;楷体" w:cs="宋体" w:ascii="楷体_GB2312;楷体" w:hAnsi="楷体_GB2312;楷体"/>
          <w:kern w:val="0"/>
          <w:sz w:val="32"/>
          <w:szCs w:val="32"/>
        </w:rPr>
      </w:r>
    </w:p>
    <w:p>
      <w:pPr>
        <w:pStyle w:val="Style14"/>
        <w:spacing w:lineRule="exact" w:line="600"/>
        <w:ind w:firstLine="640"/>
        <w:rPr>
          <w:rFonts w:ascii="楷体_GB2312;楷体" w:hAnsi="楷体_GB2312;楷体" w:eastAsia="楷体_GB2312;楷体" w:cs="宋体"/>
          <w:kern w:val="0"/>
          <w:sz w:val="32"/>
          <w:szCs w:val="32"/>
        </w:rPr>
      </w:pPr>
      <w:r>
        <w:rPr>
          <w:rFonts w:eastAsia="楷体_GB2312;楷体" w:cs="宋体" w:ascii="楷体_GB2312;楷体" w:hAnsi="楷体_GB2312;楷体"/>
          <w:kern w:val="0"/>
          <w:sz w:val="32"/>
          <w:szCs w:val="32"/>
        </w:rPr>
      </w:r>
    </w:p>
    <w:p>
      <w:pPr>
        <w:pStyle w:val="Style14"/>
        <w:spacing w:lineRule="exact" w:line="600"/>
        <w:ind w:firstLine="640"/>
        <w:rPr>
          <w:rFonts w:ascii="仿宋_GB2312;仿宋" w:hAnsi="仿宋_GB2312;仿宋" w:eastAsia="仿宋_GB2312;仿宋"/>
          <w:b w:val="false"/>
          <w:b w:val="false"/>
          <w:i w:val="false"/>
          <w:i w:val="false"/>
          <w:strike w:val="false"/>
          <w:dstrike w:val="false"/>
          <w:outline w:val="false"/>
          <w:shadow w:val="false"/>
          <w:color w:val="000000"/>
          <w:sz w:val="32"/>
          <w:szCs w:val="32"/>
          <w:u w:val="none"/>
          <w:em w:val="none"/>
        </w:rPr>
      </w:pPr>
      <w:r>
        <w:rPr/>
      </w:r>
    </w:p>
    <w:sectPr>
      <w:footerReference w:type="default" r:id="rId2"/>
      <w:type w:val="nextPage"/>
      <w:pgSz w:w="11906" w:h="16838"/>
      <w:pgMar w:left="1803" w:right="1803" w:header="0" w:top="1440" w:footer="1440" w:bottom="1979" w:gutter="0"/>
      <w:pgNumType w:fmt="decimal"/>
      <w:formProt w:val="false"/>
      <w:textDirection w:val="lrTb"/>
      <w:docGrid w:type="default" w:linePitch="312" w:charSpace="9195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宋体">
    <w:charset w:val="86"/>
    <w:family w:val="roman"/>
    <w:pitch w:val="variable"/>
  </w:font>
  <w:font w:name="Times New Roman">
    <w:charset w:val="86"/>
    <w:family w:val="roman"/>
    <w:pitch w:val="variable"/>
  </w:font>
  <w:font w:name="仿宋_GB2312">
    <w:altName w:val="仿宋"/>
    <w:charset w:val="86"/>
    <w:family w:val="roman"/>
    <w:pitch w:val="variable"/>
  </w:font>
  <w:font w:name="方正小标宋简体">
    <w:altName w:val="黑体"/>
    <w:charset w:val="86"/>
    <w:family w:val="roman"/>
    <w:pitch w:val="variable"/>
  </w:font>
  <w:font w:name="黑体">
    <w:charset w:val="86"/>
    <w:family w:val="roman"/>
    <w:pitch w:val="variable"/>
  </w:font>
  <w:font w:name="楷体_GB2312">
    <w:altName w:val="楷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pPr>
    <w:r>
      <w:rPr/>
      <w:fldChar w:fldCharType="begin"/>
    </w:r>
    <w:r>
      <w:rPr/>
      <w:instrText>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taiwaneseCountingThousand"/>
      <w:lvlText w:val="%1."/>
      <w:lvlJc w:val="left"/>
      <w:pPr>
        <w:tabs>
          <w:tab w:val="num" w:pos="0"/>
        </w:tabs>
        <w:ind w:left="1350" w:hanging="720"/>
      </w:pPr>
    </w:lvl>
    <w:lvl w:ilvl="1">
      <w:start w:val="1"/>
      <w:numFmt w:val="lowerLetter"/>
      <w:lvlText w:val="%1.%2."/>
      <w:lvlJc w:val="left"/>
      <w:pPr>
        <w:tabs>
          <w:tab w:val="num" w:pos="0"/>
        </w:tabs>
        <w:ind w:left="1470" w:hanging="420"/>
      </w:pPr>
    </w:lvl>
    <w:lvl w:ilvl="2">
      <w:start w:val="1"/>
      <w:numFmt w:val="lowerRoman"/>
      <w:lvlText w:val="%2.%3."/>
      <w:lvlJc w:val="right"/>
      <w:pPr>
        <w:tabs>
          <w:tab w:val="num" w:pos="0"/>
        </w:tabs>
        <w:ind w:left="1890" w:hanging="420"/>
      </w:pPr>
    </w:lvl>
    <w:lvl w:ilvl="3">
      <w:start w:val="1"/>
      <w:numFmt w:val="decimal"/>
      <w:lvlText w:val="%3.%4."/>
      <w:lvlJc w:val="left"/>
      <w:pPr>
        <w:tabs>
          <w:tab w:val="num" w:pos="0"/>
        </w:tabs>
        <w:ind w:left="2310" w:hanging="420"/>
      </w:pPr>
    </w:lvl>
    <w:lvl w:ilvl="4">
      <w:start w:val="1"/>
      <w:numFmt w:val="lowerLetter"/>
      <w:lvlText w:val="%4.%5."/>
      <w:lvlJc w:val="left"/>
      <w:pPr>
        <w:tabs>
          <w:tab w:val="num" w:pos="0"/>
        </w:tabs>
        <w:ind w:left="2730" w:hanging="420"/>
      </w:pPr>
    </w:lvl>
    <w:lvl w:ilvl="5">
      <w:start w:val="1"/>
      <w:numFmt w:val="lowerRoman"/>
      <w:lvlText w:val="%5.%6."/>
      <w:lvlJc w:val="right"/>
      <w:pPr>
        <w:tabs>
          <w:tab w:val="num" w:pos="0"/>
        </w:tabs>
        <w:ind w:left="3150" w:hanging="420"/>
      </w:pPr>
    </w:lvl>
    <w:lvl w:ilvl="6">
      <w:start w:val="1"/>
      <w:numFmt w:val="decimal"/>
      <w:lvlText w:val="%6.%7."/>
      <w:lvlJc w:val="left"/>
      <w:pPr>
        <w:tabs>
          <w:tab w:val="num" w:pos="0"/>
        </w:tabs>
        <w:ind w:left="3570" w:hanging="420"/>
      </w:pPr>
    </w:lvl>
    <w:lvl w:ilvl="7">
      <w:start w:val="1"/>
      <w:numFmt w:val="lowerLetter"/>
      <w:lvlText w:val="%7.%8."/>
      <w:lvlJc w:val="left"/>
      <w:pPr>
        <w:tabs>
          <w:tab w:val="num" w:pos="0"/>
        </w:tabs>
        <w:ind w:left="3990" w:hanging="420"/>
      </w:pPr>
    </w:lvl>
    <w:lvl w:ilvl="8">
      <w:start w:val="1"/>
      <w:numFmt w:val="lowerRoman"/>
      <w:lvlText w:val="%8.%9."/>
      <w:lvlJc w:val="right"/>
      <w:pPr>
        <w:tabs>
          <w:tab w:val="num" w:pos="0"/>
        </w:tabs>
        <w:ind w:left="4410" w:hanging="420"/>
      </w:pPr>
    </w:lvl>
  </w:abstractNum>
  <w:num w:numId="1">
    <w:abstractNumId w:val="1"/>
  </w:num>
  <w:num w:numId="2">
    <w:abstractNumId w:val="2"/>
  </w:num>
</w:numbering>
</file>

<file path=word/settings.xml><?xml version="1.0" encoding="utf-8"?>
<w:settings xmlns:w="http://schemas.openxmlformats.org/wordprocessingml/2006/main">
  <w:zoom w:percent="92"/>
  <w:defaultTabStop w:val="408"/>
  <w:autoHyphenation w:val="true"/>
  <w:compat>
    <w:doNotExpandShiftReturn/>
    <w:ulTrailSpace/>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kern w:val="2"/>
        <w:sz w:val="21"/>
        <w:szCs w:val="24"/>
        <w:lang w:val="en-US" w:eastAsia="zh-CN" w:bidi="hi-IN"/>
      </w:rPr>
    </w:rPrDefault>
    <w:pPrDefault>
      <w:pPr>
        <w:suppressAutoHyphens w:val="false"/>
      </w:pPr>
    </w:pPrDefault>
  </w:docDefaults>
  <w:style w:type="paragraph" w:styleId="Style14">
    <w:name w:val="正文"/>
    <w:qFormat/>
    <w:pPr>
      <w:widowControl w:val="false"/>
      <w:suppressAutoHyphens w:val="false"/>
      <w:kinsoku w:val="true"/>
      <w:overflowPunct w:val="true"/>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styleId="Style15">
    <w:name w:val="普通(网站)"/>
    <w:basedOn w:val="Style14"/>
    <w:qFormat/>
    <w:pPr>
      <w:widowControl/>
      <w:jc w:val="left"/>
    </w:pPr>
    <w:rPr>
      <w:rFonts w:ascii="宋体" w:hAnsi="宋体" w:eastAsia="宋体" w:cs="宋体"/>
      <w:kern w:val="0"/>
      <w:sz w:val="24"/>
      <w:szCs w:val="24"/>
    </w:rPr>
  </w:style>
  <w:style w:type="paragraph" w:styleId="Style16">
    <w:name w:val="页眉与页脚"/>
    <w:basedOn w:val="Style14"/>
    <w:qFormat/>
    <w:pPr>
      <w:suppressLineNumbers/>
      <w:tabs>
        <w:tab w:val="clear" w:pos="408"/>
        <w:tab w:val="center" w:pos="4150" w:leader="none"/>
        <w:tab w:val="right" w:pos="8300" w:leader="none"/>
      </w:tabs>
    </w:pPr>
    <w:rPr/>
  </w:style>
  <w:style w:type="paragraph" w:styleId="Style17">
    <w:name w:val="页脚"/>
    <w:basedOn w:val="Style16"/>
    <w:qFormat/>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LanShanOffice/1.4.1.10907$Windows_X86_64 LibreOffice_project/9c1eafdd6df65fffc15a828d5a9fd7d92823ade4</Application>
  <AppVersion>15.0000</AppVersion>
  <Pages>5</Pages>
  <Words>1799</Words>
  <Characters>1819</Characters>
  <CharactersWithSpaces>1844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2021-08-25T09:11:40Z</dcterms:created>
  <dc:creator/>
  <dc:description/>
  <dc:language>zh-CN</dc:language>
  <cp:lastModifiedBy/>
  <cp:lastPrinted>2021-09-10T17:25:25Z</cp:lastPrinted>
  <dcterms:modified xsi:type="dcterms:W3CDTF">2021-09-11T19:44:59Z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