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39887">
      <w:pPr>
        <w:jc w:val="center"/>
        <w:rPr>
          <w:rFonts w:hint="eastAsia" w:ascii="方正小标宋简体" w:hAnsi="Arial" w:eastAsia="方正小标宋简体" w:cs="Arial"/>
          <w:sz w:val="40"/>
          <w:szCs w:val="40"/>
        </w:rPr>
      </w:pPr>
      <w:r>
        <w:rPr>
          <w:rFonts w:hint="eastAsia" w:ascii="方正小标宋简体" w:hAnsi="Arial" w:eastAsia="方正小标宋简体" w:cs="Arial"/>
          <w:sz w:val="40"/>
          <w:szCs w:val="40"/>
        </w:rPr>
        <w:t>项目</w:t>
      </w:r>
      <w:r>
        <w:rPr>
          <w:rFonts w:hint="eastAsia" w:ascii="方正小标宋简体" w:hAnsi="Arial" w:eastAsia="方正小标宋简体" w:cs="Arial"/>
          <w:sz w:val="40"/>
          <w:szCs w:val="40"/>
          <w:lang w:eastAsia="zh-CN"/>
        </w:rPr>
        <w:t>支出</w:t>
      </w:r>
      <w:r>
        <w:rPr>
          <w:rFonts w:hint="eastAsia" w:ascii="方正小标宋简体" w:hAnsi="Arial" w:eastAsia="方正小标宋简体" w:cs="Arial"/>
          <w:sz w:val="40"/>
          <w:szCs w:val="40"/>
        </w:rPr>
        <w:t>自评</w:t>
      </w:r>
      <w:r>
        <w:rPr>
          <w:rFonts w:hint="eastAsia" w:ascii="方正小标宋简体" w:hAnsi="Arial" w:eastAsia="方正小标宋简体" w:cs="Arial"/>
          <w:sz w:val="40"/>
          <w:szCs w:val="40"/>
          <w:lang w:eastAsia="zh-CN"/>
        </w:rPr>
        <w:t>结果汇总分析</w:t>
      </w:r>
      <w:r>
        <w:rPr>
          <w:rFonts w:hint="eastAsia" w:ascii="方正小标宋简体" w:hAnsi="Arial" w:eastAsia="方正小标宋简体" w:cs="Arial"/>
          <w:sz w:val="40"/>
          <w:szCs w:val="40"/>
        </w:rPr>
        <w:t>报告</w:t>
      </w:r>
    </w:p>
    <w:p w14:paraId="5A0365E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一、项目支出基本情况</w:t>
      </w:r>
    </w:p>
    <w:p w14:paraId="6C64C3C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本部门项目支出构成包括铁路安全整治专项经费、航线专项经费。其中，铁路安全整治专项经费年初总预算20万元，预算执行20万元，执行率100%；航线专项经费总预算10万元，预算执行10万元，执行率100%。</w:t>
      </w:r>
    </w:p>
    <w:p w14:paraId="40A7943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二、项目自评工作开展情况</w:t>
      </w:r>
    </w:p>
    <w:p w14:paraId="1151AB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怀化市财政局关于开展2025年度市级预算部门绩效自评和部门评价的通知》（怀财绩〔2026〕36号）要求，本单位对2025年度全部项目资金开展自评，主要包括铁路安全整治专项经费、航线专项经费2个项目。严格对照项目绩效评价指标全面开展自评工作，梳理项目立项、实施、资金拨付及产出成效资料，逐项核对目标完成情况。认真查摆实施过程短板不足，细化问题成因，制定整改举措。完整归集佐证材料，规范撰写自评报告，客观反映项目实施成效，确保自评数据真实、评价客观、整改到位。</w:t>
      </w:r>
    </w:p>
    <w:p w14:paraId="5D5647A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三、项目自评结果及分析</w:t>
      </w:r>
    </w:p>
    <w:p w14:paraId="1FF62F5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（一）项目支出单位自评分数情况及分析</w:t>
      </w:r>
    </w:p>
    <w:p w14:paraId="1FD4740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自评总分及构成：总分100分，其中，项目年度资金预算执行数10分，成本指标20分，产出指标30分，效益指标30分，满意度指标10分。2个项目综合评分100分。</w:t>
      </w:r>
    </w:p>
    <w:p w14:paraId="2A308B7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（二）预算执行情况分析</w:t>
      </w:r>
    </w:p>
    <w:p w14:paraId="06E4F5A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铁路安全整治专项经费年初总预算20万元，预算执行20万元，执行率100%；航线专项经费总预算10万元，预算执行10万元，执行率100%。总体执行率合理，单位内部会继续加强预算动态监控，定期调整预算执行率。</w:t>
      </w:r>
    </w:p>
    <w:p w14:paraId="7BC9890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（三）资金管理情况分析</w:t>
      </w:r>
    </w:p>
    <w:p w14:paraId="7F75C9D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bookmarkStart w:id="0" w:name="_GoBack"/>
      <w:r>
        <w:rPr>
          <w:rFonts w:hint="eastAsia" w:ascii="仿宋" w:hAnsi="仿宋" w:eastAsia="仿宋" w:cs="仿宋"/>
          <w:color w:val="auto"/>
          <w:sz w:val="32"/>
          <w:szCs w:val="32"/>
          <w:highlight w:val="none"/>
          <w:lang w:val="en-US" w:eastAsia="zh-CN"/>
        </w:rPr>
        <w:t>1.</w:t>
      </w:r>
      <w:bookmarkEnd w:id="0"/>
      <w:r>
        <w:rPr>
          <w:rFonts w:hint="eastAsia" w:ascii="仿宋" w:hAnsi="仿宋" w:eastAsia="仿宋" w:cs="仿宋"/>
          <w:color w:val="auto"/>
          <w:sz w:val="32"/>
          <w:szCs w:val="32"/>
          <w:highlight w:val="none"/>
          <w:lang w:val="en-US" w:eastAsia="zh-CN"/>
        </w:rPr>
        <w:t>资金来源及拨付流程</w:t>
      </w:r>
    </w:p>
    <w:p w14:paraId="2A543CA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2025年本单位专项项目资金年初预算项目资金20万元，年中追加资金10万元，资金来源是市财政局拨款，2025年从一般公共预算财政拨款资金安排经费，资金拨付按月度下拨。</w:t>
      </w:r>
    </w:p>
    <w:p w14:paraId="382111E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2.资金执行情况</w:t>
      </w:r>
    </w:p>
    <w:p w14:paraId="0194811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2025年本单位专项项目资金指标金额20万元，年中追加航线专项经费10万元，总项目资金30万元，实际支出金额30万元，资金执行率100%，具体如下：</w:t>
      </w:r>
    </w:p>
    <w:p w14:paraId="5987A88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铁路安全整治专项经费年初总预算20万元，实际支出资金20万元，资金执行率100%；</w:t>
      </w:r>
    </w:p>
    <w:p w14:paraId="32DDF18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航线专项经费总预算10万元，实际支出资金10万元，资金执行率100%。</w:t>
      </w:r>
    </w:p>
    <w:p w14:paraId="1FE447F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3.资金使用情况</w:t>
      </w:r>
    </w:p>
    <w:p w14:paraId="39C9BF1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所有资金均按计划使用，于2025年12月前全部完成拨付，专款专用，无截留、挤占、挪用等现象，会计核算真实、完整，用款程序规范，结算及时，符合相关规定。</w:t>
      </w:r>
    </w:p>
    <w:p w14:paraId="0CCA6AC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4.资金管理制度</w:t>
      </w:r>
    </w:p>
    <w:p w14:paraId="3AE1A7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在制度建设方面，紧扣制度建设重点，围绕预算编制、预算执行、支付管理、监督保障等方面，不断建立完善了各项规章制度，建立用制度管人、管事、管财的长效机制，并在实际工作中不断健全完善管理办法和内控制度，认真贯彻执行，确保资金使用安全、合规。在预算执行管理方面，严格按照市财政局关于进一步加强预算执行管理的通知要求，切实履行预算管理职责，加强预算执行的监督管理，维护预算的严肃性。按照财政预算执行进度要求，定期通报预算执行进度情况，分析解决预算执行中存在的问题和困难，根据预算项目用途，确保专款专用，加快预算执行进度。</w:t>
      </w:r>
    </w:p>
    <w:p w14:paraId="4EB2417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（四）总体绩效目标完成情况分析</w:t>
      </w:r>
    </w:p>
    <w:p w14:paraId="3E9D16B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2025年总体绩效目标设定为：</w:t>
      </w:r>
    </w:p>
    <w:p w14:paraId="26D5CCC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成本目标：项目成本控制在年初预算范围内。</w:t>
      </w:r>
    </w:p>
    <w:p w14:paraId="516F89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产出目标：今年以来，为压减我市铁路路外伤亡事故，通过政策引导、工程治理、基层联动多维度推进，取得一定成效，全年铁路路伤事故6起（其中非封闭路段3起，封闭路段3起，全部定性为自杀）较2024年下降33%，超额完成“下降30%”的省级目标。联合市铁护办，怀化铁路公安处、相关铁路运输企业等单位开展“平安铁路”宣传进社区、进学校、进农村“五进”宣传活动150场次，普及人群9.5万余人，发放各类宣传资料8万余份，重点人群走访726次，涉及196户，沿线群众爱路护路意识显著提升。</w:t>
      </w:r>
    </w:p>
    <w:p w14:paraId="7F36CB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效益指标：联合市铁护办，怀化铁路公安处、相关铁路运输企业等单位开展“平安铁路”宣传进社区、进学校、进农村“五进”宣传活动150场次，普及人群9.5万余人，发放各类宣传资料8万余份，重点人群走访726次，涉及196户，沿线群众爱路护路意识显著提升。</w:t>
      </w:r>
    </w:p>
    <w:p w14:paraId="4CCFB02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满意度指标：服务满意度≥90%。</w:t>
      </w:r>
    </w:p>
    <w:p w14:paraId="63F6CDCB">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项目自评发现的问题及整改措施</w:t>
      </w:r>
    </w:p>
    <w:p w14:paraId="08E7C9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项目自评发现的问题：绩效自评过程中存在协同机制问题，责任分工模糊，不明确。</w:t>
      </w:r>
    </w:p>
    <w:p w14:paraId="0321BF3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整改措施：加强单位人员责任分工，明确责任职责，具体到项目、环节、数据等信息，避免管理不到位等问题。</w:t>
      </w:r>
    </w:p>
    <w:p w14:paraId="69C528F4">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项目自评工作建议及预算安排建议</w:t>
      </w:r>
    </w:p>
    <w:p w14:paraId="0E34B9C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1.建立健全预算绩效自评制度</w:t>
      </w:r>
    </w:p>
    <w:p w14:paraId="2F3E84D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制定预算绩效自评工作管理办法，明确自评范围、程序、方法和要求。将预算绩效自评工作纳入财政预算管理全过程。建立预算绩效自评工作领导小组，加强组织领导。</w:t>
      </w:r>
    </w:p>
    <w:p w14:paraId="22B66D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2.制定合理的预算计划</w:t>
      </w:r>
    </w:p>
    <w:p w14:paraId="687A771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预算计划需要根据具体情况制定，不能过于保守或者激进。在制定预算计划时，应该考虑经济目标和实际情况，综合制定。对于预算方案的编制，还应特别注意预算的灵活性和可协调性，以适应环境的变化。</w:t>
      </w:r>
    </w:p>
    <w:p w14:paraId="4F42599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3.实施有效的预算管控</w:t>
      </w:r>
    </w:p>
    <w:p w14:paraId="2A233D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预算计划需要得到有效的管控，确保预算按照计划进行，以达到经济目标和绩效目标。在预算管控中，应该对经济活动的各个环节进行监控，及时发现可能存在的风险，采取有效措施加以控制。</w:t>
      </w:r>
    </w:p>
    <w:p w14:paraId="32F85780">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其他需要说明的问题</w:t>
      </w:r>
      <w:r>
        <w:rPr>
          <w:rFonts w:hint="eastAsia" w:ascii="方正黑体_GBK" w:hAnsi="方正黑体_GBK" w:eastAsia="方正黑体_GBK" w:cs="方正黑体_GBK"/>
          <w:b/>
          <w:bCs/>
          <w:color w:val="auto"/>
          <w:sz w:val="32"/>
          <w:szCs w:val="32"/>
          <w:highlight w:val="none"/>
          <w:lang w:val="en-US" w:eastAsia="zh-CN"/>
        </w:rPr>
        <w:tab/>
      </w:r>
    </w:p>
    <w:p w14:paraId="104780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无其他需要说明的问题。</w:t>
      </w:r>
    </w:p>
    <w:p w14:paraId="0233650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1D29E9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505812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C557C0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3E6BE3B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189BF96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3B0551B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229F828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3A3A19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7C432B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CDABBD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6F3C19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39479F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2B23099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5FBD47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A45DF9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1A0AF68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33BC5EF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r>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w:t>
      </w: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6</w:t>
      </w:r>
    </w:p>
    <w:p w14:paraId="2E4394E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方正小标宋_GBK" w:hAnsi="方正小标宋_GBK" w:eastAsia="方正小标宋_GBK" w:cs="方正小标宋_GBK"/>
          <w:i w:val="0"/>
          <w:iCs w:val="0"/>
          <w:caps w:val="0"/>
          <w:color w:val="000000"/>
          <w:spacing w:val="0"/>
          <w:kern w:val="0"/>
          <w:sz w:val="36"/>
          <w:szCs w:val="36"/>
          <w:shd w:val="clear" w:fill="FFFFFF"/>
          <w:lang w:val="en-US" w:eastAsia="zh-CN" w:bidi="ar"/>
        </w:rPr>
      </w:pPr>
      <w:r>
        <w:rPr>
          <w:rFonts w:hint="default" w:ascii="方正小标宋_GBK" w:hAnsi="方正小标宋_GBK" w:eastAsia="方正小标宋_GBK" w:cs="方正小标宋_GBK"/>
          <w:i w:val="0"/>
          <w:iCs w:val="0"/>
          <w:caps w:val="0"/>
          <w:color w:val="000000"/>
          <w:spacing w:val="0"/>
          <w:kern w:val="0"/>
          <w:sz w:val="36"/>
          <w:szCs w:val="36"/>
          <w:shd w:val="clear" w:fill="FFFFFF"/>
          <w:lang w:val="en-US" w:eastAsia="zh-CN" w:bidi="ar"/>
        </w:rPr>
        <w:t>怀化市综合交通运输协调服务中心</w:t>
      </w:r>
      <w:r>
        <w:rPr>
          <w:rFonts w:hint="eastAsia" w:ascii="方正小标宋_GBK" w:hAnsi="方正小标宋_GBK" w:eastAsia="方正小标宋_GBK" w:cs="方正小标宋_GBK"/>
          <w:i w:val="0"/>
          <w:iCs w:val="0"/>
          <w:caps w:val="0"/>
          <w:color w:val="000000"/>
          <w:spacing w:val="0"/>
          <w:kern w:val="0"/>
          <w:sz w:val="36"/>
          <w:szCs w:val="36"/>
          <w:shd w:val="clear" w:fill="FFFFFF"/>
          <w:lang w:val="en-US" w:eastAsia="zh-CN" w:bidi="ar"/>
        </w:rPr>
        <w:t>2025</w:t>
      </w:r>
      <w:r>
        <w:rPr>
          <w:rFonts w:hint="default" w:ascii="方正小标宋_GBK" w:hAnsi="方正小标宋_GBK" w:eastAsia="方正小标宋_GBK" w:cs="方正小标宋_GBK"/>
          <w:i w:val="0"/>
          <w:iCs w:val="0"/>
          <w:caps w:val="0"/>
          <w:color w:val="000000"/>
          <w:spacing w:val="0"/>
          <w:kern w:val="0"/>
          <w:sz w:val="36"/>
          <w:szCs w:val="36"/>
          <w:shd w:val="clear" w:fill="FFFFFF"/>
          <w:lang w:val="en-US" w:eastAsia="zh-CN" w:bidi="ar"/>
        </w:rPr>
        <w:t>年度铁路安全整治专项经费项目支出绩效自评报告</w:t>
      </w:r>
    </w:p>
    <w:p w14:paraId="40EDF01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01EFDAD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w:t>
      </w:r>
      <w:r>
        <w:rPr>
          <w:rFonts w:hint="default" w:ascii="方正黑体_GBK" w:hAnsi="方正黑体_GBK" w:eastAsia="方正黑体_GBK" w:cs="方正黑体_GBK"/>
          <w:b/>
          <w:bCs/>
          <w:color w:val="auto"/>
          <w:sz w:val="32"/>
          <w:szCs w:val="32"/>
          <w:highlight w:val="none"/>
          <w:lang w:val="en-US" w:eastAsia="zh-CN"/>
        </w:rPr>
        <w:t>项目概况</w:t>
      </w:r>
    </w:p>
    <w:p w14:paraId="38D42AD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项目基本情况</w:t>
      </w:r>
    </w:p>
    <w:p w14:paraId="57977B4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1.说明项目主管部门在该项目管理中的职能。</w:t>
      </w:r>
    </w:p>
    <w:p w14:paraId="371755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怀化市综合交通运输协调服务中心在整个项目实施的过程中负有审批、发放、监管的职能职责。</w:t>
      </w:r>
    </w:p>
    <w:p w14:paraId="3245BE9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2.项目立项、资金申报的依据。</w:t>
      </w:r>
    </w:p>
    <w:p w14:paraId="337303D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项目立项资金申报的依据包括政策法规文件、专项资金管理办法、申报流程以及项目可行性。</w:t>
      </w:r>
    </w:p>
    <w:p w14:paraId="7EC9BF1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3.资金管理办法制定情况，资金支持具体项目的条件、范围与支持方式概况。</w:t>
      </w:r>
    </w:p>
    <w:p w14:paraId="03EAE0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按照资金管理办法要求，严格执行相关法律法规、财务规章制度，制定了单位财务管理制度、内部控制制度。严格执行项目资金管理办法和财务管理制度。项目资金支付专户管理、专项核算、专款专用和市财政局国库集中拨付，财务处理和会计核算真实、完整、及时、规范。</w:t>
      </w:r>
    </w:p>
    <w:p w14:paraId="796D96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项目资金支出范围目标：</w:t>
      </w:r>
    </w:p>
    <w:p w14:paraId="4D2DC5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目标1：持续开展铁路沿线安全环境常态化宣传和隐患排查治理；</w:t>
      </w:r>
    </w:p>
    <w:p w14:paraId="73FC49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目标2：推进地方政府与铁路运输企业联防工作机制，遏制铁路路外事故，营造安全良好外部环境；</w:t>
      </w:r>
    </w:p>
    <w:p w14:paraId="57B38C0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目标3：组织实施“双段长”制各项工作，打造铁路沿线“安、畅、绿、美”的风景线。</w:t>
      </w:r>
    </w:p>
    <w:p w14:paraId="09219D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4.资金分配的原则及考虑因素。</w:t>
      </w:r>
    </w:p>
    <w:p w14:paraId="227729E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量入为出，突出重点、注重绩效、专款专用原则，考虑各类费用因素所占比重与部门预算支出经济分类科目相结合的分配方式。</w:t>
      </w:r>
    </w:p>
    <w:p w14:paraId="210E051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项目绩效目标</w:t>
      </w:r>
    </w:p>
    <w:p w14:paraId="55DDD9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1.项目主要内容。</w:t>
      </w:r>
    </w:p>
    <w:p w14:paraId="46845ED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铁路安全整治专项经费主要内容是持续开展铁路沿线安全环境常态化宣传和隐患排查治理；推进地方政府与铁路运输企业联防工作机制，遏制铁路路外事故，营造安全良好外部环境；组织实施“双段长”制各项工作，打造铁路沿线“安、畅、绿、美”的风景线。</w:t>
      </w:r>
    </w:p>
    <w:p w14:paraId="5FAD772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2.项目应实现的具体绩效目标包括以下内容：</w:t>
      </w:r>
    </w:p>
    <w:p w14:paraId="6F7C78E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（1）经济成本指标：项目成本控制≤20万元；</w:t>
      </w:r>
    </w:p>
    <w:p w14:paraId="5F018D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（2）数量指标：</w:t>
      </w:r>
      <w:r>
        <w:rPr>
          <w:rFonts w:hint="default" w:ascii="仿宋" w:hAnsi="仿宋" w:eastAsia="仿宋" w:cs="仿宋"/>
          <w:color w:val="auto"/>
          <w:sz w:val="32"/>
          <w:szCs w:val="32"/>
          <w:highlight w:val="none"/>
          <w:lang w:val="en-US" w:eastAsia="zh-CN"/>
        </w:rPr>
        <w:t>紧扣省委、省政府支持大学生创业“七个一”行动部署，承办第十二届湖南省青年创青春大赛暨助力西部陆海新通道怀化国际陆港建设青年交流会、“湘青创”湖南省青年创业项目投融资对接交流会，连续两年获优秀组织奖，邀请8家怀化本地金融、服务机构现场为300余名大学生创业者开展一对一指导。主动对接省大学生创投基金来怀开展专场活动，争取项目投资90万元。成立青年就业创业公共法律服务中心，持续为青年创新创业提供全周期、全流程、全方位的法律服务，共接待咨询超3000人次</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持续深入关爱</w:t>
      </w:r>
      <w:r>
        <w:rPr>
          <w:rFonts w:hint="eastAsia" w:ascii="仿宋" w:hAnsi="仿宋" w:eastAsia="仿宋" w:cs="仿宋"/>
          <w:color w:val="auto"/>
          <w:sz w:val="32"/>
          <w:szCs w:val="32"/>
          <w:highlight w:val="none"/>
          <w:lang w:val="en-US" w:eastAsia="zh-CN"/>
        </w:rPr>
        <w:t>青少年心理健康</w:t>
      </w:r>
      <w:r>
        <w:rPr>
          <w:rFonts w:hint="default" w:ascii="仿宋" w:hAnsi="仿宋" w:eastAsia="仿宋" w:cs="仿宋"/>
          <w:color w:val="auto"/>
          <w:sz w:val="32"/>
          <w:szCs w:val="32"/>
          <w:highlight w:val="none"/>
          <w:lang w:val="en-US" w:eastAsia="zh-CN"/>
        </w:rPr>
        <w:t>“十个一”行动，开展“希望工程”“湘窖·我的大学梦”等助学项目，资助困难青少年1630名，累计捐资助学143万元。开展“七彩假期”“云支教”志愿服务等活动，持续为留守儿童开展辅导、陪伴、防溺水等内容丰富的关爱活动</w:t>
      </w:r>
      <w:r>
        <w:rPr>
          <w:rFonts w:hint="eastAsia" w:ascii="仿宋" w:hAnsi="仿宋" w:eastAsia="仿宋" w:cs="仿宋"/>
          <w:color w:val="auto"/>
          <w:sz w:val="32"/>
          <w:szCs w:val="32"/>
          <w:highlight w:val="none"/>
          <w:lang w:val="en-US" w:eastAsia="zh-CN"/>
        </w:rPr>
        <w:t>；</w:t>
      </w:r>
    </w:p>
    <w:p w14:paraId="51008A2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（3）质量指标：资金使用合规性100%；</w:t>
      </w:r>
    </w:p>
    <w:p w14:paraId="3733514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（4）时效指标：工作完成及时性，2025年12月之前完成目标；</w:t>
      </w:r>
    </w:p>
    <w:p w14:paraId="25C5B2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（5）社会效益指标：</w:t>
      </w:r>
      <w:r>
        <w:rPr>
          <w:rFonts w:hint="eastAsia" w:ascii="仿宋" w:hAnsi="仿宋" w:eastAsia="仿宋"/>
          <w:sz w:val="32"/>
          <w:szCs w:val="32"/>
        </w:rPr>
        <w:t>联合市铁护办，怀化铁路公安处、相关铁路运输企业等单位开展“平安铁路”宣传进社区、进学校、进农村“五进”宣传活动150场次，普及人群9.5万余人，发放各类宣传资料8万余份，重点人群走访726次，涉及196户，沿线群众爱路护路意识显著提升</w:t>
      </w:r>
      <w:r>
        <w:rPr>
          <w:rFonts w:hint="eastAsia" w:ascii="仿宋" w:hAnsi="仿宋" w:eastAsia="仿宋" w:cs="仿宋"/>
          <w:color w:val="auto"/>
          <w:sz w:val="32"/>
          <w:szCs w:val="32"/>
          <w:highlight w:val="none"/>
          <w:lang w:val="en-US" w:eastAsia="zh-CN"/>
        </w:rPr>
        <w:t>；</w:t>
      </w:r>
    </w:p>
    <w:p w14:paraId="6E55B1F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（6）满意度指标：人民群众满意度≥90%。</w:t>
      </w:r>
    </w:p>
    <w:p w14:paraId="3F9F605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分析评价申报内容是否与实际相符</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申报目标是否合理可行</w:t>
      </w:r>
      <w:r>
        <w:rPr>
          <w:rFonts w:hint="eastAsia" w:ascii="仿宋" w:hAnsi="仿宋" w:eastAsia="仿宋" w:cs="仿宋"/>
          <w:color w:val="auto"/>
          <w:sz w:val="32"/>
          <w:szCs w:val="32"/>
          <w:highlight w:val="none"/>
          <w:lang w:val="en-US" w:eastAsia="zh-CN"/>
        </w:rPr>
        <w:t>。</w:t>
      </w:r>
    </w:p>
    <w:p w14:paraId="7F6B9FB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分析评价申报内容与实际相符，申报目标合理可行。</w:t>
      </w:r>
    </w:p>
    <w:p w14:paraId="3433A06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281" w:firstLineChars="1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项目自评步骤及方法</w:t>
      </w:r>
    </w:p>
    <w:p w14:paraId="779A28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1.本次绩效评价工作按照《中华人民共和国预算法》《财政支出绩效评价管理暂行办法》以及有关的政策、规定、财务会计制度等，坚持实事求是、客观公正的原则。</w:t>
      </w:r>
    </w:p>
    <w:p w14:paraId="0A33DB7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本次绩效评价工作制定了准确、合理、细致的三级绩效评价体系，包括产出指标，效益指标，满意度指标，以及项目资金执行率指标，满分为100分。绩效评价结果分为四个等级：90-100分为优，80-90分为良，60-80分为较差，60分以下为差。</w:t>
      </w:r>
    </w:p>
    <w:p w14:paraId="43249BC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3.采用具体绩效目标是否严格按照本单位设置的指标完成情况打分。</w:t>
      </w:r>
    </w:p>
    <w:p w14:paraId="523CB30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w:t>
      </w:r>
      <w:r>
        <w:rPr>
          <w:rFonts w:hint="default" w:ascii="方正黑体_GBK" w:hAnsi="方正黑体_GBK" w:eastAsia="方正黑体_GBK" w:cs="方正黑体_GBK"/>
          <w:b/>
          <w:bCs/>
          <w:color w:val="auto"/>
          <w:sz w:val="32"/>
          <w:szCs w:val="32"/>
          <w:highlight w:val="none"/>
          <w:lang w:val="en-US" w:eastAsia="zh-CN"/>
        </w:rPr>
        <w:t>项目资金申报及使用情况</w:t>
      </w:r>
    </w:p>
    <w:p w14:paraId="63B6AA1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w:t>
      </w:r>
      <w:r>
        <w:rPr>
          <w:rFonts w:hint="default" w:ascii="仿宋" w:hAnsi="仿宋" w:eastAsia="仿宋" w:cs="仿宋"/>
          <w:color w:val="auto"/>
          <w:sz w:val="32"/>
          <w:szCs w:val="32"/>
          <w:highlight w:val="none"/>
          <w:lang w:val="en-US" w:eastAsia="zh-CN"/>
        </w:rPr>
        <w:t>项目资金申报及批复情况</w:t>
      </w:r>
    </w:p>
    <w:p w14:paraId="73AC71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严格按照项目资金相关程序、规定和要求，对项目进行申报及批复</w:t>
      </w:r>
      <w:r>
        <w:rPr>
          <w:rFonts w:hint="eastAsia" w:ascii="仿宋" w:hAnsi="仿宋" w:eastAsia="仿宋" w:cs="仿宋"/>
          <w:color w:val="auto"/>
          <w:sz w:val="32"/>
          <w:szCs w:val="32"/>
          <w:highlight w:val="none"/>
          <w:lang w:val="en-US" w:eastAsia="zh-CN"/>
        </w:rPr>
        <w:t>。2025年度铁路安全整治专项经费年初预算批复20万元</w:t>
      </w:r>
      <w:r>
        <w:rPr>
          <w:rFonts w:hint="default" w:ascii="仿宋" w:hAnsi="仿宋" w:eastAsia="仿宋" w:cs="仿宋"/>
          <w:color w:val="auto"/>
          <w:sz w:val="32"/>
          <w:szCs w:val="32"/>
          <w:highlight w:val="none"/>
          <w:lang w:val="en-US" w:eastAsia="zh-CN"/>
        </w:rPr>
        <w:t>。</w:t>
      </w:r>
    </w:p>
    <w:p w14:paraId="77664DA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资金计划、到位及使用情况</w:t>
      </w:r>
    </w:p>
    <w:p w14:paraId="2E8B6CD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1.资金计划。</w:t>
      </w:r>
    </w:p>
    <w:p w14:paraId="05F3D9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lang w:val="en-US" w:eastAsia="zh-CN"/>
        </w:rPr>
        <w:t>度</w:t>
      </w:r>
      <w:r>
        <w:rPr>
          <w:rFonts w:hint="default" w:ascii="仿宋" w:hAnsi="仿宋" w:eastAsia="仿宋" w:cs="仿宋"/>
          <w:color w:val="auto"/>
          <w:sz w:val="32"/>
          <w:szCs w:val="32"/>
          <w:highlight w:val="none"/>
          <w:lang w:val="en-US" w:eastAsia="zh-CN"/>
        </w:rPr>
        <w:t>资金计划为下达</w:t>
      </w:r>
      <w:r>
        <w:rPr>
          <w:rFonts w:hint="eastAsia" w:ascii="仿宋" w:hAnsi="仿宋" w:eastAsia="仿宋" w:cs="仿宋"/>
          <w:color w:val="auto"/>
          <w:sz w:val="32"/>
          <w:szCs w:val="32"/>
          <w:highlight w:val="none"/>
          <w:lang w:val="en-US" w:eastAsia="zh-CN"/>
        </w:rPr>
        <w:t>本单位</w:t>
      </w:r>
      <w:r>
        <w:rPr>
          <w:rFonts w:hint="default" w:ascii="仿宋" w:hAnsi="仿宋" w:eastAsia="仿宋" w:cs="仿宋"/>
          <w:color w:val="auto"/>
          <w:sz w:val="32"/>
          <w:szCs w:val="32"/>
          <w:highlight w:val="none"/>
          <w:lang w:val="en-US" w:eastAsia="zh-CN"/>
        </w:rPr>
        <w:t>财政资金</w:t>
      </w:r>
      <w:r>
        <w:rPr>
          <w:rFonts w:hint="eastAsia" w:ascii="仿宋" w:hAnsi="仿宋" w:eastAsia="仿宋" w:cs="仿宋"/>
          <w:color w:val="auto"/>
          <w:sz w:val="32"/>
          <w:szCs w:val="32"/>
          <w:highlight w:val="none"/>
          <w:lang w:val="en-US" w:eastAsia="zh-CN"/>
        </w:rPr>
        <w:t>20</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为市财政局拨付。</w:t>
      </w:r>
    </w:p>
    <w:p w14:paraId="697204F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default" w:ascii="仿宋" w:hAnsi="仿宋" w:eastAsia="仿宋" w:cs="仿宋"/>
          <w:color w:val="auto"/>
          <w:sz w:val="32"/>
          <w:szCs w:val="32"/>
          <w:highlight w:val="none"/>
          <w:lang w:val="en-US" w:eastAsia="zh-CN"/>
        </w:rPr>
        <w:t>资金到位。</w:t>
      </w:r>
    </w:p>
    <w:p w14:paraId="1B936F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年项目资金下达</w:t>
      </w:r>
      <w:r>
        <w:rPr>
          <w:rFonts w:hint="eastAsia" w:ascii="仿宋" w:hAnsi="仿宋" w:eastAsia="仿宋" w:cs="仿宋"/>
          <w:color w:val="auto"/>
          <w:sz w:val="32"/>
          <w:szCs w:val="32"/>
          <w:highlight w:val="none"/>
          <w:lang w:val="en-US" w:eastAsia="zh-CN"/>
        </w:rPr>
        <w:t>20</w:t>
      </w:r>
      <w:r>
        <w:rPr>
          <w:rFonts w:hint="default" w:ascii="仿宋" w:hAnsi="仿宋" w:eastAsia="仿宋" w:cs="仿宋"/>
          <w:color w:val="auto"/>
          <w:sz w:val="32"/>
          <w:szCs w:val="32"/>
          <w:highlight w:val="none"/>
          <w:lang w:val="en-US" w:eastAsia="zh-CN"/>
        </w:rPr>
        <w:t>万元，资金全部到位。资金到位</w:t>
      </w:r>
      <w:r>
        <w:rPr>
          <w:rFonts w:hint="eastAsia" w:ascii="仿宋" w:hAnsi="仿宋" w:eastAsia="仿宋" w:cs="仿宋"/>
          <w:color w:val="auto"/>
          <w:sz w:val="32"/>
          <w:szCs w:val="32"/>
          <w:highlight w:val="none"/>
          <w:lang w:val="en-US" w:eastAsia="zh-CN"/>
        </w:rPr>
        <w:t>率</w:t>
      </w:r>
      <w:r>
        <w:rPr>
          <w:rFonts w:hint="default" w:ascii="仿宋" w:hAnsi="仿宋" w:eastAsia="仿宋" w:cs="仿宋"/>
          <w:color w:val="auto"/>
          <w:sz w:val="32"/>
          <w:szCs w:val="32"/>
          <w:highlight w:val="none"/>
          <w:lang w:val="en-US" w:eastAsia="zh-CN"/>
        </w:rPr>
        <w:t>100%，配套资金筹措有力，资金及时到位。</w:t>
      </w:r>
    </w:p>
    <w:p w14:paraId="672F700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资金使用。</w:t>
      </w:r>
    </w:p>
    <w:p w14:paraId="774BBBC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年项目资金支付</w:t>
      </w:r>
      <w:r>
        <w:rPr>
          <w:rFonts w:hint="eastAsia" w:ascii="仿宋" w:hAnsi="仿宋" w:eastAsia="仿宋" w:cs="仿宋"/>
          <w:color w:val="auto"/>
          <w:sz w:val="32"/>
          <w:szCs w:val="32"/>
          <w:highlight w:val="none"/>
          <w:lang w:val="en-US" w:eastAsia="zh-CN"/>
        </w:rPr>
        <w:t>20</w:t>
      </w:r>
      <w:r>
        <w:rPr>
          <w:rFonts w:hint="default" w:ascii="仿宋" w:hAnsi="仿宋" w:eastAsia="仿宋" w:cs="仿宋"/>
          <w:color w:val="auto"/>
          <w:sz w:val="32"/>
          <w:szCs w:val="32"/>
          <w:highlight w:val="none"/>
          <w:lang w:val="en-US" w:eastAsia="zh-CN"/>
        </w:rPr>
        <w:t>万元。资金开支范围、标准及支付进度等合规合法</w:t>
      </w:r>
      <w:r>
        <w:rPr>
          <w:rFonts w:hint="eastAsia" w:ascii="仿宋" w:hAnsi="仿宋" w:eastAsia="仿宋" w:cs="仿宋"/>
          <w:color w:val="auto"/>
          <w:sz w:val="32"/>
          <w:szCs w:val="32"/>
          <w:highlight w:val="none"/>
          <w:lang w:val="en-US" w:eastAsia="zh-CN"/>
        </w:rPr>
        <w:t>，与</w:t>
      </w:r>
      <w:r>
        <w:rPr>
          <w:rFonts w:hint="default" w:ascii="仿宋" w:hAnsi="仿宋" w:eastAsia="仿宋" w:cs="仿宋"/>
          <w:color w:val="auto"/>
          <w:sz w:val="32"/>
          <w:szCs w:val="32"/>
          <w:highlight w:val="none"/>
          <w:lang w:val="en-US" w:eastAsia="zh-CN"/>
        </w:rPr>
        <w:t>资金支付预算相符。</w:t>
      </w:r>
    </w:p>
    <w:p w14:paraId="6D0B632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w:t>
      </w:r>
      <w:r>
        <w:rPr>
          <w:rFonts w:hint="default" w:ascii="仿宋" w:hAnsi="仿宋" w:eastAsia="仿宋" w:cs="仿宋"/>
          <w:color w:val="auto"/>
          <w:sz w:val="32"/>
          <w:szCs w:val="32"/>
          <w:highlight w:val="none"/>
          <w:lang w:val="en-US" w:eastAsia="zh-CN"/>
        </w:rPr>
        <w:t>项目财务管理情况</w:t>
      </w:r>
    </w:p>
    <w:p w14:paraId="097815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严格执行项目资金管理规定，专款专用、专账核算，资金拨付审批手续完整规范。规范原始凭证审核与账务处理，票据合规、账目清晰。定期核对收支台账，严控经费支出标准，无挤占、截留、挪用资金情况。及时完成财务资料归档，主动做好资金动态管控，保障项目资金安全高效使用。</w:t>
      </w:r>
    </w:p>
    <w:p w14:paraId="579C036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w:t>
      </w:r>
      <w:r>
        <w:rPr>
          <w:rFonts w:hint="default" w:ascii="方正黑体_GBK" w:hAnsi="方正黑体_GBK" w:eastAsia="方正黑体_GBK" w:cs="方正黑体_GBK"/>
          <w:b/>
          <w:bCs/>
          <w:color w:val="auto"/>
          <w:sz w:val="32"/>
          <w:szCs w:val="32"/>
          <w:highlight w:val="none"/>
          <w:lang w:val="en-US" w:eastAsia="zh-CN"/>
        </w:rPr>
        <w:t>项目实施及管理情况</w:t>
      </w:r>
    </w:p>
    <w:p w14:paraId="1C45045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w:t>
      </w:r>
      <w:r>
        <w:rPr>
          <w:rFonts w:hint="default" w:ascii="仿宋" w:hAnsi="仿宋" w:eastAsia="仿宋" w:cs="仿宋"/>
          <w:color w:val="auto"/>
          <w:sz w:val="32"/>
          <w:szCs w:val="32"/>
          <w:highlight w:val="none"/>
          <w:lang w:val="en-US" w:eastAsia="zh-CN"/>
        </w:rPr>
        <w:t>项目组织架构及实施流程</w:t>
      </w:r>
    </w:p>
    <w:p w14:paraId="5FB7A1E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w:t>
      </w:r>
      <w:r>
        <w:rPr>
          <w:rFonts w:hint="default" w:ascii="仿宋" w:hAnsi="仿宋" w:eastAsia="仿宋" w:cs="仿宋"/>
          <w:color w:val="auto"/>
          <w:sz w:val="32"/>
          <w:szCs w:val="32"/>
          <w:highlight w:val="none"/>
          <w:lang w:val="en-US" w:eastAsia="zh-CN"/>
        </w:rPr>
        <w:t>制定了财政专项资金管理办法、内部控制管理制度、政府采购内控制度等管理制度，使财务管理制度合法、规范、完整，可操作性强，使制定的内控制度及相关的财务管理制度得到了有效的执行。同时对项目资金阶段性完成情况进行动态跟踪监控、监督检查纠偏处理、改进完善等管理活动。</w:t>
      </w:r>
    </w:p>
    <w:p w14:paraId="6AE0B6C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项目管理情况</w:t>
      </w:r>
    </w:p>
    <w:p w14:paraId="566E39C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本单位建立完整项目管理机制，明确各岗位职责分工，细化实施计划与时间节点。全程做好进度跟踪、质量管控与资料留存，定期开展工作调度，及时协调解决实施难题。严格规范资金</w:t>
      </w:r>
      <w:r>
        <w:rPr>
          <w:rFonts w:hint="eastAsia" w:ascii="仿宋" w:hAnsi="仿宋" w:eastAsia="仿宋" w:cs="仿宋"/>
          <w:color w:val="auto"/>
          <w:sz w:val="32"/>
          <w:szCs w:val="32"/>
          <w:highlight w:val="none"/>
          <w:lang w:val="en-US" w:eastAsia="zh-CN"/>
        </w:rPr>
        <w:t>及</w:t>
      </w:r>
      <w:r>
        <w:rPr>
          <w:rFonts w:hint="default" w:ascii="仿宋" w:hAnsi="仿宋" w:eastAsia="仿宋" w:cs="仿宋"/>
          <w:color w:val="auto"/>
          <w:sz w:val="32"/>
          <w:szCs w:val="32"/>
          <w:highlight w:val="none"/>
          <w:lang w:val="en-US" w:eastAsia="zh-CN"/>
        </w:rPr>
        <w:t>档案管理，落实全过程自查，保障项目按方案推进，保质保量完成既定目标任务。</w:t>
      </w:r>
    </w:p>
    <w:p w14:paraId="386AA1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w:t>
      </w:r>
      <w:r>
        <w:rPr>
          <w:rFonts w:hint="default" w:ascii="仿宋" w:hAnsi="仿宋" w:eastAsia="仿宋" w:cs="仿宋"/>
          <w:color w:val="auto"/>
          <w:sz w:val="32"/>
          <w:szCs w:val="32"/>
          <w:highlight w:val="none"/>
          <w:lang w:val="en-US" w:eastAsia="zh-CN"/>
        </w:rPr>
        <w:t>项目监管情况</w:t>
      </w:r>
    </w:p>
    <w:p w14:paraId="105C00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按照本单位采取的项目管理办法对项目的执行进度严格监管，对项目资金严格把控审批与支付流程，对</w:t>
      </w:r>
      <w:r>
        <w:rPr>
          <w:rFonts w:hint="default" w:ascii="仿宋" w:hAnsi="仿宋" w:eastAsia="仿宋" w:cs="仿宋"/>
          <w:color w:val="auto"/>
          <w:sz w:val="32"/>
          <w:szCs w:val="32"/>
          <w:highlight w:val="none"/>
          <w:lang w:val="en-US" w:eastAsia="zh-CN"/>
        </w:rPr>
        <w:t>项目资金阶段性完成情况进行动态跟踪监控、监督检查纠偏处理、改进完善等管理活动。</w:t>
      </w:r>
    </w:p>
    <w:p w14:paraId="07DA9A5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四、项目绩效情况</w:t>
      </w:r>
    </w:p>
    <w:p w14:paraId="1EC4E24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w:t>
      </w:r>
      <w:r>
        <w:rPr>
          <w:rFonts w:hint="default" w:ascii="仿宋" w:hAnsi="仿宋" w:eastAsia="仿宋" w:cs="仿宋"/>
          <w:color w:val="auto"/>
          <w:sz w:val="32"/>
          <w:szCs w:val="32"/>
          <w:highlight w:val="none"/>
          <w:lang w:val="en-US" w:eastAsia="zh-CN"/>
        </w:rPr>
        <w:t>项目完成情况</w:t>
      </w:r>
    </w:p>
    <w:p w14:paraId="295095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default" w:ascii="仿宋" w:hAnsi="仿宋" w:eastAsia="仿宋" w:cs="仿宋"/>
          <w:color w:val="auto"/>
          <w:sz w:val="32"/>
          <w:szCs w:val="32"/>
          <w:highlight w:val="none"/>
          <w:lang w:val="en-US" w:eastAsia="zh-CN"/>
        </w:rPr>
        <w:t>数量</w:t>
      </w:r>
      <w:r>
        <w:rPr>
          <w:rFonts w:hint="eastAsia" w:ascii="仿宋" w:hAnsi="仿宋" w:eastAsia="仿宋" w:cs="仿宋"/>
          <w:color w:val="auto"/>
          <w:sz w:val="32"/>
          <w:szCs w:val="32"/>
          <w:highlight w:val="none"/>
          <w:lang w:val="en-US" w:eastAsia="zh-CN"/>
        </w:rPr>
        <w:t>：聚焦公铁并行、铁路通道配套连接道路、历史遗留重难点等问题，深入开展排查整治，动真碰硬，综合施策，累计消除违法搭建、乱堆乱放、危树等各类涉铁隐患330余处，完成82处公铁并行护栏建设和24处铁路通道配套连接道路任务，铁路沿线安全治理的底板得以进一步夯实。三处重难点整治任务取得实质性突破：鹤城区凉亭坳乡焦柳北线K1172+400米处铁路人行吊桥完成50%；麻阳郭公坪镇渝怀铁路K557+380处人行栈桥建设已正式开工；溆浦沪昆线K1472+960便道已完成了设计工作；</w:t>
      </w:r>
    </w:p>
    <w:p w14:paraId="2BEA633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default" w:ascii="仿宋" w:hAnsi="仿宋" w:eastAsia="仿宋" w:cs="仿宋"/>
          <w:color w:val="auto"/>
          <w:sz w:val="32"/>
          <w:szCs w:val="32"/>
          <w:highlight w:val="none"/>
          <w:lang w:val="en-US" w:eastAsia="zh-CN"/>
        </w:rPr>
        <w:t>质量</w:t>
      </w:r>
      <w:r>
        <w:rPr>
          <w:rFonts w:hint="eastAsia" w:ascii="仿宋" w:hAnsi="仿宋" w:eastAsia="仿宋" w:cs="仿宋"/>
          <w:color w:val="auto"/>
          <w:sz w:val="32"/>
          <w:szCs w:val="32"/>
          <w:highlight w:val="none"/>
          <w:lang w:val="en-US" w:eastAsia="zh-CN"/>
        </w:rPr>
        <w:t>：目标达标完成率100%；</w:t>
      </w:r>
    </w:p>
    <w:p w14:paraId="22C39F7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时效</w:t>
      </w:r>
      <w:r>
        <w:rPr>
          <w:rFonts w:hint="eastAsia" w:ascii="仿宋" w:hAnsi="仿宋" w:eastAsia="仿宋" w:cs="仿宋"/>
          <w:color w:val="auto"/>
          <w:sz w:val="32"/>
          <w:szCs w:val="32"/>
          <w:highlight w:val="none"/>
          <w:lang w:val="en-US" w:eastAsia="zh-CN"/>
        </w:rPr>
        <w:t>：工作在2025年12月31日之前完成；</w:t>
      </w:r>
    </w:p>
    <w:p w14:paraId="7C8E01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w:t>
      </w:r>
      <w:r>
        <w:rPr>
          <w:rFonts w:hint="default" w:ascii="仿宋" w:hAnsi="仿宋" w:eastAsia="仿宋" w:cs="仿宋"/>
          <w:color w:val="auto"/>
          <w:sz w:val="32"/>
          <w:szCs w:val="32"/>
          <w:highlight w:val="none"/>
          <w:lang w:val="en-US" w:eastAsia="zh-CN"/>
        </w:rPr>
        <w:t>成本</w:t>
      </w:r>
      <w:r>
        <w:rPr>
          <w:rFonts w:hint="eastAsia" w:ascii="仿宋" w:hAnsi="仿宋" w:eastAsia="仿宋" w:cs="仿宋"/>
          <w:color w:val="auto"/>
          <w:sz w:val="32"/>
          <w:szCs w:val="32"/>
          <w:highlight w:val="none"/>
          <w:lang w:val="en-US" w:eastAsia="zh-CN"/>
        </w:rPr>
        <w:t>：经济成本控制在20万元以内。</w:t>
      </w:r>
    </w:p>
    <w:p w14:paraId="2E0AC2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项目效益情况</w:t>
      </w:r>
    </w:p>
    <w:p w14:paraId="246FC2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default" w:ascii="仿宋" w:hAnsi="仿宋" w:eastAsia="仿宋" w:cs="仿宋"/>
          <w:color w:val="auto"/>
          <w:sz w:val="32"/>
          <w:szCs w:val="32"/>
          <w:highlight w:val="none"/>
          <w:lang w:val="en-US" w:eastAsia="zh-CN"/>
        </w:rPr>
        <w:t>经济效益</w:t>
      </w:r>
      <w:r>
        <w:rPr>
          <w:rFonts w:hint="eastAsia" w:ascii="仿宋" w:hAnsi="仿宋" w:eastAsia="仿宋" w:cs="仿宋"/>
          <w:color w:val="auto"/>
          <w:sz w:val="32"/>
          <w:szCs w:val="32"/>
          <w:highlight w:val="none"/>
          <w:lang w:val="en-US" w:eastAsia="zh-CN"/>
        </w:rPr>
        <w:t>：充分发挥资金使用效益；</w:t>
      </w:r>
    </w:p>
    <w:p w14:paraId="0C76BB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default" w:ascii="仿宋" w:hAnsi="仿宋" w:eastAsia="仿宋" w:cs="仿宋"/>
          <w:color w:val="auto"/>
          <w:sz w:val="32"/>
          <w:szCs w:val="32"/>
          <w:highlight w:val="none"/>
          <w:lang w:val="en-US" w:eastAsia="zh-CN"/>
        </w:rPr>
        <w:t>社会效益</w:t>
      </w:r>
      <w:r>
        <w:rPr>
          <w:rFonts w:hint="eastAsia" w:ascii="仿宋" w:hAnsi="仿宋" w:eastAsia="仿宋" w:cs="仿宋"/>
          <w:color w:val="auto"/>
          <w:sz w:val="32"/>
          <w:szCs w:val="32"/>
          <w:highlight w:val="none"/>
          <w:lang w:val="en-US" w:eastAsia="zh-CN"/>
        </w:rPr>
        <w:t>：遏制铁路路外事故，营造安全良好外部环境；</w:t>
      </w:r>
    </w:p>
    <w:p w14:paraId="60DB81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可持续效益</w:t>
      </w:r>
      <w:r>
        <w:rPr>
          <w:rFonts w:hint="eastAsia" w:ascii="仿宋" w:hAnsi="仿宋" w:eastAsia="仿宋" w:cs="仿宋"/>
          <w:color w:val="auto"/>
          <w:sz w:val="32"/>
          <w:szCs w:val="32"/>
          <w:highlight w:val="none"/>
          <w:lang w:val="en-US" w:eastAsia="zh-CN"/>
        </w:rPr>
        <w:t>：持续保障道路运输安全；</w:t>
      </w:r>
    </w:p>
    <w:p w14:paraId="09A3103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w:t>
      </w:r>
      <w:r>
        <w:rPr>
          <w:rFonts w:hint="default" w:ascii="仿宋" w:hAnsi="仿宋" w:eastAsia="仿宋" w:cs="仿宋"/>
          <w:color w:val="auto"/>
          <w:sz w:val="32"/>
          <w:szCs w:val="32"/>
          <w:highlight w:val="none"/>
          <w:lang w:val="en-US" w:eastAsia="zh-CN"/>
        </w:rPr>
        <w:t>服务对象满意度</w:t>
      </w:r>
      <w:r>
        <w:rPr>
          <w:rFonts w:hint="eastAsia" w:ascii="仿宋" w:hAnsi="仿宋" w:eastAsia="仿宋" w:cs="仿宋"/>
          <w:color w:val="auto"/>
          <w:sz w:val="32"/>
          <w:szCs w:val="32"/>
          <w:highlight w:val="none"/>
          <w:lang w:val="en-US" w:eastAsia="zh-CN"/>
        </w:rPr>
        <w:t>：服务对象满意度≥90%</w:t>
      </w:r>
      <w:r>
        <w:rPr>
          <w:rFonts w:hint="default" w:ascii="仿宋" w:hAnsi="仿宋" w:eastAsia="仿宋" w:cs="仿宋"/>
          <w:color w:val="auto"/>
          <w:sz w:val="32"/>
          <w:szCs w:val="32"/>
          <w:highlight w:val="none"/>
          <w:lang w:val="en-US" w:eastAsia="zh-CN"/>
        </w:rPr>
        <w:t>。</w:t>
      </w:r>
    </w:p>
    <w:p w14:paraId="7CA4F4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eastAsia" w:ascii="方正黑体_GBK" w:hAnsi="方正黑体_GBK" w:eastAsia="方正黑体_GBK" w:cs="方正黑体_GBK"/>
          <w:b w:val="0"/>
          <w:bCs w:val="0"/>
          <w:color w:val="auto"/>
          <w:sz w:val="32"/>
          <w:szCs w:val="32"/>
          <w:highlight w:val="none"/>
          <w:lang w:val="en-US" w:eastAsia="zh-CN"/>
        </w:rPr>
        <w:t>五、</w:t>
      </w:r>
      <w:r>
        <w:rPr>
          <w:rFonts w:hint="default" w:ascii="方正黑体_GBK" w:hAnsi="方正黑体_GBK" w:eastAsia="方正黑体_GBK" w:cs="方正黑体_GBK"/>
          <w:b w:val="0"/>
          <w:bCs w:val="0"/>
          <w:color w:val="auto"/>
          <w:sz w:val="32"/>
          <w:szCs w:val="32"/>
          <w:highlight w:val="none"/>
          <w:lang w:val="en-US" w:eastAsia="zh-CN"/>
        </w:rPr>
        <w:t>评价结论及建议</w:t>
      </w:r>
    </w:p>
    <w:p w14:paraId="0765B16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w:t>
      </w:r>
      <w:r>
        <w:rPr>
          <w:rFonts w:hint="default" w:ascii="仿宋" w:hAnsi="仿宋" w:eastAsia="仿宋" w:cs="仿宋"/>
          <w:color w:val="auto"/>
          <w:sz w:val="32"/>
          <w:szCs w:val="32"/>
          <w:highlight w:val="none"/>
          <w:lang w:val="en-US" w:eastAsia="zh-CN"/>
        </w:rPr>
        <w:t>评价结论</w:t>
      </w:r>
    </w:p>
    <w:p w14:paraId="57A6622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根据2025年度绩效评价指标，根据本单位在2025年度实际按照绩效指标设立的完成情况综合分析，该项目得分为100分，绩效评价等级为优</w:t>
      </w:r>
      <w:r>
        <w:rPr>
          <w:rFonts w:hint="default" w:ascii="仿宋" w:hAnsi="仿宋" w:eastAsia="仿宋" w:cs="仿宋"/>
          <w:color w:val="auto"/>
          <w:sz w:val="32"/>
          <w:szCs w:val="32"/>
          <w:highlight w:val="none"/>
          <w:lang w:val="en-US" w:eastAsia="zh-CN"/>
        </w:rPr>
        <w:t>。</w:t>
      </w:r>
    </w:p>
    <w:p w14:paraId="62C9B6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存在的问题</w:t>
      </w:r>
    </w:p>
    <w:p w14:paraId="56224D0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1.项目预算绩效管理有待进一步加强，预算编制中绩效目标意识不够，对资金的管理使用不够系统全面。</w:t>
      </w:r>
    </w:p>
    <w:p w14:paraId="1E74BF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2.项目绩效目标设立不够细化、量化。虽然按要求及时申报了项目资料，但项目绩效目标在细化、量化方面还不到位。</w:t>
      </w:r>
    </w:p>
    <w:p w14:paraId="12534A1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w:t>
      </w:r>
      <w:r>
        <w:rPr>
          <w:rFonts w:hint="default" w:ascii="仿宋" w:hAnsi="仿宋" w:eastAsia="仿宋" w:cs="仿宋"/>
          <w:color w:val="auto"/>
          <w:sz w:val="32"/>
          <w:szCs w:val="32"/>
          <w:highlight w:val="none"/>
          <w:lang w:val="en-US" w:eastAsia="zh-CN"/>
        </w:rPr>
        <w:t>相关建议</w:t>
      </w:r>
    </w:p>
    <w:p w14:paraId="5D69B53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1.加强预算绩效管理工作。提升项目资金支出绩效管理意识，科学合理地对财政支出进行管理。</w:t>
      </w:r>
    </w:p>
    <w:p w14:paraId="04724C5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2.抓好项目绩效目标申报，提高项目绩效目标申报质量，项目绩效目标做到明确、细化、量化。</w:t>
      </w:r>
    </w:p>
    <w:p w14:paraId="5929F9A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457D687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26C97C1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05BC343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62EC929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17E8DEA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12B0E26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0CF0F77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64811DF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附件7</w:t>
      </w:r>
    </w:p>
    <w:p w14:paraId="29B5B4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市直部门绩效联络员名单统计表</w:t>
      </w:r>
    </w:p>
    <w:p w14:paraId="1218007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2184"/>
        <w:gridCol w:w="2184"/>
        <w:gridCol w:w="2184"/>
      </w:tblGrid>
      <w:tr w14:paraId="16D4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506388FE">
            <w:pPr>
              <w:keepNext w:val="0"/>
              <w:keepLines w:val="0"/>
              <w:pageBreakBefore w:val="0"/>
              <w:widowControl w:val="0"/>
              <w:kinsoku/>
              <w:wordWrap/>
              <w:overflowPunct/>
              <w:topLinePunct w:val="0"/>
              <w:autoSpaceDE/>
              <w:autoSpaceDN/>
              <w:bidi w:val="0"/>
              <w:adjustRightInd/>
              <w:snapToGrid w:val="0"/>
              <w:spacing w:line="520" w:lineRule="exact"/>
              <w:ind w:firstLine="241" w:firstLineChars="100"/>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b/>
                <w:bCs/>
                <w:color w:val="auto"/>
                <w:sz w:val="24"/>
                <w:szCs w:val="24"/>
                <w:highlight w:val="none"/>
                <w:vertAlign w:val="baseline"/>
                <w:lang w:val="en-US" w:eastAsia="zh-CN"/>
              </w:rPr>
              <w:t>部门单位名称</w:t>
            </w:r>
          </w:p>
        </w:tc>
        <w:tc>
          <w:tcPr>
            <w:tcW w:w="2184" w:type="dxa"/>
          </w:tcPr>
          <w:p w14:paraId="7FA37DC0">
            <w:pPr>
              <w:keepNext w:val="0"/>
              <w:keepLines w:val="0"/>
              <w:pageBreakBefore w:val="0"/>
              <w:widowControl w:val="0"/>
              <w:kinsoku/>
              <w:wordWrap/>
              <w:overflowPunct/>
              <w:topLinePunct w:val="0"/>
              <w:autoSpaceDE/>
              <w:autoSpaceDN/>
              <w:bidi w:val="0"/>
              <w:adjustRightInd/>
              <w:snapToGrid w:val="0"/>
              <w:spacing w:line="520" w:lineRule="exact"/>
              <w:ind w:firstLine="241" w:firstLineChars="100"/>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b/>
                <w:bCs/>
                <w:color w:val="auto"/>
                <w:sz w:val="24"/>
                <w:szCs w:val="24"/>
                <w:highlight w:val="none"/>
                <w:vertAlign w:val="baseline"/>
                <w:lang w:val="en-US" w:eastAsia="zh-CN"/>
              </w:rPr>
              <w:t>绩效联络员姓名</w:t>
            </w:r>
          </w:p>
        </w:tc>
        <w:tc>
          <w:tcPr>
            <w:tcW w:w="2184" w:type="dxa"/>
          </w:tcPr>
          <w:p w14:paraId="7E5E031F">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b/>
                <w:bCs/>
                <w:color w:val="auto"/>
                <w:sz w:val="24"/>
                <w:szCs w:val="24"/>
                <w:highlight w:val="none"/>
                <w:vertAlign w:val="baseline"/>
                <w:lang w:val="en-US" w:eastAsia="zh-CN"/>
              </w:rPr>
              <w:t>职务职级</w:t>
            </w:r>
          </w:p>
        </w:tc>
        <w:tc>
          <w:tcPr>
            <w:tcW w:w="2184" w:type="dxa"/>
          </w:tcPr>
          <w:p w14:paraId="1382502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color w:val="auto"/>
                <w:sz w:val="24"/>
                <w:szCs w:val="24"/>
                <w:highlight w:val="none"/>
                <w:vertAlign w:val="baseline"/>
                <w:lang w:val="en-US" w:eastAsia="zh-CN"/>
              </w:rPr>
              <w:t xml:space="preserve">  </w:t>
            </w:r>
            <w:r>
              <w:rPr>
                <w:rFonts w:hint="eastAsia" w:ascii="Times New Roman Regular" w:hAnsi="Times New Roman Regular" w:eastAsia="仿宋_GB2312" w:cs="Times New Roman Regular"/>
                <w:b/>
                <w:bCs/>
                <w:color w:val="auto"/>
                <w:sz w:val="24"/>
                <w:szCs w:val="24"/>
                <w:highlight w:val="none"/>
                <w:vertAlign w:val="baseline"/>
                <w:lang w:val="en-US" w:eastAsia="zh-CN"/>
              </w:rPr>
              <w:t xml:space="preserve"> 联系方式</w:t>
            </w:r>
          </w:p>
        </w:tc>
      </w:tr>
      <w:tr w14:paraId="166B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67424EE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r>
              <w:rPr>
                <w:rFonts w:hint="default" w:ascii="Times New Roman Regular" w:hAnsi="Times New Roman Regular" w:eastAsia="仿宋_GB2312" w:cs="Times New Roman Regular"/>
                <w:color w:val="auto"/>
                <w:sz w:val="32"/>
                <w:szCs w:val="32"/>
                <w:highlight w:val="none"/>
                <w:vertAlign w:val="baseline"/>
                <w:lang w:val="en-US" w:eastAsia="zh-CN"/>
              </w:rPr>
              <w:t>怀化市综合交通运输协调服务中心</w:t>
            </w:r>
          </w:p>
        </w:tc>
        <w:tc>
          <w:tcPr>
            <w:tcW w:w="2184" w:type="dxa"/>
          </w:tcPr>
          <w:p w14:paraId="00BB5EB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r>
              <w:rPr>
                <w:rFonts w:hint="eastAsia" w:ascii="Times New Roman Regular" w:hAnsi="Times New Roman Regular" w:eastAsia="仿宋_GB2312" w:cs="Times New Roman Regular"/>
                <w:color w:val="auto"/>
                <w:sz w:val="32"/>
                <w:szCs w:val="32"/>
                <w:highlight w:val="none"/>
                <w:vertAlign w:val="baseline"/>
                <w:lang w:val="en-US" w:eastAsia="zh-CN"/>
              </w:rPr>
              <w:t>舒辉</w:t>
            </w:r>
          </w:p>
        </w:tc>
        <w:tc>
          <w:tcPr>
            <w:tcW w:w="2184" w:type="dxa"/>
          </w:tcPr>
          <w:p w14:paraId="06ACCBF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1B5B5F3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r>
              <w:rPr>
                <w:rFonts w:hint="eastAsia" w:ascii="Times New Roman Regular" w:hAnsi="Times New Roman Regular" w:eastAsia="仿宋_GB2312" w:cs="Times New Roman Regular"/>
                <w:color w:val="auto"/>
                <w:sz w:val="32"/>
                <w:szCs w:val="32"/>
                <w:highlight w:val="none"/>
                <w:vertAlign w:val="baseline"/>
                <w:lang w:val="en-US" w:eastAsia="zh-CN"/>
              </w:rPr>
              <w:t>15386271098</w:t>
            </w:r>
          </w:p>
        </w:tc>
      </w:tr>
      <w:tr w14:paraId="4984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36FC2F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7C155CD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16D8290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1D05231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r w14:paraId="364D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578C513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2D88D9C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0F53FB3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0F79A40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r w14:paraId="6C85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7E2730D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3D7FD0A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6CCC96A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543EDF1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r w14:paraId="790F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1FE41AE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214AAA2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7507118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5D31C4F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bl>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74E55B7A"/>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50A5890-31F4-4C05-B125-E3E77456A937}"/>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FA23E5BE-4729-41E7-92A0-6EC2A0C562CD}"/>
  </w:font>
  <w:font w:name="方正小标宋简体">
    <w:panose1 w:val="02010600010101010101"/>
    <w:charset w:val="86"/>
    <w:family w:val="auto"/>
    <w:pitch w:val="default"/>
    <w:sig w:usb0="00000001" w:usb1="080E0000" w:usb2="00000000" w:usb3="00000000" w:csb0="00040000" w:csb1="00000000"/>
    <w:embedRegular r:id="rId3" w:fontKey="{EEB0DF91-8DC0-4215-9CF9-01DCEE2319B1}"/>
  </w:font>
  <w:font w:name="方正黑体_GBK">
    <w:panose1 w:val="02010600010101010101"/>
    <w:charset w:val="86"/>
    <w:family w:val="auto"/>
    <w:pitch w:val="default"/>
    <w:sig w:usb0="00000001" w:usb1="080E0000" w:usb2="00000000" w:usb3="00000000" w:csb0="00040000" w:csb1="00000000"/>
    <w:embedRegular r:id="rId4" w:fontKey="{010FFCCB-B5D1-4E96-A5E4-67A4F3DE5A08}"/>
  </w:font>
  <w:font w:name="仿宋">
    <w:panose1 w:val="02010609060101010101"/>
    <w:charset w:val="86"/>
    <w:family w:val="auto"/>
    <w:pitch w:val="default"/>
    <w:sig w:usb0="800002BF" w:usb1="38CF7CFA" w:usb2="00000016" w:usb3="00000000" w:csb0="00040001" w:csb1="00000000"/>
    <w:embedRegular r:id="rId5" w:fontKey="{117C226D-9EB5-49F3-AFE8-0526F11C1FC5}"/>
  </w:font>
  <w:font w:name="方正小标宋_GBK">
    <w:panose1 w:val="02000000000000000000"/>
    <w:charset w:val="86"/>
    <w:family w:val="auto"/>
    <w:pitch w:val="default"/>
    <w:sig w:usb0="A00002BF" w:usb1="38CF7CFA" w:usb2="00082016" w:usb3="00000000" w:csb0="00040001" w:csb1="00000000"/>
    <w:embedRegular r:id="rId6" w:fontKey="{602DB65C-82E9-49CB-86D2-313192D0E90E}"/>
  </w:font>
  <w:font w:name="Times New Roman Regular">
    <w:altName w:val="Times New Roman"/>
    <w:panose1 w:val="02020603050405020304"/>
    <w:charset w:val="00"/>
    <w:family w:val="auto"/>
    <w:pitch w:val="default"/>
    <w:sig w:usb0="00000000" w:usb1="00000000" w:usb2="00000009" w:usb3="00000000" w:csb0="400001FF" w:csb1="FFFF0000"/>
    <w:embedRegular r:id="rId7" w:fontKey="{CA8DD1CB-76A9-40D4-92CA-3574DDA1E377}"/>
  </w:font>
  <w:font w:name="仿宋_GB2312">
    <w:panose1 w:val="02010609030101010101"/>
    <w:charset w:val="86"/>
    <w:family w:val="auto"/>
    <w:pitch w:val="default"/>
    <w:sig w:usb0="00000001" w:usb1="080E0000" w:usb2="00000000" w:usb3="00000000" w:csb0="00040000" w:csb1="00000000"/>
    <w:embedRegular r:id="rId8" w:fontKey="{CEDC1129-E98E-48C8-9D69-1A4E4EA5218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08C1BA"/>
    <w:multiLevelType w:val="singleLevel"/>
    <w:tmpl w:val="D908C1B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9B51D6"/>
    <w:rsid w:val="590E6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d91651a5-91bb-4f66-bb63-3b56c8dda813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7F75C9D4</paraID>
      <start>0</start>
      <end>2</end>
      <status>modified</status>
      <modifiedWord>1.</modifiedWord>
      <trackRevisions>false</trackRevisions>
    </reviewItem>
    <reviewItem>
      <errorID>2961068f-ed77-435f-a158-f342a4a97792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382111EA</paraID>
      <start>0</start>
      <end>2</end>
      <status>modified</status>
      <modifiedWord>2.</modifiedWord>
      <trackRevisions>false</trackRevisions>
    </reviewItem>
    <reviewItem>
      <errorID>efd9fefc-b35e-4e47-a180-f3e1a437cc8f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1FE447F2</paraID>
      <start>0</start>
      <end>2</end>
      <status>modified</status>
      <modifiedWord>3.</modifiedWord>
      <trackRevisions>false</trackRevisions>
    </reviewItem>
    <reviewItem>
      <errorID>eebb61bc-2f57-46f3-b425-ef14b0794052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CCA6ACD</paraID>
      <start>0</start>
      <end>2</end>
      <status>modified</status>
      <modifiedWord>4.</modifiedWord>
      <trackRevisions>false</trackRevisions>
    </reviewItem>
    <reviewItem>
      <errorID>502634ad-b5e7-4e3f-81a2-d93536343c3d</errorID>
      <errorWord>年</errorWord>
      <group>L1_Word</group>
      <groupName>字词问题</groupName>
      <ability>L2_Typo</ability>
      <abilityName>字词错误</abilityName>
      <candidateList>
        <item>年以</item>
      </candidateList>
      <explain/>
      <paraID>516F89BE</paraID>
      <start>6</start>
      <end>8</end>
      <status>modified</status>
      <modifiedWord>年以</modifiedWord>
      <trackRevisions>false</trackRevisions>
    </reviewItem>
    <reviewItem>
      <errorID>4cb42dba-8ad9-4dcd-985e-fd9023dc8565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E34B9C6</paraID>
      <start>0</start>
      <end>2</end>
      <status>modified</status>
      <modifiedWord>1.</modifiedWord>
      <trackRevisions>false</trackRevisions>
    </reviewItem>
    <reviewItem>
      <errorID>5eb9c548-b3a5-4eae-a55a-169fed716f3d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22B66DD3</paraID>
      <start>0</start>
      <end>2</end>
      <status>modified</status>
      <modifiedWord>2.</modifiedWord>
      <trackRevisions>false</trackRevisions>
    </reviewItem>
    <reviewItem>
      <errorID>2420a231-ae9b-4003-a7b4-3a4d92f51200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4F425990</paraID>
      <start>0</start>
      <end>2</end>
      <status>modified</status>
      <modifiedWord>3.</modifiedWord>
      <trackRevisions>false</trackRevisions>
    </reviewItem>
    <reviewItem>
      <errorID>4d6ead29-e19f-43fd-89e2-172abf67aa46</errorID>
      <errorWord>预算的</errorWord>
      <group>L1_Word</group>
      <groupName>字词问题</groupName>
      <ability>L2_Typo</ability>
      <abilityName>字词错误</abilityName>
      <candidateList>
        <item>预算</item>
      </candidateList>
      <explain/>
      <paraID>2A233D23</paraID>
      <start>16</start>
      <end>18</end>
      <status>modified</status>
      <modifiedWord>预算</modifiedWord>
      <trackRevisions>false</trackRevisions>
    </reviewItem>
    <reviewItem>
      <errorID>7959a4fc-b9c1-4803-9bf3-95985a907847</errorID>
      <errorWord>附有</errorWord>
      <group>L1_Word</group>
      <groupName>字词问题</groupName>
      <ability>L2_Typo</ability>
      <abilityName>字词错误</abilityName>
      <candidateList>
        <item>负有</item>
      </candidateList>
      <explain/>
      <paraID>3717554E</paraID>
      <start>26</start>
      <end>28</end>
      <status>modified</status>
      <modifiedWord>负有</modifiedWord>
      <trackRevisions>false</trackRevisions>
    </reviewItem>
    <reviewItem>
      <errorID>2e594152-eb4b-4c02-8af0-aeca311a62fe</errorID>
      <errorWord>,</errorWord>
      <group>L1_Format</group>
      <groupName>格式问题</groupName>
      <ability>L2_HalfPunc_CN</ability>
      <abilityName>全半角检查</abilityName>
      <candidateList>
        <item>，</item>
      </candidateList>
      <explain>文本全半角错误。</explain>
      <paraID>7EC9BF1C</paraID>
      <start>12</start>
      <end>13</end>
      <status>modified</status>
      <modifiedWord>，</modifiedWord>
      <trackRevisions>false</trackRevisions>
    </reviewItem>
    <reviewItem>
      <errorID>64048a46-a700-401e-8db8-440e4a798f61</errorID>
      <errorWord>,</errorWord>
      <group>L1_Format</group>
      <groupName>格式问题</groupName>
      <ability>L2_HalfPunc_CN</ability>
      <abilityName>全半角检查</abilityName>
      <candidateList>
        <item>，</item>
      </candidateList>
      <explain>文本全半角错误。</explain>
      <paraID>73FC49ED</paraID>
      <start>23</start>
      <end>24</end>
      <status>modified</status>
      <modifiedWord>，</modifiedWord>
      <trackRevisions>false</trackRevisions>
    </reviewItem>
    <reviewItem>
      <errorID>33b82040-ca0a-46e3-9d9a-3597d410ac92</errorID>
      <errorWord>,</errorWord>
      <group>L1_Format</group>
      <groupName>格式问题</groupName>
      <ability>L2_HalfPunc_CN</ability>
      <abilityName>全半角检查</abilityName>
      <candidateList>
        <item>，</item>
      </candidateList>
      <explain>文本全半角错误。</explain>
      <paraID>73FC49ED</paraID>
      <start>32</start>
      <end>33</end>
      <status>modified</status>
      <modifiedWord>，</modifiedWord>
      <trackRevisions>false</trackRevisions>
    </reviewItem>
    <reviewItem>
      <errorID>9c1472f2-c649-4e49-b2d1-a0450dcecab2</errorID>
      <errorWord>,</errorWord>
      <group>L1_Format</group>
      <groupName>格式问题</groupName>
      <ability>L2_HalfPunc_CN</ability>
      <abilityName>全半角检查</abilityName>
      <candidateList>
        <item>，</item>
      </candidateList>
      <explain>文本全半角错误。</explain>
      <paraID>57B38C0A</paraID>
      <start>18</start>
      <end>19</end>
      <status>modified</status>
      <modifiedWord>，</modifiedWord>
      <trackRevisions>false</trackRevisions>
    </reviewItem>
    <reviewItem>
      <errorID>d312297f-c17f-4755-a725-3d9e4b6159a6</errorID>
      <errorWord>,</errorWord>
      <group>L1_Format</group>
      <groupName>格式问题</groupName>
      <ability>L2_HalfPunc_CN</ability>
      <abilityName>全半角检查</abilityName>
      <candidateList>
        <item>，</item>
      </candidateList>
      <explain>文本全半角错误。</explain>
      <paraID>46845EDD</paraID>
      <start>59</start>
      <end>60</end>
      <status>modified</status>
      <modifiedWord>，</modifiedWord>
      <trackRevisions>false</trackRevisions>
    </reviewItem>
    <reviewItem>
      <errorID>4ab08dbb-a427-4fa8-bc82-653ed2b8c83e</errorID>
      <errorWord>,</errorWord>
      <group>L1_Format</group>
      <groupName>格式问题</groupName>
      <ability>L2_HalfPunc_CN</ability>
      <abilityName>全半角检查</abilityName>
      <candidateList>
        <item>，</item>
      </candidateList>
      <explain>文本全半角错误。</explain>
      <paraID>46845EDD</paraID>
      <start>68</start>
      <end>69</end>
      <status>modified</status>
      <modifiedWord>，</modifiedWord>
      <trackRevisions>false</trackRevisions>
    </reviewItem>
    <reviewItem>
      <errorID>96c5f55c-27af-42d6-8f85-e24cfe5e18f7</errorID>
      <errorWord>,</errorWord>
      <group>L1_Format</group>
      <groupName>格式问题</groupName>
      <ability>L2_HalfPunc_CN</ability>
      <abilityName>全半角检查</abilityName>
      <candidateList>
        <item>，</item>
      </candidateList>
      <explain>文本全半角错误。</explain>
      <paraID>46845EDD</paraID>
      <start>94</start>
      <end>95</end>
      <status>modified</status>
      <modifiedWord>，</modifiedWord>
      <trackRevisions>false</trackRevisions>
    </reviewItem>
    <reviewItem>
      <errorID>fe51d0a4-de80-4194-874a-4ed6c682ef06</errorID>
      <errorWord>青少年身心健康</errorWord>
      <group>L1_Political</group>
      <groupName>政治性问题</groupName>
      <ability>L2_Keyword</ability>
      <abilityName>固定表述</abilityName>
      <candidateList>
        <item>青少年心理健康</item>
      </candidateList>
      <explain>词汇“青少年心理健康”在特定场景下为固定表述形式，请确认此处的“青少年身心健康”是否存在不当。</explain>
      <paraID>5F018DBE</paraID>
      <start>240</start>
      <end>247</end>
      <status>modified</status>
      <modifiedWord>青少年心理健康</modifiedWord>
      <trackRevisions>false</trackRevisions>
    </reviewItem>
    <reviewItem>
      <errorID>4412ee35-920f-4794-a38d-594d23f16834</errorID>
      <errorWord>,</errorWord>
      <group>L1_Format</group>
      <groupName>格式问题</groupName>
      <ability>L2_HalfPunc_CN</ability>
      <abilityName>全半角检查</abilityName>
      <candidateList>
        <item>，</item>
      </candidateList>
      <explain>文本全半角错误。</explain>
      <paraID>3F9F6053</paraID>
      <start>17</start>
      <end>18</end>
      <status>modified</status>
      <modifiedWord>，</modifiedWord>
      <trackRevisions>false</trackRevisions>
    </reviewItem>
    <reviewItem>
      <errorID>e03b63ec-b281-4073-9127-1c1c6043091f</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779A2837</paraID>
      <start>23</start>
      <end>25</end>
      <status>modified</status>
      <modifiedWord>》《</modifiedWord>
      <trackRevisions>false</trackRevisions>
    </reviewItem>
    <reviewItem>
      <errorID>a6edc6e5-7571-431c-a2b6-f83a727c5d3b</errorID>
      <errorWord>，</errorWord>
      <group>L1_Word</group>
      <groupName>字词问题</groupName>
      <ability>L2_Typo</ability>
      <abilityName>字词错误</abilityName>
      <candidateList>
        <item>，与</item>
      </candidateList>
      <explain/>
      <paraID>774BBBCC</paraID>
      <start>35</start>
      <end>37</end>
      <status>modified</status>
      <modifiedWord>，与</modifiedWord>
      <trackRevisions>false</trackRevisions>
    </reviewItem>
    <reviewItem>
      <errorID>80aff591-b783-4a02-ad16-72a139ced53e</errorID>
      <errorWord>，</errorWord>
      <group>L1_Word</group>
      <groupName>字词问题</groupName>
      <ability>L2_Typo</ability>
      <abilityName>字词错误</abilityName>
      <candidateList>
        <item>，对</item>
      </candidateList>
      <explain/>
      <paraID>105C0037</paraID>
      <start>26</start>
      <end>28</end>
      <status>modified</status>
      <modifiedWord>，对</modifiedWord>
      <trackRevisions>false</trackRevisions>
    </reviewItem>
    <reviewItem>
      <errorID>4535b655-3704-4b8e-a097-4afb4faff3b9</errorID>
      <errorWord>护拦</errorWord>
      <group>L1_Word</group>
      <groupName>字词问题</groupName>
      <ability>L2_Typo</ability>
      <abilityName>字词错误</abilityName>
      <candidateList>
        <item>护栏</item>
      </candidateList>
      <explain/>
      <paraID>295095AC</paraID>
      <start>91</start>
      <end>93</end>
      <status>modified</status>
      <modifiedWord>护栏</modifiedWord>
      <trackRevisions>false</trackRevisions>
    </reviewItem>
    <reviewItem>
      <errorID>1c99936a-1aa8-4fe5-97f7-bc9cd7970043</errorID>
      <errorWord>;</errorWord>
      <group>L1_Format</group>
      <groupName>格式问题</groupName>
      <ability>L2_HalfPunc_CN</ability>
      <abilityName>全半角检查</abilityName>
      <candidateList>
        <item>；</item>
      </candidateList>
      <explain>文本全半角错误。</explain>
      <paraID>295095AC</paraID>
      <start>237</start>
      <end>238</end>
      <status>modified</status>
      <modifiedWord>；</modifiedWord>
      <trackRevisions>false</trackRevisions>
    </reviewItem>
    <reviewItem>
      <errorID>cd63d781-ab33-40bc-9420-2f9fd9d0547e</errorID>
      <errorWord>,</errorWord>
      <group>L1_Format</group>
      <groupName>格式问题</groupName>
      <ability>L2_HalfPunc_CN</ability>
      <abilityName>全半角检查</abilityName>
      <candidateList>
        <item>，</item>
      </candidateList>
      <explain>文本全半角错误。</explain>
      <paraID> C76BB31</paraID>
      <start>15</start>
      <end>16</end>
      <status>modified</status>
      <modifiedWord>，</modifiedWord>
      <trackRevisions>false</trackRevisions>
    </reviewItem>
    <reviewItem>
      <errorID>b8cfea89-ad0d-4d84-a24c-d1174a37694b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56224D01</paraID>
      <start>0</start>
      <end>2</end>
      <status>modified</status>
      <modifiedWord>1.</modifiedWord>
      <trackRevisions>false</trackRevisions>
    </reviewItem>
    <reviewItem>
      <errorID>6b509ae1-a3e7-4e17-a698-ff201fdbfdea</errorID>
      <errorWord>当中</errorWord>
      <group>L1_Word</group>
      <groupName>字词问题</groupName>
      <ability>L2_Typo</ability>
      <abilityName>字词错误</abilityName>
      <candidateList>
        <item>中</item>
      </candidateList>
      <explain/>
      <paraID>56224D01</paraID>
      <start>22</start>
      <end>23</end>
      <status>modified</status>
      <modifiedWord>中</modifiedWord>
      <trackRevisions>false</trackRevisions>
    </reviewItem>
    <reviewItem>
      <errorID>e4d7cfa9-e4e6-4296-8b74-7d7d1ff9bb6e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1E74BF37</paraID>
      <start>0</start>
      <end>2</end>
      <status>modified</status>
      <modifiedWord>2.</modifiedWord>
      <trackRevisions>false</trackRevisions>
    </reviewItem>
    <reviewItem>
      <errorID>413555d0-024a-4f9b-932b-9f5fd73364b2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5D69B53F</paraID>
      <start>0</start>
      <end>2</end>
      <status>modified</status>
      <modifiedWord>1.</modifiedWord>
      <trackRevisions>false</trackRevisions>
    </reviewItem>
    <reviewItem>
      <errorID>d9a39723-ca4a-4bc9-86b4-f8d87a11e226</errorID>
      <errorWord>项目在</errorWord>
      <group>L1_Word</group>
      <groupName>字词问题</groupName>
      <ability>L2_Typo</ability>
      <abilityName>字词错误</abilityName>
      <candidateList>
        <item>项目</item>
      </candidateList>
      <explain/>
      <paraID>5D69B53F</paraID>
      <start>15</start>
      <end>17</end>
      <status>modified</status>
      <modifiedWord>项目</modifiedWord>
      <trackRevisions>false</trackRevisions>
    </reviewItem>
    <reviewItem>
      <errorID>0bbd83ba-c7de-49f0-8e24-0294bc222aa2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4724C5A</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58ff070f-686c-45ab-b4e8-4fc557aeeba1}">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549</Words>
  <Characters>588</Characters>
  <Lines>0</Lines>
  <Paragraphs>0</Paragraphs>
  <TotalTime>0</TotalTime>
  <ScaleCrop>false</ScaleCrop>
  <LinksUpToDate>false</LinksUpToDate>
  <CharactersWithSpaces>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2026-09-21T02:01:00Z</dcterms:created>
  <dc:creator>win</dc:creator>
  <cp:lastModifiedBy>罗卜</cp:lastModifiedBy>
  <dcterms:modified xsi:type="dcterms:W3CDTF">2026-09-30T01:37:27Z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eyJoZGlkIjoiNDEyYjY0ZDMyZmNjNjhkM2ViNjI5ODY5ZThiMTM5YjMiLCJ1c2VySWQiOiI2Mzg2MTk4NjEifQ==</vt:lpwstr>
  </property>
  <property fmtid="{D5CDD505-2E9C-101B-9397-08002B2CF9AE}" pid="4" name="ICV">
    <vt:lpwstr>E82B3A7524B4435DA4282FD702D30F1B_13</vt:lpwstr>
  </property>
</Properties>
</file>