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怀化市机关事务管理局</w:t>
      </w: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怀化市机关事务管理局</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hint="eastAsia" w:ascii="仿宋_GB2312" w:hAnsi="仿宋_GB2312" w:eastAsia="仿宋_GB2312" w:cs="仿宋_GB2312"/>
          <w:color w:val="000000"/>
          <w:kern w:val="0"/>
          <w:sz w:val="32"/>
          <w:szCs w:val="32"/>
        </w:rPr>
      </w:pPr>
      <w:r>
        <w:rPr>
          <w:rFonts w:ascii="Times New Roman" w:hAnsi="Times New Roman" w:eastAsia="仿宋_GB2312" w:cs="Times New Roman"/>
          <w:color w:val="000000"/>
          <w:kern w:val="0"/>
          <w:sz w:val="32"/>
          <w:szCs w:val="32"/>
        </w:rPr>
        <w:t>七、</w:t>
      </w:r>
      <w:r>
        <w:rPr>
          <w:rFonts w:hint="eastAsia" w:ascii="仿宋_GB2312" w:hAnsi="仿宋_GB2312" w:eastAsia="仿宋_GB2312" w:cs="仿宋_GB2312"/>
          <w:color w:val="000000"/>
          <w:kern w:val="0"/>
          <w:sz w:val="32"/>
          <w:szCs w:val="32"/>
        </w:rPr>
        <w:t>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九</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国有资本经营预算财政拨款支出说明</w:t>
      </w:r>
    </w:p>
    <w:p>
      <w:pPr>
        <w:autoSpaceDE w:val="0"/>
        <w:autoSpaceDN w:val="0"/>
        <w:adjustRightInd w:val="0"/>
        <w:spacing w:line="600" w:lineRule="exact"/>
        <w:jc w:val="left"/>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rPr>
          <w:rFonts w:ascii="Times New Roman" w:hAnsi="Times New Roman" w:cs="Times New Roman"/>
          <w:bCs/>
          <w:sz w:val="32"/>
          <w:szCs w:val="32"/>
        </w:rPr>
      </w:pPr>
      <w:r>
        <w:rPr>
          <w:rFonts w:ascii="Times New Roman" w:hAnsi="Times New Roman" w:cs="Times New Roman"/>
          <w:bCs/>
          <w:sz w:val="32"/>
          <w:szCs w:val="32"/>
        </w:rPr>
        <w:br w:type="page"/>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怀化市机关事务管理局</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指导全市机关事务工作，负责市直机关事务的管理、保障和服务工作，组织拟订全市机关事务管理和后勤体制改革的具体政策、制度、标准并监督实施；负责指导全市机关后勤服务单位业务工作；会同有关部门协调解决机关后勤工作中的有关问题。</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对市直机关单位的房地产实施管理，制订相关管理制度并监督执行；协助有关部门做好市直机关房地产的监督管理工作；负责市直党政机关办公用房集中统一管理，协助有关部门管理市直机关的行政建房计划和投资；根据授权承担市直机关行政办公用房及其他非经营性项目的集中统一建设职责；负责市直机关办公用房维修管理，承办市直机关房屋维修、危旧房改造事务工作；负责市直机关行政用房、住宅建设土地使用权证的有关管理工作。指导、监督、检查全市党政机关办公用房管理，指导市直机关物业管理工作。</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负责市直行政事业单位国有资产集中统一管理，承担配置计划审核、产权界定、清查登记、资产处置工作。负责市直行政事业单位经营性资产的管理工作。负责外宾赠送我市领导人和各部门的礼品、市直机关单位公派出国人员的礼品和其他礼金礼品的管理工作。会同有关部门负责市纪委监委移交资产物品的管理处置工作。</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负责市直机关住房制度改革工作，研究拟订住房制度改革方案和实施细则并组织实施；在权限范围内负责市直公务员集中住宅区、保障性住房的建设、管理和服务工作；负责市直机关存量公有住房清查、产权登记、调剂配租、维修维护、资产处置等工作。</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指导、监督、检查全市公务用车管理工作；负责市直行政事业单位公务用车的编制、配备、更新、处置以及预算内专项用于解决市领导和市直行政事业单位公务用车的经费管理工作，负责市直公务用车平台管理工作。</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统筹协调、指导、推进全市公共机构节能工作，会同有关部门推进全市节约型机关建设，制定推动全市公共机构节能的规划、制度并组织实施；负责市直公共机构节约能源资源管理工作。</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负责按规定为异地交流来怀工作的市级领导提供住房保障等服务。</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负责市委机关、市政府机关（市民服务中心，下同）的事务管理、保障和服务工作；承担市委机关、市政府机关房屋维修、危旧房改造事务工作；承办市委机关住房交易管理工作。</w:t>
      </w:r>
    </w:p>
    <w:p>
      <w:pP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会同相关部门组织实施市直机关后勤员工培训工作。</w:t>
      </w:r>
    </w:p>
    <w:p>
      <w:pPr>
        <w:spacing w:line="600" w:lineRule="exact"/>
        <w:ind w:firstLine="800" w:firstLineChars="25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（十）承办市委、市政府交办的其它任务。</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一）有关职责分工。市财政局负责制定行政事业单位国有资产管理规章制度，并负责组织实施和监督检查。市机关事务管理局负责市直行政事业单位国有资产管理，承担产权界定、清查登记、资产处置工作，接受市财政局的指导和监督检查。</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机关事务管理局内设机构包括：办公室、办公用房管理与住房保障科、国有资产管理科、公共机构节能管理科、人事与政策法规科、财务管理科、机关党委。设怀化市委市政府机关服务中心、怀化市直机关国有资产事务中心、怀化市公务用车事务中心和怀化市委市政府机关幼儿园四个二级机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eastAsia="仿宋_GB2312" w:hAnsiTheme="minorEastAsia"/>
          <w:sz w:val="28"/>
          <w:szCs w:val="32"/>
        </w:rPr>
      </w:pPr>
      <w:r>
        <w:rPr>
          <w:rFonts w:ascii="Times New Roman" w:hAnsi="Times New Roman" w:eastAsia="仿宋_GB2312" w:cs="Times New Roman"/>
          <w:bCs/>
          <w:kern w:val="0"/>
          <w:sz w:val="32"/>
          <w:szCs w:val="32"/>
        </w:rPr>
        <w:t>（二）</w:t>
      </w:r>
      <w:r>
        <w:rPr>
          <w:rFonts w:hint="eastAsia" w:ascii="仿宋_GB2312" w:hAnsi="仿宋_GB2312" w:eastAsia="仿宋_GB2312" w:cs="仿宋_GB2312"/>
          <w:bCs/>
          <w:kern w:val="0"/>
          <w:sz w:val="32"/>
          <w:szCs w:val="32"/>
        </w:rPr>
        <w:t>决算单位构成。</w:t>
      </w:r>
      <w:r>
        <w:rPr>
          <w:rFonts w:hint="eastAsia" w:ascii="仿宋_GB2312" w:hAnsi="仿宋_GB2312" w:eastAsia="仿宋_GB2312" w:cs="仿宋_GB2312"/>
          <w:bCs/>
          <w:kern w:val="0"/>
          <w:sz w:val="32"/>
          <w:szCs w:val="32"/>
          <w:lang w:val="en-US" w:eastAsia="zh-CN"/>
        </w:rPr>
        <w:t>怀化市机关事务管理局</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年部门决算汇总公开单位构成包括：怀化市机关事务管理局本级（怀化市委市政府机关服务中心、怀化市直机关国有资产事务中心、怀化市公务用车事务中心三个二级机构财务不独立）。</w:t>
      </w:r>
    </w:p>
    <w:p>
      <w:pPr>
        <w:bidi w:val="0"/>
      </w:pPr>
    </w:p>
    <w:p>
      <w:pPr>
        <w:bidi w:val="0"/>
      </w:pPr>
    </w:p>
    <w:p/>
    <w:p>
      <w:pPr>
        <w:tabs>
          <w:tab w:val="left" w:pos="2753"/>
        </w:tabs>
        <w:bidi w:val="0"/>
        <w:jc w:val="left"/>
        <w:rPr>
          <w:rFonts w:hint="eastAsia"/>
          <w:lang w:eastAsia="zh-CN"/>
        </w:rPr>
      </w:pPr>
    </w:p>
    <w:p>
      <w:pPr>
        <w:rPr>
          <w:rFonts w:hint="eastAsia"/>
          <w:lang w:eastAsia="zh-CN"/>
        </w:rPr>
        <w:sectPr>
          <w:footerReference r:id="rId4" w:type="default"/>
          <w:pgSz w:w="11906" w:h="16838"/>
          <w:pgMar w:top="1417" w:right="1588" w:bottom="1417" w:left="1588" w:header="851" w:footer="992" w:gutter="0"/>
          <w:pgNumType w:start="1"/>
          <w:cols w:space="425" w:num="1"/>
          <w:docGrid w:type="lines" w:linePitch="312" w:charSpace="0"/>
        </w:sectPr>
      </w:pPr>
      <w:r>
        <w:rPr>
          <w:rFonts w:hint="eastAsia"/>
          <w:lang w:eastAsia="zh-CN"/>
        </w:rPr>
        <w:br w:type="page"/>
      </w: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hint="eastAsia" w:ascii="仿宋_GB2312" w:hAnsi="仿宋_GB2312" w:eastAsia="仿宋_GB2312" w:cs="仿宋_GB2312"/>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default" w:ascii="Times New Roman" w:hAnsi="Times New Roman" w:eastAsia="仿宋_GB2312" w:cs="Times New Roman"/>
          <w:color w:val="000000"/>
          <w:sz w:val="24"/>
          <w:szCs w:val="24"/>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部门：</w:t>
      </w:r>
      <w:r>
        <w:rPr>
          <w:rFonts w:hint="eastAsia" w:ascii="仿宋_GB2312" w:hAnsi="仿宋_GB2312" w:eastAsia="仿宋_GB2312" w:cs="仿宋_GB2312"/>
          <w:color w:val="000000"/>
          <w:kern w:val="0"/>
          <w:sz w:val="20"/>
          <w:szCs w:val="20"/>
          <w:lang w:eastAsia="zh-CN" w:bidi="ar"/>
        </w:rPr>
        <w:t>怀化市机关事务管理局</w:t>
      </w:r>
      <w:r>
        <w:rPr>
          <w:rFonts w:hint="eastAsia" w:ascii="仿宋_GB2312" w:hAnsi="仿宋_GB2312" w:eastAsia="仿宋_GB2312" w:cs="仿宋_GB2312"/>
          <w:color w:val="000000"/>
          <w:sz w:val="20"/>
          <w:szCs w:val="20"/>
        </w:rPr>
        <w:tab/>
      </w: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564"/>
        <w:gridCol w:w="917"/>
        <w:gridCol w:w="1468"/>
        <w:gridCol w:w="4624"/>
        <w:gridCol w:w="917"/>
        <w:gridCol w:w="1406"/>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4146.46</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sz w:val="22"/>
                <w:lang w:eastAsia="zh-CN"/>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4018.71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0.00</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2.00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222.07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203.64</w:t>
            </w: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42.48</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p>
        </w:tc>
        <w:tc>
          <w:tcPr>
            <w:tcW w:w="4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rPr>
              <w:t>50.56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sz w:val="22"/>
                <w:lang w:eastAsia="zh-CN"/>
              </w:rPr>
            </w:pPr>
            <w:r>
              <w:rPr>
                <w:rFonts w:hint="default" w:ascii="仿宋_GB2312" w:hAnsi="仿宋_GB2312" w:eastAsia="仿宋_GB2312" w:cs="仿宋_GB2312"/>
                <w:color w:val="000000"/>
                <w:kern w:val="0"/>
                <w:sz w:val="22"/>
                <w:lang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eastAsia" w:ascii="仿宋_GB2312" w:hAnsi="仿宋_GB2312" w:eastAsia="仿宋_GB2312" w:cs="仿宋_GB2312"/>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4350.1</w:t>
            </w:r>
            <w:r>
              <w:rPr>
                <w:rFonts w:hint="eastAsia" w:ascii="仿宋_GB2312" w:hAnsi="仿宋_GB2312" w:eastAsia="仿宋_GB2312" w:cs="仿宋_GB2312"/>
                <w:color w:val="000000"/>
                <w:sz w:val="22"/>
                <w:lang w:val="en-US" w:eastAsia="zh-CN"/>
              </w:rPr>
              <w:t>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4335.83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color w:val="000000"/>
                <w:kern w:val="0"/>
                <w:sz w:val="22"/>
                <w:lang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2"/>
                <w:sz w:val="22"/>
                <w:szCs w:val="22"/>
                <w:lang w:eastAsia="zh-CN" w:bidi="ar-SA"/>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0.00</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color w:val="000000"/>
                <w:kern w:val="0"/>
                <w:sz w:val="22"/>
                <w:lang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14.27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4350.1</w:t>
            </w:r>
            <w:r>
              <w:rPr>
                <w:rFonts w:hint="eastAsia" w:ascii="仿宋_GB2312" w:hAnsi="仿宋_GB2312" w:eastAsia="仿宋_GB2312" w:cs="仿宋_GB2312"/>
                <w:color w:val="000000"/>
                <w:sz w:val="22"/>
                <w:lang w:val="en-US" w:eastAsia="zh-CN"/>
              </w:rPr>
              <w:t>0</w:t>
            </w:r>
          </w:p>
        </w:tc>
        <w:tc>
          <w:tcPr>
            <w:tcW w:w="4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_GB2312" w:hAnsi="仿宋_GB2312" w:eastAsia="仿宋_GB2312" w:cs="仿宋_GB2312"/>
                <w:color w:val="000000"/>
                <w:kern w:val="0"/>
                <w:sz w:val="22"/>
                <w:lang w:eastAsia="zh-CN" w:bidi="ar"/>
              </w:rPr>
            </w:pPr>
            <w:r>
              <w:rPr>
                <w:rFonts w:hint="default" w:ascii="仿宋_GB2312" w:hAnsi="仿宋_GB2312" w:eastAsia="仿宋_GB2312" w:cs="仿宋_GB2312"/>
                <w:color w:val="000000"/>
                <w:kern w:val="0"/>
                <w:sz w:val="22"/>
                <w:lang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4350.10</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hint="eastAsia" w:ascii="仿宋_GB2312" w:hAnsi="仿宋_GB2312" w:eastAsia="仿宋_GB2312" w:cs="仿宋_GB2312"/>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hint="eastAsia" w:ascii="仿宋_GB2312" w:hAnsi="仿宋_GB2312" w:eastAsia="仿宋_GB2312" w:cs="仿宋_GB2312"/>
          <w:color w:val="000000"/>
          <w:sz w:val="20"/>
          <w:szCs w:val="20"/>
        </w:rPr>
      </w:pP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部门：</w:t>
      </w:r>
      <w:r>
        <w:rPr>
          <w:rFonts w:hint="eastAsia" w:ascii="仿宋_GB2312" w:hAnsi="仿宋_GB2312" w:eastAsia="仿宋_GB2312" w:cs="仿宋_GB2312"/>
          <w:color w:val="000000"/>
          <w:sz w:val="20"/>
          <w:szCs w:val="20"/>
        </w:rPr>
        <w:tab/>
      </w:r>
      <w:r>
        <w:rPr>
          <w:rFonts w:hint="eastAsia" w:ascii="仿宋_GB2312" w:hAnsi="仿宋_GB2312" w:eastAsia="仿宋_GB2312" w:cs="仿宋_GB2312"/>
          <w:color w:val="000000"/>
          <w:sz w:val="20"/>
          <w:szCs w:val="20"/>
          <w:lang w:eastAsia="zh-CN"/>
        </w:rPr>
        <w:t>怀化市机关事务管理局</w:t>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sz w:val="24"/>
          <w:szCs w:val="24"/>
        </w:rPr>
        <w:tab/>
      </w: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041"/>
        <w:gridCol w:w="2145"/>
        <w:gridCol w:w="1640"/>
        <w:gridCol w:w="1640"/>
        <w:gridCol w:w="1640"/>
        <w:gridCol w:w="1640"/>
        <w:gridCol w:w="1640"/>
        <w:gridCol w:w="1897"/>
        <w:gridCol w:w="1383"/>
      </w:tblGrid>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rPr>
          <w:trHeight w:val="334" w:hRule="exact"/>
          <w:jc w:val="center"/>
        </w:trPr>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312"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14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rPr>
              <w:t>7</w:t>
            </w:r>
          </w:p>
        </w:tc>
      </w:tr>
      <w:tr>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rPr>
            </w:pPr>
            <w:r>
              <w:rPr>
                <w:rFonts w:hint="eastAsia" w:ascii="仿宋_GB2312" w:hAnsi="仿宋_GB2312" w:eastAsia="仿宋_GB2312" w:cs="仿宋_GB2312"/>
                <w:lang w:val="en-US" w:eastAsia="zh-CN"/>
              </w:rPr>
              <w:t>4350.10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4146.46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203.64</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4018.71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3889.23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129.49</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20101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人大事务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160.00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160.00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2010103</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机关服务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160.00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160.00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20103</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政府办公厅（室）及相关机构事务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3309.80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3309.80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2010301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910.64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910.64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2010303</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机关服务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2399.15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2399.15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20132</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组织事务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2013299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其他组织事务支出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548.12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418.63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129.49</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2019999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548.12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418.63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129.49</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205</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20599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其他教育支出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2059999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其他教育支出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208</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222.07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212.75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9.32</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20805</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212.75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212.75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2080501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130.93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130.93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lang w:val="en-US" w:eastAsia="zh-CN"/>
              </w:rPr>
              <w:t>2080505</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81.81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81.81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20810</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社会福利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2081004</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殡葬</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21011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2101101</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r>
      <w:tr>
        <w:trPr>
          <w:trHeight w:val="450" w:hRule="atLeast"/>
          <w:jc w:val="center"/>
        </w:trPr>
        <w:tc>
          <w:tcPr>
            <w:tcW w:w="10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2299999</w:t>
            </w:r>
          </w:p>
        </w:tc>
        <w:tc>
          <w:tcPr>
            <w:tcW w:w="21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64.83</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hint="eastAsia" w:ascii="仿宋_GB2312" w:hAnsi="仿宋_GB2312" w:eastAsia="仿宋_GB2312" w:cs="仿宋_GB2312"/>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仿宋_GB2312" w:hAnsi="仿宋_GB2312" w:eastAsia="仿宋_GB2312" w:cs="仿宋_GB2312"/>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部门：</w:t>
      </w:r>
      <w:r>
        <w:rPr>
          <w:rFonts w:hint="eastAsia" w:ascii="仿宋_GB2312" w:hAnsi="仿宋_GB2312" w:eastAsia="仿宋_GB2312" w:cs="仿宋_GB2312"/>
          <w:color w:val="000000"/>
          <w:kern w:val="0"/>
          <w:sz w:val="20"/>
          <w:szCs w:val="20"/>
          <w:lang w:eastAsia="zh-CN"/>
        </w:rPr>
        <w:t>怀化市机关事务管理局</w:t>
      </w: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kern w:val="0"/>
          <w:sz w:val="24"/>
          <w:szCs w:val="24"/>
        </w:rPr>
        <w:t>　</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w:t>
      </w:r>
      <w:r>
        <w:rPr>
          <w:rFonts w:hint="eastAsia" w:ascii="仿宋_GB2312" w:hAnsi="仿宋_GB2312" w:eastAsia="仿宋_GB2312" w:cs="仿宋_GB2312"/>
          <w:kern w:val="0"/>
          <w:sz w:val="24"/>
          <w:szCs w:val="24"/>
        </w:rPr>
        <w:tab/>
      </w: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color w:val="000000"/>
          <w:kern w:val="0"/>
          <w:sz w:val="20"/>
          <w:szCs w:val="20"/>
        </w:rPr>
        <w:t>单位：万元</w:t>
      </w:r>
    </w:p>
    <w:tbl>
      <w:tblPr>
        <w:tblStyle w:val="8"/>
        <w:tblW w:w="5054" w:type="pct"/>
        <w:jc w:val="center"/>
        <w:tblLayout w:type="fixed"/>
        <w:tblCellMar>
          <w:top w:w="0" w:type="dxa"/>
          <w:left w:w="108" w:type="dxa"/>
          <w:bottom w:w="0" w:type="dxa"/>
          <w:right w:w="108" w:type="dxa"/>
        </w:tblCellMar>
      </w:tblPr>
      <w:tblGrid>
        <w:gridCol w:w="1293"/>
        <w:gridCol w:w="3855"/>
        <w:gridCol w:w="1411"/>
        <w:gridCol w:w="1487"/>
        <w:gridCol w:w="1533"/>
        <w:gridCol w:w="1426"/>
        <w:gridCol w:w="1730"/>
        <w:gridCol w:w="1640"/>
      </w:tblGrid>
      <w:tr>
        <w:tblPrEx>
          <w:tblCellMar>
            <w:top w:w="0" w:type="dxa"/>
            <w:left w:w="108" w:type="dxa"/>
            <w:bottom w:w="0" w:type="dxa"/>
            <w:right w:w="108" w:type="dxa"/>
          </w:tblCellMar>
        </w:tblPrEx>
        <w:trPr>
          <w:trHeight w:val="449" w:hRule="atLeast"/>
          <w:jc w:val="center"/>
        </w:trPr>
        <w:tc>
          <w:tcPr>
            <w:tcW w:w="179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6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rPr>
          <w:trHeight w:val="350" w:hRule="exact"/>
          <w:jc w:val="center"/>
        </w:trPr>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4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449" w:hRule="atLeast"/>
          <w:jc w:val="center"/>
        </w:trPr>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41"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rPr>
          <w:trHeight w:val="449" w:hRule="atLeast"/>
          <w:jc w:val="center"/>
        </w:trPr>
        <w:tc>
          <w:tcPr>
            <w:tcW w:w="17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9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533"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9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60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57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CellMar>
            <w:top w:w="0" w:type="dxa"/>
            <w:left w:w="108" w:type="dxa"/>
            <w:bottom w:w="0" w:type="dxa"/>
            <w:right w:w="108" w:type="dxa"/>
          </w:tblCellMar>
        </w:tblPrEx>
        <w:trPr>
          <w:trHeight w:val="449" w:hRule="atLeast"/>
          <w:jc w:val="center"/>
        </w:trPr>
        <w:tc>
          <w:tcPr>
            <w:tcW w:w="17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9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4335.83</w:t>
            </w: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1815.56</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2520.27</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一般公共服务支出</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4018.71</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1498.44</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2520.27</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20101</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人大事务</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160.00</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2010103</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机关服务</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160.00</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20103</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政府办公厅（室）及相关机构事务</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3309.80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1041.91</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2267.89</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2010301</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行政运行</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910.64</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910.64</w:t>
            </w:r>
          </w:p>
        </w:tc>
        <w:tc>
          <w:tcPr>
            <w:tcW w:w="533"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nil"/>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2010303</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机关服务</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2399.15</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131.27</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2267.89</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20132</w:t>
            </w:r>
          </w:p>
        </w:tc>
        <w:tc>
          <w:tcPr>
            <w:tcW w:w="13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组织事务</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0.80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0.80</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2013299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其他组织事务支出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0.80</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0.80</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其他一般公共服务支出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548.12</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455.73</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92.39</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2019999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其他一般公共服务支出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548.12</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455.73</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92.39</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205</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教育支出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20599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其他教育支出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2059999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其他教育支出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2.00</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社会保障和就业支出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222.07</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222.07</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20805</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212.75</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212.75</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2080501</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行政单位离退休</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130.93</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130.93</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2080505</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机关事业单位基本养老保险缴费支出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81.81</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81.81</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20810</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社会福利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2081004</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殡葬</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9.32</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21011</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2101101</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行政单位医疗</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42.48</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blPrEx>
          <w:tblCellMar>
            <w:top w:w="0" w:type="dxa"/>
            <w:left w:w="108" w:type="dxa"/>
            <w:bottom w:w="0" w:type="dxa"/>
            <w:right w:w="108" w:type="dxa"/>
          </w:tblCellMar>
        </w:tblPrEx>
        <w:trPr>
          <w:trHeight w:val="449"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r>
        <w:trPr>
          <w:trHeight w:val="467" w:hRule="atLeast"/>
          <w:jc w:val="center"/>
        </w:trPr>
        <w:tc>
          <w:tcPr>
            <w:tcW w:w="44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2299999</w:t>
            </w:r>
          </w:p>
        </w:tc>
        <w:tc>
          <w:tcPr>
            <w:tcW w:w="1341"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其他支出</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17"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50.56</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495"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601"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c>
          <w:tcPr>
            <w:tcW w:w="570"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both"/>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both"/>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hint="eastAsia" w:ascii="仿宋_GB2312" w:hAnsi="仿宋_GB2312" w:eastAsia="仿宋_GB2312" w:cs="仿宋_GB2312"/>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仿宋_GB2312" w:hAnsi="仿宋_GB2312" w:eastAsia="仿宋_GB2312" w:cs="仿宋_GB2312"/>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怀化市机关事务管理局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14273" w:type="dxa"/>
        <w:jc w:val="center"/>
        <w:tblLayout w:type="fixed"/>
        <w:tblCellMar>
          <w:top w:w="0" w:type="dxa"/>
          <w:left w:w="108" w:type="dxa"/>
          <w:bottom w:w="0" w:type="dxa"/>
          <w:right w:w="108" w:type="dxa"/>
        </w:tblCellMar>
      </w:tblPr>
      <w:tblGrid>
        <w:gridCol w:w="3380"/>
        <w:gridCol w:w="510"/>
        <w:gridCol w:w="1207"/>
        <w:gridCol w:w="2361"/>
        <w:gridCol w:w="614"/>
        <w:gridCol w:w="1139"/>
        <w:gridCol w:w="1631"/>
        <w:gridCol w:w="1551"/>
        <w:gridCol w:w="1880"/>
      </w:tblGrid>
      <w:tr>
        <w:tblPrEx>
          <w:tblCellMar>
            <w:top w:w="0" w:type="dxa"/>
            <w:left w:w="108" w:type="dxa"/>
            <w:bottom w:w="0" w:type="dxa"/>
            <w:right w:w="108" w:type="dxa"/>
          </w:tblCellMar>
        </w:tblPrEx>
        <w:trPr>
          <w:trHeight w:val="402" w:hRule="atLeast"/>
          <w:jc w:val="center"/>
        </w:trPr>
        <w:tc>
          <w:tcPr>
            <w:tcW w:w="509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76"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3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1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一、一般公共服务支出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14</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3889.23</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3889.23</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二、外交支出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15</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3</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三、国防支出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16</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4</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四、公共安全支出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17</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5</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18</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2.00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2.00</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rPr>
            </w:pPr>
            <w:r>
              <w:rPr>
                <w:rFonts w:hint="default" w:ascii="仿宋_GB2312" w:hAnsi="仿宋_GB2312" w:eastAsia="仿宋_GB2312" w:cs="仿宋_GB2312"/>
                <w:kern w:val="0"/>
                <w:sz w:val="22"/>
              </w:rPr>
              <w:t>6</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19</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212.75</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212.75</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p>
        </w:tc>
        <w:tc>
          <w:tcPr>
            <w:tcW w:w="51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rPr>
            </w:pPr>
            <w:r>
              <w:rPr>
                <w:rFonts w:hint="default" w:ascii="仿宋_GB2312" w:hAnsi="仿宋_GB2312" w:eastAsia="仿宋_GB2312" w:cs="仿宋_GB2312"/>
                <w:kern w:val="0"/>
                <w:sz w:val="22"/>
              </w:rPr>
              <w:t>7</w:t>
            </w:r>
          </w:p>
        </w:tc>
        <w:tc>
          <w:tcPr>
            <w:tcW w:w="12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23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20</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42.48</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42.48</w:t>
            </w:r>
          </w:p>
        </w:tc>
        <w:tc>
          <w:tcPr>
            <w:tcW w:w="15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b/>
                <w:bCs/>
                <w:kern w:val="0"/>
                <w:sz w:val="22"/>
              </w:rPr>
              <w:t>本年收入合计</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8</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b/>
                <w:bCs/>
                <w:kern w:val="0"/>
                <w:sz w:val="22"/>
              </w:rPr>
              <w:t>本年支出合计</w:t>
            </w: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21</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年初财政拨款结转和结余</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9</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年末财政拨款结转和结余</w:t>
            </w: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22</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一般公共预算财政拨款</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10</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23</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政府性基金预算财政拨款</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11</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24</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国有资本经营预算财政拨款</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12</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25</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p>
        </w:tc>
      </w:tr>
      <w:tr>
        <w:tblPrEx>
          <w:tblCellMar>
            <w:top w:w="0" w:type="dxa"/>
            <w:left w:w="108" w:type="dxa"/>
            <w:bottom w:w="0" w:type="dxa"/>
            <w:right w:w="108" w:type="dxa"/>
          </w:tblCellMar>
        </w:tblPrEx>
        <w:trPr>
          <w:trHeight w:val="402" w:hRule="atLeast"/>
          <w:jc w:val="center"/>
        </w:trPr>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总计</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13</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23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总计</w:t>
            </w:r>
          </w:p>
        </w:tc>
        <w:tc>
          <w:tcPr>
            <w:tcW w:w="61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仿宋_GB2312" w:hAnsi="仿宋_GB2312" w:eastAsia="仿宋_GB2312" w:cs="仿宋_GB2312"/>
                <w:kern w:val="0"/>
                <w:sz w:val="22"/>
                <w:lang w:eastAsia="zh-CN"/>
              </w:rPr>
            </w:pPr>
            <w:r>
              <w:rPr>
                <w:rFonts w:hint="default" w:ascii="仿宋_GB2312" w:hAnsi="仿宋_GB2312" w:eastAsia="仿宋_GB2312" w:cs="仿宋_GB2312"/>
                <w:kern w:val="0"/>
                <w:sz w:val="22"/>
                <w:lang w:eastAsia="zh-CN"/>
              </w:rPr>
              <w:t>26</w:t>
            </w:r>
          </w:p>
        </w:tc>
        <w:tc>
          <w:tcPr>
            <w:tcW w:w="113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163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4146.46</w:t>
            </w:r>
          </w:p>
        </w:tc>
        <w:tc>
          <w:tcPr>
            <w:tcW w:w="1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c>
          <w:tcPr>
            <w:tcW w:w="1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0.00</w:t>
            </w:r>
          </w:p>
        </w:tc>
      </w:tr>
    </w:tbl>
    <w:p>
      <w:pPr>
        <w:widowControl/>
        <w:jc w:val="left"/>
        <w:rPr>
          <w:rFonts w:ascii="Times New Roman" w:hAnsi="Times New Roman" w:eastAsia="黑体" w:cs="Times New Roman"/>
          <w:color w:val="000000"/>
          <w:kern w:val="0"/>
          <w:sz w:val="36"/>
          <w:szCs w:val="36"/>
          <w:lang w:bidi="ar"/>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hint="eastAsia" w:ascii="仿宋_GB2312" w:hAnsi="仿宋_GB2312" w:eastAsia="仿宋_GB2312" w:cs="仿宋_GB2312"/>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仿宋_GB2312" w:hAnsi="仿宋_GB2312" w:eastAsia="仿宋_GB2312" w:cs="仿宋_GB2312"/>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怀化市机关事务管理局</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4146.46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1718.57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2427.89</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3889.23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1461.34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2427.89</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160.00</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3309.80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1041.91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2267.89</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910.64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910.64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2010303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2399.15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131.27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2267.89</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20132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2013299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418.63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418.63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418.63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418.63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2059999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212.75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212.75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212.75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212.75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130.93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130.93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81.81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81.81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r>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42.48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hint="eastAsia" w:ascii="仿宋_GB2312" w:hAnsi="仿宋_GB2312" w:eastAsia="仿宋_GB2312" w:cs="仿宋_GB2312"/>
          <w:color w:val="000000"/>
          <w:kern w:val="0"/>
          <w:szCs w:val="21"/>
        </w:rPr>
      </w:pPr>
      <w:r>
        <w:rPr>
          <w:rFonts w:ascii="Times New Roman" w:hAnsi="Times New Roman" w:eastAsia="仿宋_GB2312" w:cs="Times New Roman"/>
          <w:color w:val="000000"/>
          <w:kern w:val="0"/>
          <w:szCs w:val="21"/>
        </w:rPr>
        <w:t xml:space="preserve">                                                                                                    </w:t>
      </w:r>
      <w:r>
        <w:rPr>
          <w:rFonts w:hint="eastAsia" w:ascii="仿宋_GB2312" w:hAnsi="仿宋_GB2312" w:eastAsia="仿宋_GB2312" w:cs="仿宋_GB2312"/>
          <w:color w:val="000000"/>
          <w:kern w:val="0"/>
          <w:szCs w:val="21"/>
        </w:rPr>
        <w:t>公开06表</w:t>
      </w:r>
    </w:p>
    <w:p>
      <w:pPr>
        <w:widowControl/>
        <w:wordWrap w:val="0"/>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部门：怀化市机关事务管理局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736" w:type="dxa"/>
        <w:jc w:val="center"/>
        <w:tblLayout w:type="fixed"/>
        <w:tblCellMar>
          <w:top w:w="0" w:type="dxa"/>
          <w:left w:w="108" w:type="dxa"/>
          <w:bottom w:w="0" w:type="dxa"/>
          <w:right w:w="108" w:type="dxa"/>
        </w:tblCellMar>
      </w:tblPr>
      <w:tblGrid>
        <w:gridCol w:w="1089"/>
        <w:gridCol w:w="2707"/>
        <w:gridCol w:w="1138"/>
        <w:gridCol w:w="1124"/>
        <w:gridCol w:w="2034"/>
        <w:gridCol w:w="939"/>
        <w:gridCol w:w="1226"/>
        <w:gridCol w:w="3316"/>
        <w:gridCol w:w="1163"/>
      </w:tblGrid>
      <w:tr>
        <w:tblPrEx>
          <w:tblCellMar>
            <w:top w:w="0" w:type="dxa"/>
            <w:left w:w="108" w:type="dxa"/>
            <w:bottom w:w="0" w:type="dxa"/>
            <w:right w:w="108" w:type="dxa"/>
          </w:tblCellMar>
        </w:tblPrEx>
        <w:trPr>
          <w:trHeight w:val="924" w:hRule="atLeast"/>
          <w:jc w:val="center"/>
        </w:trPr>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3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3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1019.15</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564.17</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30101</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318.10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30201</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5.85</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30701</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30102</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137.12</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30202</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1.22</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30702</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30103</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224.92</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30203</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1.73</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30106</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30204</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31001</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30107</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30205</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53.17</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31002</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1.73</w:t>
            </w:r>
          </w:p>
        </w:tc>
      </w:tr>
      <w:tr>
        <w:trPr>
          <w:trHeight w:val="94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30108</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121.81</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30206</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351.47</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31003</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30109</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20.45</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30207</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3.14</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31005</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30110</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54.34</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30208</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31006</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30111</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47.99</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30209</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31007</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30112</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5.71</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30211</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8.94</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31008</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30113</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88.70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30212</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30114</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30213</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0.96</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31010</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30199</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30214</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0.04</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31011</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133.53</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30215</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0.41</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31012</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30301</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30216</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0.18</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31013</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30302</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30217</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1.32</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30303</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30218</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31021</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30304</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3.55</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30224</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31022</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30305</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125.32</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30225</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31099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30306</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30226</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2.04</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30307</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30227</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0.38</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39907</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rPr>
          <w:trHeight w:val="827"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30308</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30228</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25.71</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39908</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30309</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4.67</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30229</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11.04</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30310</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30231</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6.20</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39910</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376" w:hRule="exact"/>
          <w:jc w:val="center"/>
        </w:trPr>
        <w:tc>
          <w:tcPr>
            <w:tcW w:w="10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30311</w:t>
            </w:r>
          </w:p>
        </w:tc>
        <w:tc>
          <w:tcPr>
            <w:tcW w:w="27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30239</w:t>
            </w:r>
          </w:p>
        </w:tc>
        <w:tc>
          <w:tcPr>
            <w:tcW w:w="20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46.17</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39999</w:t>
            </w:r>
          </w:p>
        </w:tc>
        <w:tc>
          <w:tcPr>
            <w:tcW w:w="33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r>
      <w:tr>
        <w:tblPrEx>
          <w:tblCellMar>
            <w:top w:w="0" w:type="dxa"/>
            <w:left w:w="108" w:type="dxa"/>
            <w:bottom w:w="0" w:type="dxa"/>
            <w:right w:w="108" w:type="dxa"/>
          </w:tblCellMar>
        </w:tblPrEx>
        <w:trPr>
          <w:trHeight w:val="894" w:hRule="exact"/>
          <w:jc w:val="center"/>
        </w:trPr>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仿宋_GB2312" w:hAnsi="仿宋_GB2312" w:eastAsia="仿宋_GB2312" w:cs="仿宋_GB2312"/>
                <w:color w:val="000000"/>
                <w:kern w:val="0"/>
                <w:szCs w:val="20"/>
              </w:rPr>
              <w:t>30399</w:t>
            </w:r>
          </w:p>
        </w:tc>
        <w:tc>
          <w:tcPr>
            <w:tcW w:w="27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30240</w:t>
            </w:r>
          </w:p>
        </w:tc>
        <w:tc>
          <w:tcPr>
            <w:tcW w:w="2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0.00</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384" w:hRule="exact"/>
          <w:jc w:val="center"/>
        </w:trPr>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0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30299</w:t>
            </w:r>
          </w:p>
        </w:tc>
        <w:tc>
          <w:tcPr>
            <w:tcW w:w="20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45.94</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1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414" w:hRule="exact"/>
          <w:jc w:val="center"/>
        </w:trPr>
        <w:tc>
          <w:tcPr>
            <w:tcW w:w="37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1152.68</w:t>
            </w:r>
          </w:p>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1152.68</w:t>
            </w:r>
          </w:p>
        </w:tc>
        <w:tc>
          <w:tcPr>
            <w:tcW w:w="863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公用经费合计</w:t>
            </w:r>
          </w:p>
        </w:tc>
        <w:tc>
          <w:tcPr>
            <w:tcW w:w="116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565.90</w:t>
            </w:r>
          </w:p>
          <w:p>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565.9</w:t>
            </w:r>
            <w:r>
              <w:rPr>
                <w:rFonts w:hint="eastAsia" w:ascii="Times New Roman" w:hAnsi="Times New Roman" w:eastAsia="仿宋_GB2312" w:cs="Times New Roman"/>
                <w:color w:val="000000"/>
                <w:kern w:val="0"/>
                <w:szCs w:val="20"/>
                <w:lang w:val="en-US" w:eastAsia="zh-CN"/>
              </w:rPr>
              <w:t>0</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_GB2312" w:hAnsi="仿宋_GB2312" w:eastAsia="仿宋_GB2312" w:cs="仿宋_GB2312"/>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仿宋_GB2312" w:hAnsi="仿宋_GB2312" w:eastAsia="仿宋_GB2312" w:cs="仿宋_GB2312"/>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怀化市机关事务管理局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hint="eastAsia" w:ascii="仿宋_GB2312" w:hAnsi="仿宋_GB2312" w:eastAsia="仿宋_GB2312" w:cs="仿宋_GB2312"/>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仿宋_GB2312" w:hAnsi="仿宋_GB2312" w:eastAsia="仿宋_GB2312" w:cs="仿宋_GB2312"/>
          <w:color w:val="000000"/>
          <w:kern w:val="0"/>
          <w:sz w:val="20"/>
          <w:szCs w:val="20"/>
          <w:lang w:bidi="ar"/>
        </w:rPr>
        <w:t>公开08表</w:t>
      </w:r>
    </w:p>
    <w:p>
      <w:pPr>
        <w:widowControl/>
        <w:tabs>
          <w:tab w:val="left" w:pos="1326"/>
          <w:tab w:val="left" w:pos="2027"/>
          <w:tab w:val="left" w:pos="4319"/>
          <w:tab w:val="left" w:pos="7634"/>
          <w:tab w:val="left" w:pos="10949"/>
        </w:tabs>
        <w:ind w:firstLine="200" w:firstLineChars="1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怀化市机关事务管理局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_GB2312" w:hAnsi="仿宋_GB2312" w:eastAsia="仿宋_GB2312" w:cs="仿宋_GB2312"/>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hint="eastAsia" w:ascii="仿宋_GB2312" w:hAnsi="仿宋_GB2312" w:eastAsia="仿宋_GB2312" w:cs="仿宋_GB2312"/>
          <w:color w:val="000000"/>
          <w:sz w:val="20"/>
          <w:szCs w:val="20"/>
        </w:rPr>
        <w:tab/>
      </w:r>
      <w:r>
        <w:rPr>
          <w:rFonts w:hint="eastAsia" w:ascii="仿宋_GB2312" w:hAnsi="仿宋_GB2312" w:eastAsia="仿宋_GB2312" w:cs="仿宋_GB2312"/>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firstLine="200" w:firstLineChars="100"/>
        <w:jc w:val="both"/>
        <w:textAlignment w:val="center"/>
        <w:rPr>
          <w:rFonts w:ascii="Times New Roman" w:hAnsi="Times New Roman" w:eastAsia="楷体_GB2312" w:cs="Times New Roman"/>
          <w:color w:val="000000"/>
          <w:sz w:val="20"/>
          <w:szCs w:val="20"/>
        </w:rPr>
      </w:pPr>
      <w:r>
        <w:rPr>
          <w:rFonts w:hint="eastAsia" w:ascii="仿宋_GB2312" w:hAnsi="仿宋_GB2312" w:eastAsia="仿宋_GB2312" w:cs="仿宋_GB2312"/>
          <w:color w:val="000000"/>
          <w:kern w:val="0"/>
          <w:sz w:val="20"/>
          <w:szCs w:val="20"/>
          <w:lang w:bidi="ar"/>
        </w:rPr>
        <w:t>部门：</w:t>
      </w:r>
      <w:r>
        <w:rPr>
          <w:rFonts w:hint="eastAsia" w:ascii="仿宋_GB2312" w:hAnsi="仿宋_GB2312" w:eastAsia="仿宋_GB2312" w:cs="仿宋_GB2312"/>
          <w:color w:val="000000"/>
          <w:kern w:val="0"/>
          <w:sz w:val="20"/>
          <w:szCs w:val="20"/>
          <w:lang w:eastAsia="zh-CN" w:bidi="ar"/>
        </w:rPr>
        <w:t>怀化市机关事务管理局</w:t>
      </w:r>
      <w:r>
        <w:rPr>
          <w:rFonts w:hint="eastAsia" w:ascii="仿宋_GB2312" w:hAnsi="仿宋_GB2312" w:eastAsia="仿宋_GB2312" w:cs="仿宋_GB2312"/>
          <w:color w:val="000000"/>
          <w:kern w:val="0"/>
          <w:sz w:val="20"/>
          <w:szCs w:val="20"/>
          <w:lang w:val="en-US" w:eastAsia="zh-CN" w:bidi="ar"/>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81.13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81.13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83.08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81.13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81.13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1.95</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hint="eastAsia" w:ascii="方正小标宋_GBK" w:hAnsi="方正小标宋_GBK" w:eastAsia="方正小标宋_GBK" w:cs="方正小标宋_GBK"/>
          <w:sz w:val="52"/>
          <w:szCs w:val="52"/>
        </w:rPr>
        <w:t>2024</w:t>
      </w:r>
      <w:r>
        <w:rPr>
          <w:rFonts w:ascii="Times New Roman" w:hAnsi="Times New Roman" w:eastAsia="方正小标宋_GBK" w:cs="Times New Roman"/>
          <w:sz w:val="52"/>
          <w:szCs w:val="52"/>
        </w:rPr>
        <w:t>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2024年度收、支总计4350.1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万元。与上年相比，增加484.58万元，增长12.54%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主要原因为</w:t>
      </w:r>
      <w:r>
        <w:rPr>
          <w:rFonts w:hint="eastAsia" w:ascii="仿宋_GB2312" w:hAnsi="仿宋_GB2312" w:eastAsia="仿宋_GB2312" w:cs="仿宋_GB2312"/>
          <w:sz w:val="32"/>
          <w:szCs w:val="32"/>
          <w:highlight w:val="none"/>
          <w:lang w:val="en-US" w:eastAsia="zh-CN"/>
        </w:rPr>
        <w:t>2024年度</w:t>
      </w:r>
      <w:r>
        <w:rPr>
          <w:rFonts w:hint="eastAsia" w:ascii="仿宋_GB2312" w:hAnsi="仿宋_GB2312" w:eastAsia="仿宋_GB2312" w:cs="仿宋_GB2312"/>
          <w:sz w:val="32"/>
          <w:szCs w:val="32"/>
          <w:highlight w:val="none"/>
        </w:rPr>
        <w:t>我局新增市委二办办公楼维修、市委党校办公楼维修、市水利局办公楼维修、市委大院社区书吧等项目。</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2024年度收入合计4350.10万元，其中：财政拨款收入4146.46万元，占95.32%；其他收入203.64万元，占4.68%。</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2024年度支出合计4335.83万元，其中：基本支出1815.56万元，占41.87%；项目支出2520.27万元，占58.13%。</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2024年度财政拨款收、支总计4146.46万元，与上年相比，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527.67万元，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rPr>
        <w:t>14.58%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主要原因为</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年度我局新增市委二办办公楼维修、市委党校办公楼维修、市水利局办公楼维修等项目。</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2024年度财政拨款支出4146.46万元，占本年支出合计的95.63%，与上年相比，财政拨款支出增加527.67万元，增长14.58%，</w:t>
      </w:r>
      <w:r>
        <w:rPr>
          <w:rFonts w:hint="eastAsia" w:ascii="仿宋_GB2312" w:hAnsi="仿宋_GB2312" w:eastAsia="仿宋_GB2312" w:cs="仿宋_GB2312"/>
          <w:sz w:val="32"/>
          <w:szCs w:val="32"/>
          <w:highlight w:val="none"/>
        </w:rPr>
        <w:t>主要是因为2024年度我局新增市委二办办公楼维修、市委党校办公楼维修、市水利局办公楼维修等项目。</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2024年度财政拨款支出4146.46万元，主要用于以下方面：一般公共服务（类）支出3889.23万元，占93.80%；教育（类）支出2.00万元，占0.05%；社会保障和就业（类）支出212.75万元，占5.13%；卫生健康支出（类）支出42.48</w:t>
      </w:r>
      <w:r>
        <w:rPr>
          <w:rFonts w:hint="eastAsia" w:ascii="仿宋_GB2312" w:hAnsi="仿宋_GB2312" w:eastAsia="仿宋_GB2312" w:cs="仿宋_GB2312"/>
          <w:sz w:val="32"/>
          <w:szCs w:val="32"/>
          <w:lang w:eastAsia="zh-CN"/>
        </w:rPr>
        <w:t>万元，占1.02%。</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2024年度财政拨款支出年初预算数为2820.86万元，支出决算数为4146.46万元，完成年初预算的146.99%，其中：</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1、一般公共服务（类）人大事务（款）机关服务（项）。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万元，支出决算为160.00万元，决算数大于年初预</w:t>
      </w:r>
      <w:r>
        <w:rPr>
          <w:rFonts w:hint="eastAsia" w:ascii="仿宋_GB2312" w:hAnsi="仿宋_GB2312" w:eastAsia="仿宋_GB2312" w:cs="仿宋_GB2312"/>
          <w:sz w:val="32"/>
          <w:szCs w:val="32"/>
          <w:highlight w:val="none"/>
        </w:rPr>
        <w:t>算数的主要原因是：</w:t>
      </w:r>
      <w:r>
        <w:rPr>
          <w:rFonts w:hint="eastAsia" w:ascii="仿宋_GB2312" w:hAnsi="仿宋_GB2312" w:eastAsia="仿宋_GB2312" w:cs="仿宋_GB2312"/>
          <w:sz w:val="32"/>
          <w:szCs w:val="32"/>
          <w:highlight w:val="none"/>
          <w:lang w:eastAsia="zh-CN"/>
        </w:rPr>
        <w:t>市委市政府集中办公运行</w:t>
      </w:r>
      <w:r>
        <w:rPr>
          <w:rFonts w:hint="eastAsia" w:ascii="仿宋_GB2312" w:hAnsi="仿宋_GB2312" w:eastAsia="仿宋_GB2312" w:cs="仿宋_GB2312"/>
          <w:sz w:val="32"/>
          <w:szCs w:val="32"/>
          <w:highlight w:val="none"/>
        </w:rPr>
        <w:t>经费无年初预算，由财政局</w:t>
      </w:r>
      <w:r>
        <w:rPr>
          <w:rFonts w:hint="eastAsia" w:ascii="仿宋_GB2312" w:hAnsi="仿宋_GB2312" w:eastAsia="仿宋_GB2312" w:cs="仿宋_GB2312"/>
          <w:sz w:val="32"/>
          <w:szCs w:val="32"/>
        </w:rPr>
        <w:t>资产</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highlight w:val="none"/>
        </w:rPr>
        <w:t>拨付指标至我局。</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2、一般公共服务（类）政府办公厅（室）及相关机构事务（款）行政运行（项）。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年初预算为926.24万元，支出决算为910.64万元，完成年初预算的</w:t>
      </w:r>
      <w:r>
        <w:rPr>
          <w:rFonts w:hint="eastAsia" w:ascii="仿宋_GB2312" w:hAnsi="仿宋_GB2312" w:eastAsia="仿宋_GB2312" w:cs="仿宋_GB2312"/>
          <w:sz w:val="32"/>
          <w:szCs w:val="32"/>
          <w:lang w:val="en-US" w:eastAsia="zh-CN"/>
        </w:rPr>
        <w:t>98.32</w:t>
      </w:r>
      <w:r>
        <w:rPr>
          <w:rFonts w:hint="eastAsia" w:ascii="仿宋_GB2312" w:hAnsi="仿宋_GB2312" w:eastAsia="仿宋_GB2312" w:cs="仿宋_GB2312"/>
          <w:sz w:val="32"/>
          <w:szCs w:val="32"/>
        </w:rPr>
        <w:t>%，决算数小于年初预算数的</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本年度有人员退休及调出。</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、一般公共服务（类）政府办公厅（室）及相关机构事务（款）机关服务（项）。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年初预算为1607.41万元，支出决算为2399.15万元，完成年初预算的</w:t>
      </w:r>
      <w:r>
        <w:rPr>
          <w:rFonts w:hint="eastAsia" w:ascii="仿宋_GB2312" w:hAnsi="仿宋_GB2312" w:eastAsia="仿宋_GB2312" w:cs="仿宋_GB2312"/>
          <w:sz w:val="32"/>
          <w:szCs w:val="32"/>
          <w:lang w:val="en-US" w:eastAsia="zh-CN"/>
        </w:rPr>
        <w:t>149.23</w:t>
      </w:r>
      <w:r>
        <w:rPr>
          <w:rFonts w:hint="eastAsia" w:ascii="仿宋_GB2312" w:hAnsi="仿宋_GB2312" w:eastAsia="仿宋_GB2312" w:cs="仿宋_GB2312"/>
          <w:sz w:val="32"/>
          <w:szCs w:val="32"/>
        </w:rPr>
        <w:t>%，决算数大于年初预算数的主要原因是：市委大院、市民</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中心周转房维修费，公车改革经费和</w:t>
      </w:r>
      <w:r>
        <w:rPr>
          <w:rFonts w:hint="eastAsia" w:ascii="Times New Roman" w:hAnsi="Times New Roman" w:eastAsia="仿宋_GB2312" w:cs="Times New Roman"/>
          <w:sz w:val="32"/>
          <w:szCs w:val="32"/>
        </w:rPr>
        <w:t>公车</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运行经费等无年初预算，由财政局资产</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科拨付指标至我局。</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、一般公共服务（类）组织事务（款）其他组织事务支出（项）。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万元，支出决算为0.80万元，决算数大于年初预算数的主要原因是：</w:t>
      </w:r>
      <w:r>
        <w:rPr>
          <w:rFonts w:hint="eastAsia" w:ascii="仿宋_GB2312" w:hAnsi="仿宋_GB2312" w:eastAsia="仿宋_GB2312" w:cs="仿宋_GB2312"/>
          <w:sz w:val="32"/>
          <w:szCs w:val="32"/>
          <w:lang w:val="en-US" w:eastAsia="zh-CN"/>
        </w:rPr>
        <w:t>2024年人才引进补贴开支。</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、一般公共服务（类）其他一般公共服务支出（款）其他一般公共服务支出（项）。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万元，支出决算为418.63万元，决算数大于年初预算数的主要原因是：</w:t>
      </w:r>
      <w:r>
        <w:rPr>
          <w:rFonts w:hint="eastAsia" w:ascii="仿宋_GB2312" w:hAnsi="仿宋_GB2312" w:eastAsia="仿宋_GB2312" w:cs="仿宋_GB2312"/>
          <w:sz w:val="32"/>
          <w:szCs w:val="32"/>
          <w:lang w:eastAsia="zh-CN"/>
        </w:rPr>
        <w:t>市委大院社区书吧、“三资”注入平台工作经费、市委机关会堂大型会议收入、公用水电费等经费开支。</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、教育支出（类）其他教育支出（款）其他教育支出（项）。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万元，支出决算为2.00万元，决算数大于年初预算数的主要原因是：退休干部职工事务所京剧协会活动经费</w:t>
      </w:r>
      <w:r>
        <w:rPr>
          <w:rFonts w:hint="eastAsia" w:ascii="仿宋_GB2312" w:hAnsi="仿宋_GB2312" w:eastAsia="仿宋_GB2312" w:cs="仿宋_GB2312"/>
          <w:sz w:val="32"/>
          <w:szCs w:val="32"/>
          <w:lang w:eastAsia="zh-CN"/>
        </w:rPr>
        <w:t>开支。</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、社会保障和就业支出（类）行政事业单位养老支出（款）行政单位离退休（项）。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年初预算为131.23万元，支出决算为130.93万元，完成年初预算的</w:t>
      </w:r>
      <w:r>
        <w:rPr>
          <w:rFonts w:hint="eastAsia" w:ascii="仿宋_GB2312" w:hAnsi="仿宋_GB2312" w:eastAsia="仿宋_GB2312" w:cs="仿宋_GB2312"/>
          <w:sz w:val="32"/>
          <w:szCs w:val="32"/>
          <w:lang w:val="en-US" w:eastAsia="zh-CN"/>
        </w:rPr>
        <w:t>99.77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eastAsia="zh-CN"/>
        </w:rPr>
        <w:t>相差不大。</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、社会保障和就业支出（类）行政事业单位养老支出（款） 机关事业单位基本养老保险缴费支出（项）。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年初预算为109.71万元，支出决算为81.81万元，完成年初预算的</w:t>
      </w:r>
      <w:r>
        <w:rPr>
          <w:rFonts w:hint="eastAsia" w:ascii="仿宋_GB2312" w:hAnsi="仿宋_GB2312" w:eastAsia="仿宋_GB2312" w:cs="仿宋_GB2312"/>
          <w:sz w:val="32"/>
          <w:szCs w:val="32"/>
          <w:lang w:val="en-US" w:eastAsia="zh-CN"/>
        </w:rPr>
        <w:t>74.57</w:t>
      </w:r>
      <w:r>
        <w:rPr>
          <w:rFonts w:hint="eastAsia" w:ascii="仿宋_GB2312" w:hAnsi="仿宋_GB2312" w:eastAsia="仿宋_GB2312" w:cs="仿宋_GB2312"/>
          <w:sz w:val="32"/>
          <w:szCs w:val="32"/>
        </w:rPr>
        <w:t>%，决算数小于年初预算数的主要原因是：本年度有人员退休及调出。</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、卫生健康支出（类）行政事业单位医疗（款）行政单位医疗（项）。</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年初预算为46.27万元，支出决算为42.48万元，完成年初预算的</w:t>
      </w:r>
      <w:r>
        <w:rPr>
          <w:rFonts w:hint="eastAsia" w:ascii="仿宋_GB2312" w:hAnsi="仿宋_GB2312" w:eastAsia="仿宋_GB2312" w:cs="仿宋_GB2312"/>
          <w:sz w:val="32"/>
          <w:szCs w:val="32"/>
          <w:lang w:val="en-US" w:eastAsia="zh-CN"/>
        </w:rPr>
        <w:t>91.81</w:t>
      </w:r>
      <w:r>
        <w:rPr>
          <w:rFonts w:hint="eastAsia" w:ascii="仿宋_GB2312" w:hAnsi="仿宋_GB2312" w:eastAsia="仿宋_GB2312" w:cs="仿宋_GB2312"/>
          <w:sz w:val="32"/>
          <w:szCs w:val="32"/>
        </w:rPr>
        <w:t>%，决算数小于年初预算数的主要原因是：本年度有人员退休及调出。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2024年度一般公共预算财政拨款基本支出1718.5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万元，其中：</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1152.68万元，占基本支出的67.07%，主要包括基本工资、津贴补贴、奖金、机关事业单位基本养老保险缴费、职业年金缴费、职工基本医疗保险缴费、公务员医疗补助缴费、其他社会保障缴费、抚恤金、生活补助、医疗费补助、奖励金、其他对个人和家庭的补助。</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565.90万元，占基本支出的32.93%，主要包括主要包括办公费、印刷费、水费、电费、邮电费、差旅费、维修（护）费、</w:t>
      </w:r>
      <w:r>
        <w:rPr>
          <w:rFonts w:hint="eastAsia" w:ascii="仿宋_GB2312" w:hAnsi="仿宋_GB2312" w:eastAsia="仿宋_GB2312" w:cs="仿宋_GB2312"/>
          <w:sz w:val="32"/>
          <w:szCs w:val="32"/>
          <w:lang w:eastAsia="zh-CN"/>
        </w:rPr>
        <w:t>租赁费、</w:t>
      </w:r>
      <w:r>
        <w:rPr>
          <w:rFonts w:hint="eastAsia" w:ascii="仿宋_GB2312" w:hAnsi="仿宋_GB2312" w:eastAsia="仿宋_GB2312" w:cs="仿宋_GB2312"/>
          <w:sz w:val="32"/>
          <w:szCs w:val="32"/>
        </w:rPr>
        <w:t>会议费、培训费、公务接待费、</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委托业务费、工会经费、福利费、公务用车运行维护费、其他交通费用、其他商品和服务支出、办公设备购置。</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2024年度“三公”经费财政拨款支出预算为83.13万元，支出决算为83.08万元，完成预算的</w:t>
      </w:r>
      <w:r>
        <w:rPr>
          <w:rFonts w:hint="eastAsia" w:ascii="仿宋_GB2312" w:hAnsi="仿宋_GB2312" w:eastAsia="仿宋_GB2312" w:cs="仿宋_GB2312"/>
          <w:sz w:val="32"/>
          <w:szCs w:val="32"/>
          <w:lang w:val="en-US" w:eastAsia="zh-CN"/>
        </w:rPr>
        <w:t>99.94</w:t>
      </w:r>
      <w:r>
        <w:rPr>
          <w:rFonts w:hint="eastAsia" w:ascii="仿宋_GB2312" w:hAnsi="仿宋_GB2312" w:eastAsia="仿宋_GB2312" w:cs="仿宋_GB2312"/>
          <w:sz w:val="32"/>
          <w:szCs w:val="32"/>
        </w:rPr>
        <w:t>%；与上年相比增加8.23万元，增长11.00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。决算数大于上年数的主要原因是公车平台</w:t>
      </w:r>
      <w:r>
        <w:rPr>
          <w:rFonts w:hint="eastAsia" w:ascii="仿宋_GB2312" w:hAnsi="仿宋_GB2312" w:eastAsia="仿宋_GB2312" w:cs="仿宋_GB2312"/>
          <w:color w:val="auto"/>
          <w:sz w:val="32"/>
          <w:szCs w:val="32"/>
        </w:rPr>
        <w:t>车辆油</w:t>
      </w:r>
      <w:r>
        <w:rPr>
          <w:rFonts w:hint="eastAsia" w:ascii="仿宋_GB2312" w:hAnsi="仿宋_GB2312" w:eastAsia="仿宋_GB2312" w:cs="仿宋_GB2312"/>
          <w:color w:val="auto"/>
          <w:sz w:val="32"/>
          <w:szCs w:val="32"/>
          <w:lang w:eastAsia="zh-CN"/>
        </w:rPr>
        <w:t>费充值</w:t>
      </w:r>
      <w:r>
        <w:rPr>
          <w:rFonts w:hint="eastAsia" w:ascii="仿宋_GB2312" w:hAnsi="仿宋_GB2312" w:eastAsia="仿宋_GB2312" w:cs="仿宋_GB2312"/>
          <w:sz w:val="32"/>
          <w:szCs w:val="32"/>
        </w:rPr>
        <w:t>及上年度接待费未及时报销。</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b/>
          <w:bCs/>
          <w:i/>
          <w:color w:val="auto"/>
          <w:sz w:val="32"/>
          <w:szCs w:val="32"/>
          <w:lang w:eastAsia="zh-CN"/>
        </w:rPr>
      </w:pPr>
      <w:r>
        <w:rPr>
          <w:rFonts w:hint="eastAsia" w:ascii="仿宋_GB2312" w:hAnsi="仿宋_GB2312" w:eastAsia="仿宋_GB2312" w:cs="仿宋_GB2312"/>
          <w:sz w:val="32"/>
          <w:szCs w:val="32"/>
        </w:rPr>
        <w:t>1.因公出国（境）费支出预算为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无变化</w:t>
      </w:r>
      <w:r>
        <w:rPr>
          <w:rFonts w:hint="eastAsia" w:ascii="仿宋_GB2312" w:hAnsi="仿宋_GB2312" w:eastAsia="仿宋_GB2312" w:cs="仿宋_GB2312"/>
          <w:sz w:val="32"/>
          <w:szCs w:val="32"/>
        </w:rPr>
        <w:t>。2024年度安排因公出国（境）团组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2.公务用车购置费及运行维护费支出预算为81.13万元，支出决算为81.13万元，完成预算的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%；与上年相比增加7.70万元，增长10.49%。其中：</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无变化</w:t>
      </w:r>
      <w:r>
        <w:rPr>
          <w:rFonts w:hint="eastAsia" w:ascii="仿宋_GB2312" w:hAnsi="仿宋_GB2312" w:eastAsia="仿宋_GB2312" w:cs="仿宋_GB2312"/>
          <w:sz w:val="32"/>
          <w:szCs w:val="32"/>
        </w:rPr>
        <w:t>。</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公务用车运行维护费支出预算为81.13万元，支出决算为81.13万元，</w:t>
      </w:r>
      <w:r>
        <w:rPr>
          <w:rFonts w:hint="eastAsia" w:ascii="仿宋_GB2312" w:hAnsi="仿宋_GB2312" w:eastAsia="仿宋_GB2312" w:cs="仿宋_GB2312"/>
          <w:sz w:val="32"/>
          <w:szCs w:val="32"/>
          <w:highlight w:val="none"/>
        </w:rPr>
        <w:t>主要是</w:t>
      </w:r>
      <w:r>
        <w:rPr>
          <w:rFonts w:hint="eastAsia" w:ascii="仿宋_GB2312" w:hAnsi="仿宋_GB2312" w:eastAsia="仿宋_GB2312" w:cs="仿宋_GB2312"/>
          <w:sz w:val="32"/>
          <w:szCs w:val="32"/>
          <w:highlight w:val="none"/>
          <w:lang w:eastAsia="zh-CN"/>
        </w:rPr>
        <w:t>车辆保险、维修（护）、油料费、</w:t>
      </w:r>
      <w:r>
        <w:rPr>
          <w:rFonts w:hint="eastAsia" w:ascii="仿宋_GB2312" w:hAnsi="仿宋_GB2312" w:eastAsia="仿宋_GB2312" w:cs="仿宋_GB2312"/>
          <w:sz w:val="32"/>
          <w:szCs w:val="32"/>
          <w:highlight w:val="none"/>
          <w:lang w:val="en-US" w:eastAsia="zh-CN"/>
        </w:rPr>
        <w:t>ETC缴费等费用支出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%；与上年相比增加7.70万元，增长10.49%。决算数大于上年数的主要原因是公车平台车辆</w:t>
      </w:r>
      <w:r>
        <w:rPr>
          <w:rFonts w:hint="eastAsia" w:ascii="仿宋_GB2312" w:hAnsi="仿宋_GB2312" w:eastAsia="仿宋_GB2312" w:cs="仿宋_GB2312"/>
          <w:sz w:val="32"/>
          <w:szCs w:val="32"/>
          <w:lang w:eastAsia="zh-CN"/>
        </w:rPr>
        <w:t>油费充值</w:t>
      </w:r>
      <w:r>
        <w:rPr>
          <w:rFonts w:hint="eastAsia" w:ascii="仿宋_GB2312" w:hAnsi="仿宋_GB2312" w:eastAsia="仿宋_GB2312" w:cs="仿宋_GB2312"/>
          <w:sz w:val="32"/>
          <w:szCs w:val="32"/>
        </w:rPr>
        <w:t>。截止2024年12月31日，我单位开支财政拨款的公务用车保有量为73辆。</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3.公务接待费支出预算为2.00万元，支出决算为1.95万元，完成预算的</w:t>
      </w:r>
      <w:r>
        <w:rPr>
          <w:rFonts w:hint="eastAsia" w:ascii="仿宋_GB2312" w:hAnsi="仿宋_GB2312" w:eastAsia="仿宋_GB2312" w:cs="仿宋_GB2312"/>
          <w:sz w:val="32"/>
          <w:szCs w:val="32"/>
          <w:lang w:val="en-US" w:eastAsia="zh-CN"/>
        </w:rPr>
        <w:t>97.50</w:t>
      </w:r>
      <w:r>
        <w:rPr>
          <w:rFonts w:hint="eastAsia" w:ascii="仿宋_GB2312" w:hAnsi="仿宋_GB2312" w:eastAsia="仿宋_GB2312" w:cs="仿宋_GB2312"/>
          <w:sz w:val="32"/>
          <w:szCs w:val="32"/>
        </w:rPr>
        <w:t>%；与上年相比增加0.53万元，增长37.</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2024年实际发生的</w:t>
      </w:r>
      <w:r>
        <w:rPr>
          <w:rFonts w:hint="eastAsia" w:ascii="仿宋_GB2312" w:hAnsi="仿宋_GB2312" w:eastAsia="仿宋_GB2312" w:cs="仿宋_GB2312"/>
          <w:sz w:val="32"/>
          <w:szCs w:val="32"/>
          <w:lang w:eastAsia="zh-CN"/>
        </w:rPr>
        <w:t>公务接待活动比年初预计数量少</w:t>
      </w:r>
      <w:r>
        <w:rPr>
          <w:rFonts w:hint="eastAsia" w:ascii="仿宋_GB2312" w:hAnsi="仿宋_GB2312" w:eastAsia="仿宋_GB2312" w:cs="仿宋_GB2312"/>
          <w:sz w:val="32"/>
          <w:szCs w:val="32"/>
        </w:rPr>
        <w:t>。决算数大于上年数的主要原因是上年度接待费未及时报销。2024年度共接待来访团组27个、来宾113人次，主要是</w:t>
      </w:r>
      <w:r>
        <w:rPr>
          <w:rFonts w:hint="eastAsia" w:ascii="仿宋_GB2312" w:hAnsi="仿宋_GB2312" w:eastAsia="仿宋_GB2312" w:cs="仿宋_GB2312"/>
          <w:sz w:val="32"/>
          <w:szCs w:val="32"/>
          <w:lang w:eastAsia="zh-CN"/>
        </w:rPr>
        <w:t>对接公物仓工作、对接公务用车业务</w:t>
      </w:r>
      <w:r>
        <w:rPr>
          <w:rFonts w:hint="eastAsia" w:ascii="仿宋_GB2312" w:hAnsi="仿宋_GB2312" w:eastAsia="仿宋_GB2312" w:cs="仿宋_GB2312"/>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2024年度本单位无政府性基金收支。</w:t>
      </w:r>
    </w:p>
    <w:p>
      <w:pPr>
        <w:pStyle w:val="12"/>
        <w:numPr>
          <w:ilvl w:val="0"/>
          <w:numId w:val="1"/>
        </w:numPr>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rPr>
        <w:t>国有资本经营预算财政拨款支出说明</w:t>
      </w:r>
    </w:p>
    <w:p>
      <w:pPr>
        <w:pStyle w:val="1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2024年度本单位无国有资本经营收支。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2"/>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本部门2024年度机关运行经费支出565.90万元，比上年决算数减少</w:t>
      </w:r>
      <w:r>
        <w:rPr>
          <w:rFonts w:hint="eastAsia" w:ascii="仿宋_GB2312" w:hAnsi="仿宋_GB2312" w:eastAsia="仿宋_GB2312" w:cs="仿宋_GB2312"/>
          <w:sz w:val="32"/>
          <w:szCs w:val="32"/>
          <w:lang w:val="en-US" w:eastAsia="zh-CN"/>
        </w:rPr>
        <w:t>434.82</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43.45</w:t>
      </w:r>
      <w:r>
        <w:rPr>
          <w:rFonts w:hint="eastAsia" w:ascii="仿宋_GB2312" w:hAnsi="仿宋_GB2312" w:eastAsia="仿宋_GB2312" w:cs="仿宋_GB2312"/>
          <w:sz w:val="32"/>
          <w:szCs w:val="32"/>
        </w:rPr>
        <w:t>%。主要原因是：公用水电费</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核算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公用经费</w:t>
      </w:r>
      <w:r>
        <w:rPr>
          <w:rFonts w:hint="eastAsia" w:ascii="仿宋_GB2312" w:hAnsi="仿宋_GB2312" w:eastAsia="仿宋_GB2312" w:cs="仿宋_GB2312"/>
          <w:sz w:val="32"/>
          <w:szCs w:val="32"/>
        </w:rPr>
        <w:t>中水费支出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76.51万元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电费支出减少</w:t>
      </w:r>
      <w:r>
        <w:rPr>
          <w:rFonts w:hint="eastAsia" w:ascii="仿宋_GB2312" w:hAnsi="仿宋_GB2312" w:eastAsia="仿宋_GB2312" w:cs="仿宋_GB2312"/>
          <w:sz w:val="32"/>
          <w:szCs w:val="32"/>
          <w:lang w:val="en-US" w:eastAsia="zh-CN"/>
        </w:rPr>
        <w:t>207.70万元</w:t>
      </w:r>
      <w:r>
        <w:rPr>
          <w:rFonts w:hint="eastAsia" w:ascii="仿宋_GB2312" w:hAnsi="仿宋_GB2312" w:eastAsia="仿宋_GB2312" w:cs="仿宋_GB2312"/>
          <w:sz w:val="32"/>
          <w:szCs w:val="32"/>
          <w:lang w:eastAsia="zh-CN"/>
        </w:rPr>
        <w:t>；加强勤俭节约办事业意识，节约办公开支，办公费减少</w:t>
      </w:r>
      <w:r>
        <w:rPr>
          <w:rFonts w:hint="eastAsia" w:ascii="仿宋_GB2312" w:hAnsi="仿宋_GB2312" w:eastAsia="仿宋_GB2312" w:cs="仿宋_GB2312"/>
          <w:sz w:val="32"/>
          <w:szCs w:val="32"/>
          <w:lang w:val="en-US" w:eastAsia="zh-CN"/>
        </w:rPr>
        <w:t>7.94万元，差旅费减少5.56万元，其他商品和服务支出减少108.23万元。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2024年本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开支会议费2.31万元，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用于召开</w:t>
      </w:r>
      <w:r>
        <w:rPr>
          <w:rFonts w:hint="eastAsia" w:ascii="仿宋_GB2312" w:hAnsi="仿宋_GB2312" w:eastAsia="仿宋_GB2312" w:cs="仿宋_GB2312"/>
          <w:sz w:val="32"/>
          <w:szCs w:val="32"/>
          <w:highlight w:val="none"/>
          <w:lang w:eastAsia="zh-CN"/>
        </w:rPr>
        <w:t>怀化市公物仓建设工作培训</w:t>
      </w:r>
      <w:r>
        <w:rPr>
          <w:rFonts w:hint="eastAsia" w:ascii="仿宋_GB2312" w:hAnsi="仿宋_GB2312" w:eastAsia="仿宋_GB2312" w:cs="仿宋_GB2312"/>
          <w:sz w:val="32"/>
          <w:szCs w:val="32"/>
          <w:highlight w:val="none"/>
        </w:rPr>
        <w:t>会，人数</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人，内容为</w:t>
      </w:r>
      <w:r>
        <w:rPr>
          <w:rFonts w:hint="eastAsia" w:ascii="仿宋_GB2312" w:hAnsi="仿宋_GB2312" w:eastAsia="仿宋_GB2312" w:cs="仿宋_GB2312"/>
          <w:sz w:val="32"/>
          <w:szCs w:val="32"/>
          <w:highlight w:val="none"/>
          <w:lang w:eastAsia="zh-CN"/>
        </w:rPr>
        <w:t>深入贯彻落实党中央、国务院关于“过紧日子”和厉行节约反对浪费的决策部署，促进国有资产共享共用，提高闲置资产使用效益；</w:t>
      </w:r>
      <w:r>
        <w:rPr>
          <w:rFonts w:hint="eastAsia" w:ascii="仿宋_GB2312" w:hAnsi="仿宋_GB2312" w:eastAsia="仿宋_GB2312" w:cs="仿宋_GB2312"/>
          <w:sz w:val="32"/>
          <w:szCs w:val="32"/>
          <w:highlight w:val="none"/>
          <w:lang w:val="en-US" w:eastAsia="zh-CN"/>
        </w:rPr>
        <w:t>用于召开办公用房权属统一登记会议，人数为152人，内容为深入贯彻习近平总书记关于机关事务工作重要指示精神，部署市直党政机关办公用房权属统一登记工作。</w:t>
      </w:r>
      <w:r>
        <w:rPr>
          <w:rFonts w:hint="eastAsia" w:ascii="仿宋_GB2312" w:hAnsi="仿宋_GB2312" w:eastAsia="仿宋_GB2312" w:cs="仿宋_GB2312"/>
          <w:sz w:val="32"/>
          <w:szCs w:val="32"/>
          <w:highlight w:val="none"/>
        </w:rPr>
        <w:t>开支培训费0.18万元，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lang w:val="en-US" w:eastAsia="zh-CN"/>
        </w:rPr>
        <w:t>主要</w:t>
      </w:r>
      <w:r>
        <w:rPr>
          <w:rFonts w:hint="eastAsia" w:ascii="仿宋_GB2312" w:hAnsi="仿宋_GB2312" w:eastAsia="仿宋_GB2312" w:cs="仿宋_GB2312"/>
          <w:sz w:val="32"/>
          <w:szCs w:val="32"/>
          <w:highlight w:val="none"/>
        </w:rPr>
        <w:t>用于支付</w:t>
      </w:r>
      <w:r>
        <w:rPr>
          <w:rFonts w:hint="eastAsia" w:ascii="仿宋_GB2312" w:hAnsi="仿宋_GB2312" w:eastAsia="仿宋_GB2312" w:cs="仿宋_GB2312"/>
          <w:sz w:val="32"/>
          <w:szCs w:val="32"/>
          <w:highlight w:val="none"/>
          <w:lang w:eastAsia="zh-CN"/>
        </w:rPr>
        <w:t>第六批全国干部培训教材、</w:t>
      </w:r>
      <w:r>
        <w:rPr>
          <w:rFonts w:hint="eastAsia" w:ascii="仿宋_GB2312" w:hAnsi="仿宋_GB2312" w:eastAsia="仿宋_GB2312" w:cs="仿宋_GB2312"/>
          <w:sz w:val="32"/>
          <w:szCs w:val="32"/>
          <w:highlight w:val="none"/>
          <w:lang w:val="en-US" w:eastAsia="zh-CN"/>
        </w:rPr>
        <w:t>退管所门球比赛规则修订培训费。</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仿宋_GB2312" w:hAnsi="仿宋_GB2312" w:eastAsia="仿宋_GB2312" w:cs="仿宋_GB2312"/>
          <w:sz w:val="32"/>
          <w:szCs w:val="32"/>
        </w:rPr>
        <w:t>本部门2024年度政府采购支出总额644.24万元，其中：政府采购货物支出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万元、政府采购工程支出547.00万元、政府采购服务支出97.24万元。授予中小企业合同金额644.24万元，占政府采购支出总额的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%，其中：授予小微企业合同金额644.24万元，</w:t>
      </w:r>
      <w:r>
        <w:rPr>
          <w:rFonts w:hint="eastAsia" w:ascii="仿宋_GB2312" w:hAnsi="仿宋_GB2312" w:eastAsia="仿宋_GB2312" w:cs="仿宋_GB2312"/>
          <w:color w:val="auto"/>
          <w:sz w:val="32"/>
          <w:szCs w:val="32"/>
        </w:rPr>
        <w:t>占授予中小企业合同金额的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2"/>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截至2024年12月31日，</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共有车辆73辆，其中，其他用车</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辆，其他用车主要是事业编制车辆，保障新成立单位临时用车；单位价值100万元以上设备（不含车辆）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overflowPunct w:val="0"/>
        <w:autoSpaceDE/>
        <w:autoSpaceDN/>
        <w:spacing w:line="600" w:lineRule="exact"/>
        <w:ind w:firstLine="640" w:firstLineChars="200"/>
        <w:jc w:val="both"/>
        <w:rPr>
          <w:rFonts w:hint="eastAsia" w:ascii="仿宋_GB2312" w:hAnsi="仿宋_GB2312" w:eastAsia="仿宋_GB2312" w:cs="仿宋_GB2312"/>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w:t>
      </w:r>
      <w:r>
        <w:rPr>
          <w:rFonts w:hint="eastAsia" w:ascii="仿宋_GB2312" w:hAnsi="仿宋_GB2312" w:eastAsia="仿宋_GB2312" w:cs="仿宋_GB2312"/>
          <w:bCs/>
          <w:color w:val="auto"/>
          <w:sz w:val="32"/>
          <w:szCs w:val="32"/>
        </w:rPr>
        <w:t>关于</w:t>
      </w:r>
      <w:r>
        <w:rPr>
          <w:rFonts w:hint="eastAsia" w:ascii="仿宋_GB2312" w:hAnsi="仿宋_GB2312" w:eastAsia="仿宋_GB2312" w:cs="仿宋_GB2312"/>
          <w:color w:val="auto"/>
          <w:sz w:val="32"/>
          <w:szCs w:val="32"/>
        </w:rPr>
        <w:t>2024</w:t>
      </w:r>
      <w:r>
        <w:rPr>
          <w:rFonts w:hint="eastAsia" w:ascii="仿宋_GB2312" w:hAnsi="仿宋_GB2312" w:eastAsia="仿宋_GB2312" w:cs="仿宋_GB2312"/>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仿宋_GB2312" w:hAnsi="仿宋_GB2312" w:eastAsia="仿宋_GB2312" w:cs="仿宋_GB2312"/>
          <w:kern w:val="0"/>
          <w:sz w:val="32"/>
          <w:szCs w:val="32"/>
        </w:rPr>
        <w:t>组织对2024年度本单位整体支出开展绩效自评，涉及项目13个，共涉及资金2520.27万元。其中，一般公共预算项目12个2427.88万元，占一般公共预算支出总额的58.55%。</w:t>
      </w:r>
      <w:r>
        <w:rPr>
          <w:rFonts w:hint="eastAsia" w:ascii="仿宋_GB2312" w:hAnsi="仿宋_GB2312" w:eastAsia="仿宋_GB2312" w:cs="仿宋_GB2312"/>
          <w:b/>
          <w:bCs/>
          <w:kern w:val="0"/>
          <w:sz w:val="32"/>
          <w:szCs w:val="32"/>
        </w:rPr>
        <w:t>二是部门评价开展情况。</w:t>
      </w:r>
      <w:r>
        <w:rPr>
          <w:rFonts w:hint="eastAsia" w:ascii="仿宋_GB2312" w:hAnsi="仿宋_GB2312" w:eastAsia="仿宋_GB2312" w:cs="仿宋_GB2312"/>
          <w:kern w:val="0"/>
          <w:sz w:val="32"/>
          <w:szCs w:val="32"/>
        </w:rPr>
        <w:t>组织对所属单位2024年度“</w:t>
      </w:r>
      <w:r>
        <w:rPr>
          <w:rFonts w:hint="eastAsia" w:ascii="仿宋_GB2312" w:hAnsi="仿宋_GB2312" w:eastAsia="仿宋_GB2312" w:cs="仿宋_GB2312"/>
          <w:sz w:val="32"/>
          <w:szCs w:val="32"/>
        </w:rPr>
        <w:t>军分区营院管理经费</w:t>
      </w:r>
      <w:r>
        <w:rPr>
          <w:rFonts w:hint="eastAsia" w:ascii="仿宋_GB2312" w:hAnsi="仿宋_GB2312" w:eastAsia="仿宋_GB2312" w:cs="仿宋_GB2312"/>
          <w:kern w:val="0"/>
          <w:sz w:val="32"/>
          <w:szCs w:val="32"/>
        </w:rPr>
        <w:t>”等</w:t>
      </w: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个项目开展了部门评价，涉及一般公共预算支出</w:t>
      </w:r>
      <w:r>
        <w:rPr>
          <w:rFonts w:hint="eastAsia" w:ascii="仿宋_GB2312" w:hAnsi="仿宋_GB2312" w:eastAsia="仿宋_GB2312" w:cs="仿宋_GB2312"/>
          <w:sz w:val="32"/>
          <w:szCs w:val="32"/>
        </w:rPr>
        <w:t>97.24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b/>
          <w:bCs/>
          <w:kern w:val="0"/>
          <w:sz w:val="32"/>
          <w:szCs w:val="32"/>
        </w:rPr>
        <w:t>三是事前绩效评估开展情况。</w:t>
      </w:r>
      <w:r>
        <w:rPr>
          <w:rFonts w:hint="eastAsia" w:ascii="仿宋_GB2312" w:hAnsi="仿宋_GB2312" w:eastAsia="仿宋_GB2312" w:cs="仿宋_GB2312"/>
          <w:kern w:val="0"/>
          <w:sz w:val="32"/>
          <w:szCs w:val="32"/>
        </w:rPr>
        <w:t>组织对2024年度1个重大项目两院物业管理费开展事前绩效评估，共涉及资金975.43万元。</w:t>
      </w:r>
    </w:p>
    <w:p>
      <w:pPr>
        <w:overflowPunct w:val="0"/>
        <w:spacing w:line="600" w:lineRule="exact"/>
        <w:ind w:firstLine="640" w:firstLineChars="200"/>
        <w:rPr>
          <w:rFonts w:hint="default" w:ascii="仿宋_GB2312" w:hAnsi="仿宋_GB2312" w:eastAsia="仿宋_GB2312" w:cs="仿宋_GB2312"/>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hint="eastAsia" w:ascii="仿宋_GB2312" w:hAnsi="仿宋_GB2312" w:eastAsia="仿宋_GB2312" w:cs="仿宋_GB2312"/>
          <w:kern w:val="0"/>
          <w:sz w:val="32"/>
          <w:szCs w:val="32"/>
        </w:rPr>
        <w:t>2024年度本单位整体支出</w:t>
      </w:r>
      <w:r>
        <w:rPr>
          <w:rFonts w:hint="eastAsia" w:ascii="仿宋_GB2312" w:hAnsi="仿宋_GB2312" w:eastAsia="仿宋_GB2312" w:cs="仿宋_GB2312"/>
          <w:sz w:val="32"/>
          <w:szCs w:val="32"/>
        </w:rPr>
        <w:t>全年预算数4693.99万元，执行数4350.10万元，完成预算的99.67%</w:t>
      </w:r>
      <w:r>
        <w:rPr>
          <w:rFonts w:hint="eastAsia" w:ascii="仿宋_GB2312" w:hAnsi="仿宋_GB2312" w:eastAsia="仿宋_GB2312" w:cs="仿宋_GB2312"/>
          <w:kern w:val="0"/>
          <w:sz w:val="32"/>
          <w:szCs w:val="32"/>
        </w:rPr>
        <w:t>，绩效自评得分</w:t>
      </w:r>
      <w:r>
        <w:rPr>
          <w:rFonts w:hint="eastAsia" w:ascii="仿宋_GB2312" w:hAnsi="仿宋_GB2312" w:eastAsia="仿宋_GB2312" w:cs="仿宋_GB2312"/>
          <w:sz w:val="32"/>
          <w:szCs w:val="32"/>
        </w:rPr>
        <w:t>99.97分</w:t>
      </w:r>
      <w:r>
        <w:rPr>
          <w:rFonts w:hint="eastAsia" w:ascii="仿宋_GB2312" w:hAnsi="仿宋_GB2312" w:eastAsia="仿宋_GB2312" w:cs="仿宋_GB2312"/>
          <w:kern w:val="0"/>
          <w:sz w:val="32"/>
          <w:szCs w:val="32"/>
        </w:rPr>
        <w:t>，评价等级为</w:t>
      </w:r>
      <w:r>
        <w:rPr>
          <w:rFonts w:hint="eastAsia" w:ascii="仿宋_GB2312" w:hAnsi="仿宋_GB2312" w:eastAsia="仿宋_GB2312" w:cs="仿宋_GB2312"/>
          <w:sz w:val="32"/>
          <w:szCs w:val="32"/>
          <w:highlight w:val="none"/>
        </w:rPr>
        <w:t>“优”。</w:t>
      </w:r>
      <w:r>
        <w:rPr>
          <w:rFonts w:ascii="Times New Roman" w:hAnsi="Times New Roman" w:eastAsia="仿宋_GB2312" w:cs="Times New Roman"/>
          <w:b/>
          <w:bCs/>
          <w:sz w:val="32"/>
          <w:szCs w:val="32"/>
        </w:rPr>
        <w:t>绩效目标完成情况：</w:t>
      </w:r>
      <w:r>
        <w:rPr>
          <w:rFonts w:ascii="Times New Roman" w:hAnsi="Times New Roman" w:eastAsia="仿宋_GB2312" w:cs="Times New Roman"/>
          <w:sz w:val="32"/>
          <w:szCs w:val="32"/>
        </w:rPr>
        <w:t>一是指导全市机关事务工作，负责机关院落的管理、保障、服务工作；二是做好市直机关办公用房维修管理，承办市直机关房屋维修、危旧房改造事务等相关工作；三是</w:t>
      </w:r>
      <w:r>
        <w:rPr>
          <w:rFonts w:hint="eastAsia" w:ascii="Times New Roman" w:hAnsi="Times New Roman" w:eastAsia="仿宋_GB2312" w:cs="Times New Roman"/>
          <w:sz w:val="32"/>
          <w:szCs w:val="32"/>
        </w:rPr>
        <w:t>做好市直行政事业单位国有资产集中统一管理</w:t>
      </w:r>
      <w:r>
        <w:rPr>
          <w:rFonts w:hint="default" w:ascii="Times New Roman" w:hAnsi="Times New Roman" w:eastAsia="仿宋_GB2312" w:cs="Times New Roman"/>
          <w:sz w:val="32"/>
          <w:szCs w:val="32"/>
        </w:rPr>
        <w:t>；四是做好市直机关住房制度改革工作；五是做好指导、监督、检查全市公务用车管理工作；六是统筹协调、指导、推进全市公共机构节能工作；七是按规定做好为异地交流来怀工作的市级领导提供住房保障等服务；八是做好市委机关、市政府机关（市民服务中心）的事务管理、保障和服务工作；九是做好市委、市人民政府交办的其他任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评价体系有待完善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尽管我局在项目绩效评价过程中已经构建了较为全面的指标体系，但在实际操作中仍发现存在一些不足。例如，部分指标设置过于笼统，未能充分反映项目的具体特点和实际情况；同时，一些关键绩效指标的权重分配也可能不够合理，导致评价结果不能准确反映项目的真实绩效。</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数据收集与分析存在局限性</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在数据收集方面，我局虽然注重数据的真实性和准确性，但由于数据来源的多样性和复杂性，仍存在数据收集不全、数据质量参差不齐的问题。此外，在数据分析方面，我们目前主要依赖于传统的统计分析方法，对于更高级的数据挖掘和机器学习技术运用不足，这也在一定程度上限制了评价结果的深度和广度。</w:t>
      </w:r>
      <w:r>
        <w:rPr>
          <w:rFonts w:hint="default" w:ascii="Times New Roman" w:hAnsi="Times New Roman" w:eastAsia="仿宋_GB2312" w:cs="Times New Roman"/>
          <w:sz w:val="32"/>
          <w:szCs w:val="32"/>
        </w:rPr>
        <w:t>三是部门间协作与沟通不够顺畅。尽管我局加强了部门间的沟通与协作，但在实际操作中仍存在一些问题。例如，部分部门对项目绩效评价工作的重要性认识不足，参与度和配合度有待提高；同时，部门间信息共享和沟通渠道不畅通，也影响了评价工作的效率和准确性。四是反馈与改进机制尚需加强。虽然我局建立了持续改进和反馈机制，但在实际操作中，这一机制的执行力度和效果还有待加强。例如，对于评价结果的反馈和改进措施的实施缺乏有效的监督和评估机制；同时，部分部门和人员对改进措施的重视程度不够，导致改进措施难以得到有效落实。</w:t>
      </w:r>
      <w:r>
        <w:rPr>
          <w:rFonts w:ascii="Times New Roman" w:hAnsi="Times New Roman" w:eastAsia="仿宋_GB2312" w:cs="Times New Roman"/>
          <w:b/>
          <w:bCs/>
          <w:sz w:val="32"/>
          <w:szCs w:val="32"/>
        </w:rPr>
        <w:t>下一步改进措施：</w:t>
      </w:r>
      <w:r>
        <w:rPr>
          <w:rFonts w:hint="eastAsia" w:ascii="仿宋_GB2312" w:hAnsi="仿宋_GB2312" w:eastAsia="仿宋_GB2312" w:cs="仿宋_GB2312"/>
          <w:sz w:val="32"/>
          <w:szCs w:val="32"/>
        </w:rPr>
        <w:t>一是完善评价体系。1.细化指标设置，对现有的绩效指标进行进一步的细化和分类，确保每个指标都能准确反映项目的特定方面和实际情况</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2.合理分配权重，根据项目的核心目标和关键成功因素，重新评估和调整各项指标的权重，确保权重分配更加合理和科学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3.引入专家评审，邀请行业专家和学者参与评价体系的制定和完善过程，借鉴他们的专业知识和经验，提升评价体系的权威性和准确性。二是加强数据收集与分析能力。1.完善数据收集机制：建立统一的数据收集标准和流程，确保数据来源的可靠性和一致性。同时，加强对数据质量的监控和审核，确保数据的真实性和准确性</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2.引入先进分析方法：在数据分析方面，可以引入更高级的数据挖掘和机器学习技术，对大量数据进行深度挖掘和分析，以发现隐藏在数据背后的规律和问题</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3.加强数据培训：针对部门内部人员对数据分析技术的掌握程度不同，可以开展相关的数据分析和技术培训，提升整体的数据分析能力。</w:t>
      </w:r>
      <w:r>
        <w:rPr>
          <w:rFonts w:hint="default" w:ascii="仿宋_GB2312" w:hAnsi="仿宋_GB2312" w:eastAsia="仿宋_GB2312" w:cs="仿宋_GB2312"/>
          <w:sz w:val="32"/>
          <w:szCs w:val="32"/>
        </w:rPr>
        <w:t>三是加强部门间协作与沟通。1.提高认识与参与度：通过组织培训和宣传活动，提高各部门对项目绩效评价工作的认识和重视程度，鼓励各部门积极参与评价工作；2.建立信息共享平台：搭建一个部门间信息共享和交流的平台，方便各部门及时获取项目绩效评价的相关信息和数据，促进部门间的协作和沟通；3.定期召开协调会议：定期召开项目绩效评价工作的协调会议，听取各部门的意见和建议，解决工作中出现的问题和困难，推动评价工作的顺利进行。</w:t>
      </w:r>
    </w:p>
    <w:p>
      <w:pPr>
        <w:overflowPunct w:val="0"/>
        <w:spacing w:line="60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b/>
          <w:bCs/>
          <w:kern w:val="0"/>
          <w:sz w:val="32"/>
          <w:szCs w:val="32"/>
        </w:rPr>
        <w:t>二是部门评价结果。</w:t>
      </w:r>
      <w:r>
        <w:rPr>
          <w:rFonts w:hint="eastAsia" w:ascii="仿宋_GB2312" w:hAnsi="仿宋_GB2312" w:eastAsia="仿宋_GB2312" w:cs="仿宋_GB2312"/>
          <w:sz w:val="32"/>
          <w:szCs w:val="32"/>
        </w:rPr>
        <w:t>2024年度军分区营院管理经费全年预算数104.33万元，执行数97.24万元，完成预算的93.20%</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部门评价得分99.32分，评价等级为“优”。发现的主要问题及原因：</w:t>
      </w:r>
      <w:r>
        <w:rPr>
          <w:rFonts w:hint="default" w:ascii="仿宋_GB2312" w:hAnsi="仿宋_GB2312" w:eastAsia="仿宋_GB2312" w:cs="仿宋_GB2312"/>
          <w:sz w:val="32"/>
          <w:szCs w:val="32"/>
        </w:rPr>
        <w:t>预算执行不够到位，仅完成预算的93.20%，原因为2024年4月军分区营院更换新物业公司</w:t>
      </w:r>
      <w:r>
        <w:rPr>
          <w:rFonts w:hint="eastAsia" w:ascii="仿宋_GB2312" w:hAnsi="仿宋_GB2312" w:eastAsia="仿宋_GB2312" w:cs="仿宋_GB2312"/>
          <w:sz w:val="32"/>
          <w:szCs w:val="32"/>
        </w:rPr>
        <w:t>。下一步改进措施：</w:t>
      </w:r>
      <w:r>
        <w:rPr>
          <w:rFonts w:hint="default" w:ascii="仿宋_GB2312" w:hAnsi="仿宋_GB2312" w:eastAsia="仿宋_GB2312" w:cs="仿宋_GB2312"/>
          <w:sz w:val="32"/>
          <w:szCs w:val="32"/>
        </w:rPr>
        <w:t>严格按照合同金额编制预算，并按预算金额执行经费支出</w:t>
      </w:r>
      <w:r>
        <w:rPr>
          <w:rFonts w:hint="eastAsia" w:ascii="仿宋_GB2312" w:hAnsi="仿宋_GB2312" w:eastAsia="仿宋_GB2312" w:cs="仿宋_GB2312"/>
          <w:sz w:val="32"/>
          <w:szCs w:val="32"/>
        </w:rPr>
        <w:t>。</w:t>
      </w:r>
    </w:p>
    <w:p>
      <w:pPr>
        <w:overflowPunct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kern w:val="0"/>
          <w:sz w:val="32"/>
          <w:szCs w:val="32"/>
        </w:rPr>
        <w:t>三是事前绩效评估结果。</w:t>
      </w:r>
      <w:r>
        <w:rPr>
          <w:rFonts w:hint="eastAsia" w:ascii="仿宋_GB2312" w:hAnsi="仿宋_GB2312" w:eastAsia="仿宋_GB2312" w:cs="仿宋_GB2312"/>
          <w:kern w:val="0"/>
          <w:sz w:val="32"/>
          <w:szCs w:val="32"/>
        </w:rPr>
        <w:t>2024年度</w:t>
      </w: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个重大项目事前绩效评估，其中，</w:t>
      </w: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个项目评估通过，涉及资金975.43万元。</w:t>
      </w:r>
    </w:p>
    <w:p>
      <w:pPr>
        <w:pStyle w:val="12"/>
        <w:numPr>
          <w:ilvl w:val="0"/>
          <w:numId w:val="2"/>
        </w:numP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pPr>
        <w:pStyle w:val="1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一是</w:t>
      </w:r>
      <w:r>
        <w:rPr>
          <w:rFonts w:hint="eastAsia" w:ascii="仿宋_GB2312" w:hAnsi="仿宋_GB2312" w:eastAsia="仿宋_GB2312" w:cs="仿宋_GB2312"/>
          <w:color w:val="auto"/>
          <w:sz w:val="32"/>
          <w:szCs w:val="32"/>
        </w:rPr>
        <w:t>2025年度预算安排</w:t>
      </w:r>
      <w:r>
        <w:rPr>
          <w:rFonts w:hint="default" w:ascii="仿宋_GB2312" w:hAnsi="仿宋_GB2312" w:eastAsia="仿宋_GB2312" w:cs="仿宋_GB2312"/>
          <w:color w:val="auto"/>
          <w:sz w:val="32"/>
          <w:szCs w:val="32"/>
        </w:rPr>
        <w:t>方面</w:t>
      </w:r>
      <w:r>
        <w:rPr>
          <w:rFonts w:hint="eastAsia" w:ascii="仿宋_GB2312" w:hAnsi="仿宋_GB2312" w:eastAsia="仿宋_GB2312" w:cs="仿宋_GB2312"/>
          <w:color w:val="auto"/>
          <w:sz w:val="32"/>
          <w:szCs w:val="32"/>
        </w:rPr>
        <w:t>：本单位2025年年初收入预算2816.23万元，其中，一般公共预算拨款2759.23万元，占97.98%；纳入财政专户管理的非税收入拨款57.00万元，占2.02%。</w:t>
      </w:r>
    </w:p>
    <w:p>
      <w:pPr>
        <w:pStyle w:val="12"/>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二是</w:t>
      </w:r>
      <w:r>
        <w:rPr>
          <w:rFonts w:hint="eastAsia" w:ascii="仿宋_GB2312" w:hAnsi="仿宋_GB2312" w:eastAsia="仿宋_GB2312" w:cs="仿宋_GB2312"/>
          <w:color w:val="auto"/>
          <w:sz w:val="32"/>
          <w:szCs w:val="32"/>
        </w:rPr>
        <w:t>2025年度支出结构</w:t>
      </w:r>
      <w:r>
        <w:rPr>
          <w:rFonts w:hint="default" w:ascii="仿宋_GB2312" w:hAnsi="仿宋_GB2312" w:eastAsia="仿宋_GB2312" w:cs="仿宋_GB2312"/>
          <w:color w:val="auto"/>
          <w:sz w:val="32"/>
          <w:szCs w:val="32"/>
        </w:rPr>
        <w:t>方面</w:t>
      </w:r>
      <w:r>
        <w:rPr>
          <w:rFonts w:hint="eastAsia" w:ascii="仿宋_GB2312" w:hAnsi="仿宋_GB2312" w:eastAsia="仿宋_GB2312" w:cs="仿宋_GB2312"/>
          <w:color w:val="auto"/>
          <w:sz w:val="32"/>
          <w:szCs w:val="32"/>
        </w:rPr>
        <w:t>： 2025年本部门一般公共预算拨款支出为2759.23万元，其中：一般公共服务支出2486.33万元，占90.11%；社会保障和就业支出232.87万元，占8.44%；卫生健康支出40.03万元，占1.45%。具体安排情况如下： （一）基本支出：2025年年初预算数为1209.14万元，是指为保障单位机构正常运转、完成日常工作任务而发生的各项支出，包括用于绩效工资100.86万元、奖金211.38万元，住房公积金83.89万元、基本工资305.92万元、津贴补贴80.91万元、机关事务单位基本养老保险缴费100.97万元、职工基本医疗保险缴费40.03万元、其他交通费用44.15万元、福利费27.3万元、工会经费26.31万元、其他商品和服务支出34.94万元、办公费12万元等</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二）项目支出：2025年年初预算数为1607.09万元，是指单位为完成特定行政工作任务或事业发展目标而发生的支出，包括有关事业发展专项、专项业务费、基本建设支出等。其中：两院后勤保障服务支出50万元，主要用于保障市委机关、市政府机关（市民服务中心）的后勤保障和服务工作经费；怀化市海关人员周转房费用支出18.75万元，主要用于保障怀化市海关人员周转房房租、物业等方面；市人大办公区域物业管理费支出71.89万元，主要用于保障怀化市人大办公区域物业管理费用；怀化军分区营院物业管理经费支出104.33万元，主要用于保障怀化军分区营院物业管理经费；市政协机关大院物业管理费支出62万元，主要用于保障怀化市政协机关大院物业管理经费；市委二办中央空调合同能源托管服务项目经费支出30万元，主要用于保障市委大院二办中央空调合同能源托管服务项目经费；两院物业管理费支出979.12万元，主要用于保障市委机关大院和市民服务中心物业管理服务经费；两院水电缺口支出979.12万元，主要用于保障市委机关大院和市民服务中心办公区域公用水电经费；办公用房权属统一登记工作经费支出15万元，主要用于保障推进全市办公用房权属统一登记工作经；虚拟公务仓运行维护及服务工作经费支出5万元，主要用于保障市级虚拟公务仓的运行维护及服务工作；日常运转经费支出67万元，为我单位2025年非税收入执收成本额度，用于弥补我单位日常工作经费不足。</w:t>
      </w:r>
    </w:p>
    <w:p>
      <w:pPr>
        <w:pStyle w:val="12"/>
        <w:overflowPunct w:val="0"/>
        <w:autoSpaceDE/>
        <w:autoSpaceDN/>
        <w:spacing w:line="600" w:lineRule="exact"/>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三是资金管理</w:t>
      </w:r>
      <w:r>
        <w:rPr>
          <w:rFonts w:hint="default" w:ascii="仿宋_GB2312" w:hAnsi="仿宋_GB2312" w:eastAsia="仿宋_GB2312" w:cs="仿宋_GB2312"/>
          <w:color w:val="auto"/>
          <w:sz w:val="32"/>
          <w:szCs w:val="32"/>
        </w:rPr>
        <w:t>方面：（一）严格落实内部管理制度。按照单位财务管理制度、内控管理制度、“三重一大”制度，遵循绩效目标，</w:t>
      </w:r>
      <w:r>
        <w:rPr>
          <w:rFonts w:hint="eastAsia" w:ascii="仿宋_GB2312" w:hAnsi="仿宋_GB2312" w:eastAsia="仿宋_GB2312" w:cs="仿宋_GB2312"/>
          <w:color w:val="auto"/>
          <w:sz w:val="32"/>
          <w:szCs w:val="32"/>
          <w:lang w:eastAsia="zh-CN"/>
        </w:rPr>
        <w:t>创立预算单审签，</w:t>
      </w:r>
      <w:r>
        <w:rPr>
          <w:rFonts w:hint="default" w:ascii="仿宋_GB2312" w:hAnsi="仿宋_GB2312" w:eastAsia="仿宋_GB2312" w:cs="仿宋_GB2312"/>
          <w:color w:val="auto"/>
          <w:sz w:val="32"/>
          <w:szCs w:val="32"/>
        </w:rPr>
        <w:t>使资金支出精准、精细、精确。（二）严格落实不相容岗位分离要求。</w:t>
      </w:r>
      <w:r>
        <w:rPr>
          <w:rFonts w:hint="eastAsia" w:ascii="仿宋_GB2312" w:hAnsi="仿宋_GB2312" w:eastAsia="仿宋_GB2312" w:cs="仿宋_GB2312"/>
          <w:color w:val="auto"/>
          <w:sz w:val="32"/>
          <w:szCs w:val="32"/>
          <w:lang w:eastAsia="zh-CN"/>
        </w:rPr>
        <w:t>行政事业单位报账审批单报账人、部门审核、财务审核、纪检监察审核、分管领导审批、财务分管领导审批多人签字复核，</w:t>
      </w:r>
      <w:r>
        <w:rPr>
          <w:rFonts w:hint="default" w:ascii="仿宋_GB2312" w:hAnsi="仿宋_GB2312" w:eastAsia="仿宋_GB2312" w:cs="仿宋_GB2312"/>
          <w:color w:val="auto"/>
          <w:sz w:val="32"/>
          <w:szCs w:val="32"/>
        </w:rPr>
        <w:t>出纳、会计分设</w:t>
      </w:r>
      <w:r>
        <w:rPr>
          <w:rFonts w:hint="eastAsia" w:ascii="仿宋_GB2312" w:hAnsi="仿宋_GB2312" w:eastAsia="仿宋_GB2312" w:cs="仿宋_GB2312"/>
          <w:color w:val="auto"/>
          <w:sz w:val="32"/>
          <w:szCs w:val="32"/>
          <w:lang w:eastAsia="zh-CN"/>
        </w:rPr>
        <w:t>两</w:t>
      </w:r>
      <w:r>
        <w:rPr>
          <w:rFonts w:hint="default" w:ascii="仿宋_GB2312" w:hAnsi="仿宋_GB2312" w:eastAsia="仿宋_GB2312" w:cs="仿宋_GB2312"/>
          <w:color w:val="auto"/>
          <w:sz w:val="32"/>
          <w:szCs w:val="32"/>
        </w:rPr>
        <w:t>人，多重审核降低资金管理风险。（三）严格落实政府采购要求。按照《中华人民共和国政府采购法》《怀化市政府投资项目管理办法》要求，严格按照资金的支付制度，按照项目实施阶段向财政申请资金，坚持专款专用的原则，落实政府采购的各项规定，凡属政府采购目录内的项目，通过湖南政府采购智慧云平台进行采购。</w:t>
      </w:r>
    </w:p>
    <w:p>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sz w:val="72"/>
          <w:szCs w:val="72"/>
        </w:rPr>
      </w:pPr>
      <w:r>
        <w:rPr>
          <w:rFonts w:hint="default" w:ascii="仿宋_GB2312" w:hAnsi="仿宋_GB2312" w:eastAsia="仿宋_GB2312" w:cs="仿宋_GB2312"/>
          <w:color w:val="auto"/>
          <w:sz w:val="32"/>
          <w:szCs w:val="32"/>
        </w:rPr>
        <w:t>四是制度建设方面：（一）</w:t>
      </w:r>
      <w:r>
        <w:rPr>
          <w:rFonts w:hint="eastAsia" w:ascii="仿宋_GB2312" w:hAnsi="仿宋_GB2312" w:eastAsia="仿宋_GB2312" w:cs="仿宋_GB2312"/>
          <w:color w:val="auto"/>
          <w:sz w:val="32"/>
          <w:szCs w:val="32"/>
          <w:lang w:eastAsia="zh-CN"/>
        </w:rPr>
        <w:t>落实</w:t>
      </w:r>
      <w:r>
        <w:rPr>
          <w:rFonts w:hint="default" w:ascii="仿宋_GB2312" w:hAnsi="仿宋_GB2312" w:eastAsia="仿宋_GB2312" w:cs="仿宋_GB2312"/>
          <w:color w:val="auto"/>
          <w:sz w:val="32"/>
          <w:szCs w:val="32"/>
        </w:rPr>
        <w:t>相关制度。严格按照《财务管理办法（试行）》《“三重一大”决策制度》《机关事务管理局政府采购管理制度》等相关制度</w:t>
      </w:r>
      <w:r>
        <w:rPr>
          <w:rFonts w:hint="eastAsia" w:ascii="仿宋_GB2312" w:hAnsi="仿宋_GB2312" w:eastAsia="仿宋_GB2312" w:cs="仿宋_GB2312"/>
          <w:color w:val="auto"/>
          <w:sz w:val="32"/>
          <w:szCs w:val="32"/>
          <w:lang w:eastAsia="zh-CN"/>
        </w:rPr>
        <w:t>执行业务</w:t>
      </w:r>
      <w:r>
        <w:rPr>
          <w:rFonts w:hint="default" w:ascii="仿宋_GB2312" w:hAnsi="仿宋_GB2312" w:eastAsia="仿宋_GB2312" w:cs="仿宋_GB2312"/>
          <w:color w:val="auto"/>
          <w:sz w:val="32"/>
          <w:szCs w:val="32"/>
        </w:rPr>
        <w:t>。（二）加强对财务干部职工的业务培训，强化预算绩效管理意识，严格执行预算，做到专账核算，确保专款专用。</w:t>
      </w:r>
      <w:r>
        <w:rPr>
          <w:rFonts w:hint="eastAsia" w:ascii="仿宋_GB2312" w:hAnsi="仿宋_GB2312" w:eastAsia="仿宋_GB2312" w:cs="仿宋_GB2312"/>
          <w:color w:val="auto"/>
          <w:sz w:val="32"/>
          <w:szCs w:val="32"/>
          <w:lang w:eastAsia="zh-CN"/>
        </w:rPr>
        <w:t>（三）强化其他科室干部职工财务风险意识。组织财务报账程序及财务制度讲解培训，提升各科室财务素养。</w:t>
      </w:r>
    </w:p>
    <w:p>
      <w:pPr>
        <w:pStyle w:val="12"/>
        <w:tabs>
          <w:tab w:val="left" w:pos="5438"/>
        </w:tabs>
        <w:jc w:val="both"/>
        <w:rPr>
          <w:rFonts w:hint="eastAsia" w:ascii="Times New Roman" w:hAnsi="Times New Roman" w:cs="Times New Roman"/>
          <w:sz w:val="72"/>
          <w:szCs w:val="72"/>
          <w:lang w:eastAsia="zh-CN"/>
        </w:rPr>
      </w:pPr>
      <w:r>
        <w:rPr>
          <w:rFonts w:hint="eastAsia" w:ascii="Times New Roman" w:hAnsi="Times New Roman" w:cs="Times New Roman"/>
          <w:sz w:val="72"/>
          <w:szCs w:val="72"/>
          <w:lang w:eastAsia="zh-CN"/>
        </w:rPr>
        <w:tab/>
      </w:r>
    </w:p>
    <w:p>
      <w:pPr>
        <w:pStyle w:val="12"/>
        <w:tabs>
          <w:tab w:val="left" w:pos="5438"/>
        </w:tabs>
        <w:jc w:val="both"/>
        <w:rPr>
          <w:rFonts w:hint="eastAsia" w:ascii="Times New Roman" w:hAnsi="Times New Roman" w:cs="Times New Roman"/>
          <w:sz w:val="72"/>
          <w:szCs w:val="72"/>
          <w:lang w:eastAsia="zh-CN"/>
        </w:rPr>
      </w:pPr>
    </w:p>
    <w:p>
      <w:pPr>
        <w:pStyle w:val="12"/>
        <w:tabs>
          <w:tab w:val="left" w:pos="5438"/>
        </w:tabs>
        <w:jc w:val="both"/>
        <w:rPr>
          <w:rFonts w:hint="eastAsia" w:ascii="Times New Roman" w:hAnsi="Times New Roman" w:cs="Times New Roman"/>
          <w:sz w:val="72"/>
          <w:szCs w:val="72"/>
          <w:lang w:eastAsia="zh-CN"/>
        </w:rPr>
      </w:pPr>
    </w:p>
    <w:p>
      <w:pPr>
        <w:pStyle w:val="12"/>
        <w:tabs>
          <w:tab w:val="left" w:pos="5438"/>
        </w:tabs>
        <w:jc w:val="both"/>
        <w:rPr>
          <w:rFonts w:hint="eastAsia" w:ascii="Times New Roman" w:hAnsi="Times New Roman" w:cs="Times New Roman"/>
          <w:sz w:val="72"/>
          <w:szCs w:val="72"/>
          <w:lang w:eastAsia="zh-CN"/>
        </w:rPr>
      </w:pPr>
    </w:p>
    <w:p>
      <w:pPr>
        <w:pStyle w:val="12"/>
        <w:tabs>
          <w:tab w:val="left" w:pos="5438"/>
        </w:tabs>
        <w:jc w:val="both"/>
        <w:rPr>
          <w:rFonts w:hint="eastAsia" w:ascii="Times New Roman" w:hAnsi="Times New Roman" w:cs="Times New Roman"/>
          <w:sz w:val="72"/>
          <w:szCs w:val="72"/>
          <w:lang w:eastAsia="zh-CN"/>
        </w:rPr>
      </w:pPr>
    </w:p>
    <w:p>
      <w:pPr>
        <w:pStyle w:val="12"/>
        <w:tabs>
          <w:tab w:val="left" w:pos="5438"/>
        </w:tabs>
        <w:jc w:val="both"/>
        <w:rPr>
          <w:rFonts w:hint="eastAsia" w:ascii="Times New Roman" w:hAnsi="Times New Roman" w:cs="Times New Roman"/>
          <w:sz w:val="72"/>
          <w:szCs w:val="72"/>
          <w:lang w:eastAsia="zh-CN"/>
        </w:rPr>
      </w:pPr>
    </w:p>
    <w:p>
      <w:pPr>
        <w:pStyle w:val="12"/>
        <w:tabs>
          <w:tab w:val="left" w:pos="5438"/>
        </w:tabs>
        <w:jc w:val="both"/>
        <w:rPr>
          <w:rFonts w:hint="eastAsia" w:ascii="Times New Roman" w:hAnsi="Times New Roman" w:cs="Times New Roman"/>
          <w:sz w:val="72"/>
          <w:szCs w:val="72"/>
          <w:lang w:eastAsia="zh-CN"/>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ind w:firstLine="640" w:firstLineChars="200"/>
        <w:jc w:val="left"/>
        <w:rPr>
          <w:rFonts w:ascii="Times New Roman" w:hAnsi="Times New Roman" w:eastAsia="方正小标宋_GBK" w:cs="Times New Roman"/>
          <w:sz w:val="52"/>
          <w:szCs w:val="52"/>
        </w:rPr>
      </w:pPr>
      <w:r>
        <w:rPr>
          <w:rFonts w:hint="eastAsia" w:ascii="Times New Roman" w:hAnsi="Times New Roman" w:eastAsia="仿宋_GB2312" w:cs="Times New Roman"/>
          <w:color w:val="000000"/>
          <w:kern w:val="0"/>
          <w:sz w:val="32"/>
          <w:szCs w:val="32"/>
          <w:lang w:eastAsia="zh-CN"/>
        </w:rPr>
        <w:t>三、“机关服务”科目：反映为行政单位（包括实行公务员管理的事业单位）提供后勤服务的各类后勤服务中心、医务室等附属事业单位的支出。其他事业单位的支出，凡单独设置了项级科目的，在单独设置的项级科目中反映。未单独设置项级科目的，在“其他”项级科目中反映。</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仿宋_GB2312" w:hAnsi="仿宋_GB2312" w:eastAsia="仿宋_GB2312" w:cs="仿宋_GB2312"/>
          <w:sz w:val="32"/>
          <w:szCs w:val="32"/>
        </w:rPr>
        <w:t>2024年市机关事务管理局绩效自评报告</w:t>
      </w:r>
    </w:p>
    <w:p>
      <w:pPr>
        <w:pStyle w:val="12"/>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w:t>
      </w:r>
      <w:r>
        <w:rPr>
          <w:rFonts w:hint="eastAsia" w:ascii="仿宋_GB2312" w:hAnsi="仿宋_GB2312" w:eastAsia="仿宋_GB2312" w:cs="仿宋_GB2312"/>
          <w:b w:val="0"/>
          <w:bCs w:val="0"/>
          <w:sz w:val="32"/>
          <w:szCs w:val="32"/>
        </w:rPr>
        <w:t>2024年军分区营院管理经费部门支出绩效自评报告</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0EC05"/>
    <w:multiLevelType w:val="singleLevel"/>
    <w:tmpl w:val="F940EC05"/>
    <w:lvl w:ilvl="0" w:tentative="0">
      <w:start w:val="9"/>
      <w:numFmt w:val="chineseCounting"/>
      <w:suff w:val="nothing"/>
      <w:lvlText w:val="%1、"/>
      <w:lvlJc w:val="left"/>
      <w:rPr>
        <w:rFonts w:hint="eastAsia"/>
      </w:rPr>
    </w:lvl>
  </w:abstractNum>
  <w:abstractNum w:abstractNumId="1">
    <w:nsid w:val="FDCDB50E"/>
    <w:multiLevelType w:val="singleLevel"/>
    <w:tmpl w:val="FDCDB50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NTJhMmJhNGYxZTQyNTUwMzdkOWFjNjJlNGM1MTEifQ=="/>
  </w:docVars>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D7E7A"/>
    <w:rsid w:val="02A902BB"/>
    <w:rsid w:val="02E04485"/>
    <w:rsid w:val="030B6598"/>
    <w:rsid w:val="04416917"/>
    <w:rsid w:val="05773278"/>
    <w:rsid w:val="06DB35F1"/>
    <w:rsid w:val="083E358A"/>
    <w:rsid w:val="0843185A"/>
    <w:rsid w:val="086A641E"/>
    <w:rsid w:val="09EA33AB"/>
    <w:rsid w:val="0B3043E6"/>
    <w:rsid w:val="0BA70D05"/>
    <w:rsid w:val="0D0B1ADA"/>
    <w:rsid w:val="0DEB0825"/>
    <w:rsid w:val="0FDED89E"/>
    <w:rsid w:val="12451193"/>
    <w:rsid w:val="174047A8"/>
    <w:rsid w:val="1B3060CD"/>
    <w:rsid w:val="1D5762B8"/>
    <w:rsid w:val="1D97DEFF"/>
    <w:rsid w:val="1DE73A63"/>
    <w:rsid w:val="1DFF72E5"/>
    <w:rsid w:val="1E4A4F8D"/>
    <w:rsid w:val="1EBE2C8F"/>
    <w:rsid w:val="1EFC6F07"/>
    <w:rsid w:val="1F6F12F3"/>
    <w:rsid w:val="1FB92922"/>
    <w:rsid w:val="1FF97A4C"/>
    <w:rsid w:val="21DD3444"/>
    <w:rsid w:val="23E000D4"/>
    <w:rsid w:val="28CC333F"/>
    <w:rsid w:val="29512576"/>
    <w:rsid w:val="29AD735E"/>
    <w:rsid w:val="29E26A12"/>
    <w:rsid w:val="2A2A5C72"/>
    <w:rsid w:val="2BAF7B59"/>
    <w:rsid w:val="2D0461C5"/>
    <w:rsid w:val="2D4C1D6E"/>
    <w:rsid w:val="2D5B01C1"/>
    <w:rsid w:val="2FDF85B8"/>
    <w:rsid w:val="2FFFEE04"/>
    <w:rsid w:val="302302C5"/>
    <w:rsid w:val="30631628"/>
    <w:rsid w:val="30A50518"/>
    <w:rsid w:val="312430AE"/>
    <w:rsid w:val="31E0606C"/>
    <w:rsid w:val="327DA50C"/>
    <w:rsid w:val="32EE3913"/>
    <w:rsid w:val="34DF85B0"/>
    <w:rsid w:val="3625099F"/>
    <w:rsid w:val="36DA05EC"/>
    <w:rsid w:val="37390697"/>
    <w:rsid w:val="38C1722E"/>
    <w:rsid w:val="39F53409"/>
    <w:rsid w:val="3AB91E37"/>
    <w:rsid w:val="3ABDD563"/>
    <w:rsid w:val="3B8F36BC"/>
    <w:rsid w:val="3C04793B"/>
    <w:rsid w:val="3E2801A2"/>
    <w:rsid w:val="3E595FF5"/>
    <w:rsid w:val="3E612F34"/>
    <w:rsid w:val="3EEF706D"/>
    <w:rsid w:val="3FC640D6"/>
    <w:rsid w:val="41381A53"/>
    <w:rsid w:val="41937A30"/>
    <w:rsid w:val="41E96400"/>
    <w:rsid w:val="42091F39"/>
    <w:rsid w:val="43E67ECF"/>
    <w:rsid w:val="445909CB"/>
    <w:rsid w:val="447E3FE2"/>
    <w:rsid w:val="46AC4F49"/>
    <w:rsid w:val="46FF74A9"/>
    <w:rsid w:val="472FD724"/>
    <w:rsid w:val="4851389F"/>
    <w:rsid w:val="48F26858"/>
    <w:rsid w:val="491FF225"/>
    <w:rsid w:val="4B8963B7"/>
    <w:rsid w:val="4D740393"/>
    <w:rsid w:val="4FBFE819"/>
    <w:rsid w:val="4FFD214C"/>
    <w:rsid w:val="52B601E3"/>
    <w:rsid w:val="538022CB"/>
    <w:rsid w:val="53F59ED0"/>
    <w:rsid w:val="54574F18"/>
    <w:rsid w:val="55AA64EB"/>
    <w:rsid w:val="5777D4F5"/>
    <w:rsid w:val="579C22AA"/>
    <w:rsid w:val="582574C9"/>
    <w:rsid w:val="598B44FC"/>
    <w:rsid w:val="59DD8326"/>
    <w:rsid w:val="5A5D5494"/>
    <w:rsid w:val="5BDBF03D"/>
    <w:rsid w:val="5BF640E7"/>
    <w:rsid w:val="5C6A0DAE"/>
    <w:rsid w:val="5CE730E7"/>
    <w:rsid w:val="5D2D2508"/>
    <w:rsid w:val="5D3D30F3"/>
    <w:rsid w:val="5D7A0685"/>
    <w:rsid w:val="5DEF592A"/>
    <w:rsid w:val="5E2F5DF5"/>
    <w:rsid w:val="5F3624D3"/>
    <w:rsid w:val="5FC6BB1E"/>
    <w:rsid w:val="5FDF8BAC"/>
    <w:rsid w:val="5FF720F1"/>
    <w:rsid w:val="61C923D1"/>
    <w:rsid w:val="62704A45"/>
    <w:rsid w:val="633B4A32"/>
    <w:rsid w:val="64825DDF"/>
    <w:rsid w:val="64B053D3"/>
    <w:rsid w:val="67E66E4A"/>
    <w:rsid w:val="67FF5C0B"/>
    <w:rsid w:val="68363078"/>
    <w:rsid w:val="6BCD743F"/>
    <w:rsid w:val="6E971CD2"/>
    <w:rsid w:val="6EFC0924"/>
    <w:rsid w:val="6FB74722"/>
    <w:rsid w:val="6FD93016"/>
    <w:rsid w:val="6FEF8B7E"/>
    <w:rsid w:val="71A6591B"/>
    <w:rsid w:val="737D59BA"/>
    <w:rsid w:val="737E27BD"/>
    <w:rsid w:val="73843DDD"/>
    <w:rsid w:val="77C37683"/>
    <w:rsid w:val="77D39248"/>
    <w:rsid w:val="77EB365F"/>
    <w:rsid w:val="781D0CC1"/>
    <w:rsid w:val="79D19834"/>
    <w:rsid w:val="79FF515B"/>
    <w:rsid w:val="7A790E4D"/>
    <w:rsid w:val="7D954EDF"/>
    <w:rsid w:val="7E71448F"/>
    <w:rsid w:val="7E9E1962"/>
    <w:rsid w:val="7E9F11B4"/>
    <w:rsid w:val="7EF81E35"/>
    <w:rsid w:val="7F37EC1E"/>
    <w:rsid w:val="7F5E1F77"/>
    <w:rsid w:val="7F7DCD9D"/>
    <w:rsid w:val="7F7FACAA"/>
    <w:rsid w:val="7F970A6F"/>
    <w:rsid w:val="7FC1FFF3"/>
    <w:rsid w:val="7FC69637"/>
    <w:rsid w:val="7FDF8620"/>
    <w:rsid w:val="7FE8C8F7"/>
    <w:rsid w:val="7FEC55DD"/>
    <w:rsid w:val="7FFB242F"/>
    <w:rsid w:val="7FFCB127"/>
    <w:rsid w:val="7FFDB408"/>
    <w:rsid w:val="7FFE4EEB"/>
    <w:rsid w:val="7FFF9E85"/>
    <w:rsid w:val="95FB2B98"/>
    <w:rsid w:val="9A639BC2"/>
    <w:rsid w:val="9EDB0290"/>
    <w:rsid w:val="9FF7D786"/>
    <w:rsid w:val="A936FFF2"/>
    <w:rsid w:val="AAFFDE39"/>
    <w:rsid w:val="ABBFB23D"/>
    <w:rsid w:val="B2E5FA38"/>
    <w:rsid w:val="BFFFFE6E"/>
    <w:rsid w:val="C3B4DA5A"/>
    <w:rsid w:val="CBFF70E0"/>
    <w:rsid w:val="CFEA230E"/>
    <w:rsid w:val="CFF50B82"/>
    <w:rsid w:val="CFFFAD89"/>
    <w:rsid w:val="DFAE9738"/>
    <w:rsid w:val="DFFDE97A"/>
    <w:rsid w:val="DFFE359E"/>
    <w:rsid w:val="DFFE4FFD"/>
    <w:rsid w:val="E7591B70"/>
    <w:rsid w:val="EEABED75"/>
    <w:rsid w:val="F53F4223"/>
    <w:rsid w:val="F56FDF51"/>
    <w:rsid w:val="F6B69F17"/>
    <w:rsid w:val="F75B310D"/>
    <w:rsid w:val="F77F1D61"/>
    <w:rsid w:val="F7D73476"/>
    <w:rsid w:val="F7DF7C9C"/>
    <w:rsid w:val="F7FED3A9"/>
    <w:rsid w:val="F8C9DB26"/>
    <w:rsid w:val="F97E8EAE"/>
    <w:rsid w:val="FB36E1A6"/>
    <w:rsid w:val="FB3BE134"/>
    <w:rsid w:val="FCFF4275"/>
    <w:rsid w:val="FD7FEEEA"/>
    <w:rsid w:val="FDFFB577"/>
    <w:rsid w:val="FE6FD754"/>
    <w:rsid w:val="FE7E5100"/>
    <w:rsid w:val="FEEA50FE"/>
    <w:rsid w:val="FF7D47A9"/>
    <w:rsid w:val="FFAC50F4"/>
    <w:rsid w:val="FFCF21CB"/>
    <w:rsid w:val="FFD7213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12343</Words>
  <Characters>16213</Characters>
  <Lines>69</Lines>
  <Paragraphs>19</Paragraphs>
  <TotalTime>12</TotalTime>
  <ScaleCrop>false</ScaleCrop>
  <LinksUpToDate>false</LinksUpToDate>
  <CharactersWithSpaces>17321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2025-08-20T10:17:00Z</dcterms:created>
  <dc:creator>李航 null</dc:creator>
  <cp:lastModifiedBy>greatwall</cp:lastModifiedBy>
  <cp:lastPrinted>2024-08-10T18:20:00Z</cp:lastPrinted>
  <dcterms:modified xsi:type="dcterms:W3CDTF">2025-09-25T09:02:12Z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BB7B6AA21D207914D6FDA268992A22D6</vt:lpwstr>
  </property>
</Properties>
</file>