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056FE0E">
      <w:pPr>
        <w:pStyle w:val="16"/>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方正小标宋简体" w:hAnsi="方正小标宋简体" w:eastAsia="方正小标宋简体" w:cs="方正小标宋简体"/>
          <w:color w:val="auto"/>
        </w:rPr>
      </w:pPr>
      <w:bookmarkStart w:id="0" w:name="bookmark1"/>
      <w:bookmarkStart w:id="1" w:name="bookmark2"/>
      <w:bookmarkStart w:id="2" w:name="bookmark0"/>
    </w:p>
    <w:p w14:paraId="49B629A0">
      <w:pPr>
        <w:pStyle w:val="16"/>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方正小标宋简体" w:hAnsi="方正小标宋简体" w:eastAsia="方正小标宋简体" w:cs="方正小标宋简体"/>
          <w:color w:val="auto"/>
        </w:rPr>
      </w:pPr>
    </w:p>
    <w:p w14:paraId="1D21BC96">
      <w:pPr>
        <w:pStyle w:val="16"/>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方正小标宋简体" w:hAnsi="方正小标宋简体" w:eastAsia="方正小标宋简体" w:cs="方正小标宋简体"/>
          <w:color w:val="auto"/>
        </w:rPr>
      </w:pPr>
      <w:r>
        <w:rPr>
          <w:rFonts w:hint="eastAsia" w:ascii="方正小标宋简体" w:hAnsi="方正小标宋简体" w:eastAsia="方正小标宋简体" w:cs="方正小标宋简体"/>
          <w:color w:val="auto"/>
        </w:rPr>
        <w:t>行政执法授权委托书</w:t>
      </w:r>
      <w:bookmarkEnd w:id="0"/>
      <w:bookmarkEnd w:id="1"/>
      <w:bookmarkEnd w:id="2"/>
    </w:p>
    <w:p w14:paraId="5EDDF22E">
      <w:pPr>
        <w:pStyle w:val="16"/>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方正小标宋简体" w:hAnsi="方正小标宋简体" w:eastAsia="方正小标宋简体" w:cs="方正小标宋简体"/>
          <w:color w:val="auto"/>
        </w:rPr>
      </w:pPr>
    </w:p>
    <w:p w14:paraId="53FB5D65">
      <w:pPr>
        <w:pStyle w:val="12"/>
        <w:pageBreakBefore w:val="0"/>
        <w:widowControl w:val="0"/>
        <w:kinsoku/>
        <w:wordWrap/>
        <w:overflowPunct/>
        <w:topLinePunct w:val="0"/>
        <w:autoSpaceDE/>
        <w:autoSpaceDN/>
        <w:bidi w:val="0"/>
        <w:adjustRightInd/>
        <w:snapToGrid/>
        <w:spacing w:line="600" w:lineRule="exact"/>
        <w:ind w:firstLine="600"/>
        <w:jc w:val="both"/>
        <w:textAlignment w:val="auto"/>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委托单位：</w:t>
      </w:r>
      <w:r>
        <w:rPr>
          <w:rFonts w:hint="eastAsia" w:ascii="仿宋_GB2312" w:hAnsi="仿宋_GB2312" w:eastAsia="仿宋_GB2312" w:cs="仿宋_GB2312"/>
          <w:color w:val="auto"/>
          <w:sz w:val="32"/>
          <w:szCs w:val="32"/>
          <w:lang w:eastAsia="zh-CN"/>
        </w:rPr>
        <w:t>怀化市工业和信息化局</w:t>
      </w:r>
    </w:p>
    <w:p w14:paraId="0054ECD6">
      <w:pPr>
        <w:pStyle w:val="12"/>
        <w:pageBreakBefore w:val="0"/>
        <w:widowControl w:val="0"/>
        <w:kinsoku/>
        <w:wordWrap/>
        <w:overflowPunct/>
        <w:topLinePunct w:val="0"/>
        <w:autoSpaceDE/>
        <w:autoSpaceDN/>
        <w:bidi w:val="0"/>
        <w:adjustRightInd/>
        <w:snapToGrid/>
        <w:spacing w:line="600" w:lineRule="exact"/>
        <w:ind w:firstLine="6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法定代表人：</w:t>
      </w:r>
      <w:r>
        <w:rPr>
          <w:rFonts w:hint="eastAsia" w:ascii="仿宋_GB2312" w:hAnsi="仿宋_GB2312" w:eastAsia="仿宋_GB2312" w:cs="仿宋_GB2312"/>
          <w:color w:val="auto"/>
          <w:sz w:val="32"/>
          <w:szCs w:val="32"/>
          <w:lang w:eastAsia="zh-CN"/>
        </w:rPr>
        <w:t>张松</w:t>
      </w:r>
    </w:p>
    <w:p w14:paraId="7D26C36E">
      <w:pPr>
        <w:pStyle w:val="12"/>
        <w:pageBreakBefore w:val="0"/>
        <w:widowControl w:val="0"/>
        <w:kinsoku/>
        <w:wordWrap/>
        <w:overflowPunct/>
        <w:topLinePunct w:val="0"/>
        <w:autoSpaceDE/>
        <w:autoSpaceDN/>
        <w:bidi w:val="0"/>
        <w:adjustRightInd/>
        <w:snapToGrid/>
        <w:spacing w:line="600" w:lineRule="exact"/>
        <w:ind w:firstLine="600"/>
        <w:jc w:val="both"/>
        <w:textAlignment w:val="auto"/>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地址：</w:t>
      </w:r>
      <w:r>
        <w:rPr>
          <w:rFonts w:hint="eastAsia" w:ascii="仿宋_GB2312" w:hAnsi="仿宋_GB2312" w:eastAsia="仿宋_GB2312" w:cs="仿宋_GB2312"/>
          <w:color w:val="auto"/>
          <w:sz w:val="32"/>
          <w:szCs w:val="32"/>
          <w:lang w:eastAsia="zh-CN"/>
        </w:rPr>
        <w:t>怀化市市民服务中心17楼</w:t>
      </w:r>
    </w:p>
    <w:p w14:paraId="020EC391">
      <w:pPr>
        <w:pStyle w:val="12"/>
        <w:pageBreakBefore w:val="0"/>
        <w:widowControl w:val="0"/>
        <w:kinsoku/>
        <w:wordWrap/>
        <w:overflowPunct/>
        <w:topLinePunct w:val="0"/>
        <w:autoSpaceDE/>
        <w:autoSpaceDN/>
        <w:bidi w:val="0"/>
        <w:adjustRightInd/>
        <w:snapToGrid/>
        <w:spacing w:line="600" w:lineRule="exact"/>
        <w:ind w:firstLine="600"/>
        <w:jc w:val="both"/>
        <w:textAlignment w:val="auto"/>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受委托</w:t>
      </w:r>
      <w:r>
        <w:rPr>
          <w:rFonts w:hint="eastAsia" w:ascii="仿宋_GB2312" w:hAnsi="仿宋_GB2312" w:eastAsia="仿宋_GB2312" w:cs="仿宋_GB2312"/>
          <w:color w:val="auto"/>
          <w:sz w:val="32"/>
          <w:szCs w:val="32"/>
          <w:lang w:eastAsia="zh-CN"/>
        </w:rPr>
        <w:t>单位：怀化市墙体材料与散装水泥事务中心</w:t>
      </w:r>
    </w:p>
    <w:p w14:paraId="55350854">
      <w:pPr>
        <w:pStyle w:val="12"/>
        <w:pageBreakBefore w:val="0"/>
        <w:widowControl w:val="0"/>
        <w:kinsoku/>
        <w:wordWrap/>
        <w:overflowPunct/>
        <w:topLinePunct w:val="0"/>
        <w:autoSpaceDE/>
        <w:autoSpaceDN/>
        <w:bidi w:val="0"/>
        <w:adjustRightInd/>
        <w:snapToGrid/>
        <w:spacing w:line="600" w:lineRule="exact"/>
        <w:ind w:firstLine="600"/>
        <w:jc w:val="both"/>
        <w:textAlignment w:val="auto"/>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法定代表人：</w:t>
      </w:r>
      <w:r>
        <w:rPr>
          <w:rFonts w:hint="eastAsia" w:ascii="仿宋_GB2312" w:hAnsi="仿宋_GB2312" w:eastAsia="仿宋_GB2312" w:cs="仿宋_GB2312"/>
          <w:color w:val="auto"/>
          <w:sz w:val="32"/>
          <w:szCs w:val="32"/>
          <w:lang w:eastAsia="zh-CN"/>
        </w:rPr>
        <w:t>沈星妤</w:t>
      </w:r>
    </w:p>
    <w:p w14:paraId="60FD2D07">
      <w:pPr>
        <w:pStyle w:val="12"/>
        <w:pageBreakBefore w:val="0"/>
        <w:widowControl w:val="0"/>
        <w:kinsoku/>
        <w:wordWrap/>
        <w:overflowPunct/>
        <w:topLinePunct w:val="0"/>
        <w:autoSpaceDE/>
        <w:autoSpaceDN/>
        <w:bidi w:val="0"/>
        <w:adjustRightInd/>
        <w:snapToGrid/>
        <w:spacing w:line="600" w:lineRule="exact"/>
        <w:ind w:firstLine="6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地址：</w:t>
      </w:r>
      <w:r>
        <w:rPr>
          <w:rFonts w:hint="eastAsia" w:ascii="仿宋_GB2312" w:hAnsi="仿宋_GB2312" w:eastAsia="仿宋_GB2312" w:cs="仿宋_GB2312"/>
          <w:color w:val="auto"/>
          <w:sz w:val="32"/>
          <w:szCs w:val="32"/>
          <w:lang w:eastAsia="zh-CN"/>
        </w:rPr>
        <w:t>怀化市市民服务中心17楼</w:t>
      </w:r>
    </w:p>
    <w:p w14:paraId="58E6462D">
      <w:pPr>
        <w:pStyle w:val="12"/>
        <w:pageBreakBefore w:val="0"/>
        <w:widowControl w:val="0"/>
        <w:kinsoku/>
        <w:wordWrap/>
        <w:overflowPunct/>
        <w:topLinePunct w:val="0"/>
        <w:autoSpaceDE/>
        <w:autoSpaceDN/>
        <w:bidi w:val="0"/>
        <w:adjustRightInd/>
        <w:snapToGrid/>
        <w:spacing w:line="600" w:lineRule="exact"/>
        <w:ind w:firstLine="6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为进一步加强</w:t>
      </w:r>
      <w:r>
        <w:rPr>
          <w:rFonts w:hint="eastAsia" w:ascii="仿宋_GB2312" w:hAnsi="仿宋_GB2312" w:eastAsia="仿宋_GB2312" w:cs="仿宋_GB2312"/>
          <w:color w:val="auto"/>
          <w:sz w:val="32"/>
          <w:szCs w:val="32"/>
          <w:lang w:eastAsia="zh-CN"/>
        </w:rPr>
        <w:t>墙体材料与散装水泥</w:t>
      </w:r>
      <w:r>
        <w:rPr>
          <w:rFonts w:hint="eastAsia" w:ascii="仿宋_GB2312" w:hAnsi="仿宋_GB2312" w:eastAsia="仿宋_GB2312" w:cs="仿宋_GB2312"/>
          <w:color w:val="auto"/>
          <w:sz w:val="32"/>
          <w:szCs w:val="32"/>
        </w:rPr>
        <w:t>行政执法工作，依法明确</w:t>
      </w:r>
      <w:r>
        <w:rPr>
          <w:rFonts w:hint="eastAsia" w:ascii="仿宋_GB2312" w:hAnsi="仿宋_GB2312" w:eastAsia="仿宋_GB2312" w:cs="仿宋_GB2312"/>
          <w:color w:val="auto"/>
          <w:sz w:val="32"/>
          <w:szCs w:val="32"/>
          <w:lang w:eastAsia="zh-CN"/>
        </w:rPr>
        <w:t>工业和信息化</w:t>
      </w:r>
      <w:r>
        <w:rPr>
          <w:rFonts w:hint="eastAsia" w:ascii="仿宋_GB2312" w:hAnsi="仿宋_GB2312" w:eastAsia="仿宋_GB2312" w:cs="仿宋_GB2312"/>
          <w:color w:val="auto"/>
          <w:sz w:val="32"/>
          <w:szCs w:val="32"/>
        </w:rPr>
        <w:t>行政执法委托单位与受委托单位的权利和义务，</w:t>
      </w:r>
      <w:r>
        <w:rPr>
          <w:rFonts w:hint="eastAsia" w:ascii="仿宋_GB2312" w:hAnsi="仿宋_GB2312" w:eastAsia="仿宋_GB2312" w:cs="仿宋_GB2312"/>
          <w:color w:val="auto"/>
          <w:sz w:val="32"/>
          <w:szCs w:val="32"/>
          <w:lang w:eastAsia="zh-CN"/>
        </w:rPr>
        <w:t>根据</w:t>
      </w:r>
      <w:r>
        <w:rPr>
          <w:rFonts w:hint="eastAsia" w:ascii="仿宋_GB2312" w:hAnsi="仿宋_GB2312" w:eastAsia="仿宋_GB2312" w:cs="仿宋_GB2312"/>
          <w:color w:val="auto"/>
          <w:sz w:val="32"/>
          <w:szCs w:val="32"/>
        </w:rPr>
        <w:t>《中华人民共和国行政处罚法》第二十条</w:t>
      </w:r>
      <w:r>
        <w:rPr>
          <w:rFonts w:hint="eastAsia" w:ascii="仿宋_GB2312" w:hAnsi="仿宋_GB2312" w:eastAsia="仿宋_GB2312" w:cs="仿宋_GB2312"/>
          <w:color w:val="auto"/>
          <w:sz w:val="32"/>
          <w:szCs w:val="32"/>
          <w:lang w:val="zh-CN" w:eastAsia="zh-CN" w:bidi="zh-CN"/>
        </w:rPr>
        <w:t>“行</w:t>
      </w:r>
      <w:r>
        <w:rPr>
          <w:rFonts w:hint="eastAsia" w:ascii="仿宋_GB2312" w:hAnsi="仿宋_GB2312" w:eastAsia="仿宋_GB2312" w:cs="仿宋_GB2312"/>
          <w:color w:val="auto"/>
          <w:sz w:val="32"/>
          <w:szCs w:val="32"/>
        </w:rPr>
        <w:t>政机关依照法律、法规、规章的规定，可以在其法定权限内书面委托符合本法第二十一条规定条件的组织实施行政处罚。行政机关不得委托其他组织或者个人实施行政处罚。委托书应当载明委托的具体事项、权限、期限等内容。委托行政机关和受委托组织应当将委托书向社会公布。委托行政机关对受委托组织实施行政处罚的行为应当负责监督，并对该行为的后果承担法律责任。受委托组织在委托范围内，以委托行政机关名义实施行政处罚；不得再委托其他组织或者个人实施行政处罚”等规定，按照《</w:t>
      </w:r>
      <w:r>
        <w:rPr>
          <w:rFonts w:hint="eastAsia" w:ascii="仿宋_GB2312" w:hAnsi="仿宋_GB2312" w:eastAsia="仿宋_GB2312" w:cs="仿宋_GB2312"/>
          <w:color w:val="auto"/>
          <w:sz w:val="32"/>
          <w:szCs w:val="32"/>
          <w:lang w:eastAsia="zh-CN"/>
        </w:rPr>
        <w:t>怀化市人民政府办公室关于</w:t>
      </w:r>
      <w:r>
        <w:rPr>
          <w:rFonts w:hint="eastAsia" w:ascii="仿宋_GB2312" w:hAnsi="仿宋_GB2312" w:eastAsia="仿宋_GB2312" w:cs="仿宋_GB2312"/>
          <w:color w:val="auto"/>
          <w:sz w:val="32"/>
          <w:szCs w:val="32"/>
        </w:rPr>
        <w:t>印发</w:t>
      </w:r>
      <w:r>
        <w:rPr>
          <w:rFonts w:hint="eastAsia" w:ascii="仿宋_GB2312" w:hAnsi="仿宋_GB2312" w:eastAsia="仿宋_GB2312" w:cs="仿宋_GB2312"/>
          <w:color w:val="auto"/>
          <w:sz w:val="32"/>
          <w:szCs w:val="32"/>
          <w:lang w:val="zh-CN" w:eastAsia="zh-CN" w:bidi="zh-CN"/>
        </w:rPr>
        <w:t>怀化市经济和信息化委员会主要职责内设机构和人员编制规定</w:t>
      </w:r>
      <w:r>
        <w:rPr>
          <w:rFonts w:hint="eastAsia" w:ascii="仿宋_GB2312" w:hAnsi="仿宋_GB2312" w:eastAsia="仿宋_GB2312" w:cs="仿宋_GB2312"/>
          <w:color w:val="auto"/>
          <w:sz w:val="32"/>
          <w:szCs w:val="32"/>
        </w:rPr>
        <w:t>的通知》 （</w:t>
      </w:r>
      <w:r>
        <w:rPr>
          <w:rFonts w:hint="eastAsia" w:ascii="仿宋_GB2312" w:hAnsi="仿宋_GB2312" w:eastAsia="仿宋_GB2312" w:cs="仿宋_GB2312"/>
          <w:color w:val="auto"/>
          <w:sz w:val="32"/>
          <w:szCs w:val="32"/>
          <w:lang w:eastAsia="zh-CN"/>
        </w:rPr>
        <w:t>怀政办</w:t>
      </w:r>
      <w:r>
        <w:rPr>
          <w:rFonts w:hint="eastAsia" w:ascii="仿宋_GB2312" w:hAnsi="仿宋_GB2312" w:eastAsia="仿宋_GB2312" w:cs="仿宋_GB2312"/>
          <w:color w:val="auto"/>
          <w:sz w:val="32"/>
          <w:szCs w:val="32"/>
        </w:rPr>
        <w:t>发〔201</w:t>
      </w:r>
      <w:r>
        <w:rPr>
          <w:rFonts w:hint="eastAsia"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19</w:t>
      </w:r>
      <w:r>
        <w:rPr>
          <w:rFonts w:hint="eastAsia" w:ascii="仿宋_GB2312" w:hAnsi="仿宋_GB2312" w:eastAsia="仿宋_GB2312" w:cs="仿宋_GB2312"/>
          <w:color w:val="auto"/>
          <w:sz w:val="32"/>
          <w:szCs w:val="32"/>
        </w:rPr>
        <w:t>号）要求，</w:t>
      </w:r>
      <w:r>
        <w:rPr>
          <w:rFonts w:hint="eastAsia" w:ascii="仿宋_GB2312" w:hAnsi="仿宋_GB2312" w:eastAsia="仿宋_GB2312" w:cs="仿宋_GB2312"/>
          <w:color w:val="auto"/>
          <w:sz w:val="32"/>
          <w:szCs w:val="32"/>
          <w:lang w:eastAsia="zh-CN"/>
        </w:rPr>
        <w:t>怀化市工业和信息化</w:t>
      </w:r>
      <w:r>
        <w:rPr>
          <w:rFonts w:hint="eastAsia" w:ascii="仿宋_GB2312" w:hAnsi="仿宋_GB2312" w:eastAsia="仿宋_GB2312" w:cs="仿宋_GB2312"/>
          <w:color w:val="auto"/>
          <w:sz w:val="32"/>
          <w:szCs w:val="32"/>
        </w:rPr>
        <w:t>局委托</w:t>
      </w:r>
      <w:r>
        <w:rPr>
          <w:rFonts w:hint="eastAsia" w:ascii="仿宋_GB2312" w:hAnsi="仿宋_GB2312" w:eastAsia="仿宋_GB2312" w:cs="仿宋_GB2312"/>
          <w:color w:val="auto"/>
          <w:sz w:val="32"/>
          <w:szCs w:val="32"/>
          <w:lang w:eastAsia="zh-CN"/>
        </w:rPr>
        <w:t>怀化市墙体材料与散装水泥事务中心</w:t>
      </w:r>
      <w:r>
        <w:rPr>
          <w:rFonts w:hint="eastAsia" w:ascii="仿宋_GB2312" w:hAnsi="仿宋_GB2312" w:eastAsia="仿宋_GB2312" w:cs="仿宋_GB2312"/>
          <w:color w:val="auto"/>
          <w:sz w:val="32"/>
          <w:szCs w:val="32"/>
        </w:rPr>
        <w:t>开展本行政区内</w:t>
      </w:r>
      <w:r>
        <w:rPr>
          <w:rFonts w:hint="eastAsia" w:ascii="仿宋_GB2312" w:hAnsi="仿宋_GB2312" w:eastAsia="仿宋_GB2312" w:cs="仿宋_GB2312"/>
          <w:color w:val="auto"/>
          <w:sz w:val="32"/>
          <w:szCs w:val="32"/>
          <w:lang w:eastAsia="zh-CN"/>
        </w:rPr>
        <w:t>的新型墙体材料和散装水泥管理</w:t>
      </w:r>
      <w:r>
        <w:rPr>
          <w:rFonts w:hint="eastAsia" w:ascii="仿宋_GB2312" w:hAnsi="仿宋_GB2312" w:eastAsia="仿宋_GB2312" w:cs="仿宋_GB2312"/>
          <w:color w:val="auto"/>
          <w:sz w:val="32"/>
          <w:szCs w:val="32"/>
        </w:rPr>
        <w:t>等行政执法工作。</w:t>
      </w:r>
    </w:p>
    <w:p w14:paraId="01BB882E">
      <w:pPr>
        <w:pStyle w:val="12"/>
        <w:pageBreakBefore w:val="0"/>
        <w:widowControl w:val="0"/>
        <w:tabs>
          <w:tab w:val="left" w:pos="1258"/>
        </w:tabs>
        <w:kinsoku/>
        <w:wordWrap/>
        <w:overflowPunct/>
        <w:topLinePunct w:val="0"/>
        <w:autoSpaceDE/>
        <w:autoSpaceDN/>
        <w:bidi w:val="0"/>
        <w:adjustRightInd/>
        <w:snapToGrid/>
        <w:spacing w:line="600" w:lineRule="exact"/>
        <w:ind w:firstLine="620"/>
        <w:jc w:val="both"/>
        <w:textAlignment w:val="auto"/>
        <w:rPr>
          <w:rFonts w:ascii="黑体" w:hAnsi="黑体" w:eastAsia="黑体" w:cs="黑体"/>
          <w:color w:val="auto"/>
          <w:sz w:val="32"/>
          <w:szCs w:val="32"/>
        </w:rPr>
      </w:pPr>
      <w:bookmarkStart w:id="3" w:name="bookmark3"/>
      <w:r>
        <w:rPr>
          <w:rFonts w:hint="eastAsia" w:ascii="黑体" w:hAnsi="黑体" w:eastAsia="黑体" w:cs="黑体"/>
          <w:color w:val="auto"/>
          <w:sz w:val="32"/>
          <w:szCs w:val="32"/>
        </w:rPr>
        <w:t>一</w:t>
      </w:r>
      <w:bookmarkEnd w:id="3"/>
      <w:r>
        <w:rPr>
          <w:rFonts w:hint="eastAsia" w:ascii="黑体" w:hAnsi="黑体" w:eastAsia="黑体" w:cs="黑体"/>
          <w:color w:val="auto"/>
          <w:sz w:val="32"/>
          <w:szCs w:val="32"/>
        </w:rPr>
        <w:t>、委托执法范围</w:t>
      </w:r>
    </w:p>
    <w:p w14:paraId="33646E75">
      <w:pPr>
        <w:pStyle w:val="12"/>
        <w:pageBreakBefore w:val="0"/>
        <w:widowControl w:val="0"/>
        <w:kinsoku/>
        <w:wordWrap/>
        <w:overflowPunct/>
        <w:topLinePunct w:val="0"/>
        <w:autoSpaceDE/>
        <w:autoSpaceDN/>
        <w:bidi w:val="0"/>
        <w:adjustRightInd/>
        <w:snapToGrid/>
        <w:spacing w:line="600" w:lineRule="exact"/>
        <w:ind w:firstLine="62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怀化市</w:t>
      </w:r>
      <w:r>
        <w:rPr>
          <w:rFonts w:hint="eastAsia" w:ascii="仿宋_GB2312" w:hAnsi="仿宋_GB2312" w:eastAsia="仿宋_GB2312" w:cs="仿宋_GB2312"/>
          <w:color w:val="auto"/>
          <w:sz w:val="32"/>
          <w:szCs w:val="32"/>
        </w:rPr>
        <w:t>行政区域范围内</w:t>
      </w:r>
    </w:p>
    <w:p w14:paraId="7011756A">
      <w:pPr>
        <w:pStyle w:val="12"/>
        <w:pageBreakBefore w:val="0"/>
        <w:widowControl w:val="0"/>
        <w:tabs>
          <w:tab w:val="left" w:pos="1258"/>
        </w:tabs>
        <w:kinsoku/>
        <w:wordWrap/>
        <w:overflowPunct/>
        <w:topLinePunct w:val="0"/>
        <w:autoSpaceDE/>
        <w:autoSpaceDN/>
        <w:bidi w:val="0"/>
        <w:adjustRightInd/>
        <w:snapToGrid/>
        <w:spacing w:line="600" w:lineRule="exact"/>
        <w:ind w:firstLine="620"/>
        <w:jc w:val="both"/>
        <w:textAlignment w:val="auto"/>
        <w:rPr>
          <w:rFonts w:ascii="黑体" w:hAnsi="黑体" w:eastAsia="黑体" w:cs="黑体"/>
          <w:color w:val="auto"/>
          <w:sz w:val="32"/>
          <w:szCs w:val="32"/>
        </w:rPr>
      </w:pPr>
      <w:bookmarkStart w:id="4" w:name="bookmark4"/>
      <w:r>
        <w:rPr>
          <w:rFonts w:hint="eastAsia" w:ascii="黑体" w:hAnsi="黑体" w:eastAsia="黑体" w:cs="黑体"/>
          <w:color w:val="auto"/>
          <w:sz w:val="32"/>
          <w:szCs w:val="32"/>
        </w:rPr>
        <w:t>二</w:t>
      </w:r>
      <w:bookmarkEnd w:id="4"/>
      <w:r>
        <w:rPr>
          <w:rFonts w:hint="eastAsia" w:ascii="黑体" w:hAnsi="黑体" w:eastAsia="黑体" w:cs="黑体"/>
          <w:color w:val="auto"/>
          <w:sz w:val="32"/>
          <w:szCs w:val="32"/>
        </w:rPr>
        <w:t>、委托执法权限</w:t>
      </w:r>
    </w:p>
    <w:p w14:paraId="3D89D705">
      <w:pPr>
        <w:pStyle w:val="12"/>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委托</w:t>
      </w:r>
      <w:r>
        <w:rPr>
          <w:rFonts w:hint="eastAsia" w:ascii="仿宋_GB2312" w:hAnsi="仿宋_GB2312" w:eastAsia="仿宋_GB2312" w:cs="仿宋_GB2312"/>
          <w:color w:val="auto"/>
          <w:sz w:val="32"/>
          <w:szCs w:val="32"/>
          <w:lang w:eastAsia="zh-CN"/>
        </w:rPr>
        <w:t>怀化市墙体材料与散装水泥事务中心</w:t>
      </w:r>
      <w:r>
        <w:rPr>
          <w:rFonts w:hint="eastAsia" w:ascii="仿宋_GB2312" w:hAnsi="仿宋_GB2312" w:eastAsia="仿宋_GB2312" w:cs="仿宋_GB2312"/>
          <w:color w:val="auto"/>
          <w:sz w:val="32"/>
          <w:szCs w:val="32"/>
        </w:rPr>
        <w:t>依据</w:t>
      </w:r>
      <w:r>
        <w:rPr>
          <w:rFonts w:hint="eastAsia" w:ascii="仿宋_GB2312" w:hAnsi="仿宋_GB2312" w:eastAsia="仿宋_GB2312" w:cs="仿宋_GB2312"/>
          <w:color w:val="auto"/>
          <w:sz w:val="32"/>
          <w:szCs w:val="32"/>
          <w:lang w:val="en-US" w:eastAsia="zh-CN"/>
        </w:rPr>
        <w:t>《中华人民共和国建筑法》《建设工程质量管理条例》《湖南省散装水泥条例》《湖南省预拌砂浆生产企业质量管理规程》《建筑业企业资质标准》</w:t>
      </w:r>
      <w:r>
        <w:rPr>
          <w:rFonts w:hint="eastAsia" w:ascii="仿宋_GB2312" w:hAnsi="仿宋_GB2312" w:eastAsia="仿宋_GB2312" w:cs="仿宋_GB2312"/>
          <w:color w:val="auto"/>
          <w:kern w:val="2"/>
          <w:sz w:val="32"/>
          <w:szCs w:val="32"/>
          <w:lang w:val="en-US" w:eastAsia="zh-CN" w:bidi="ar-SA"/>
        </w:rPr>
        <w:t>《怀化市预拌砂浆管理办法》</w:t>
      </w:r>
      <w:r>
        <w:rPr>
          <w:rFonts w:hint="eastAsia" w:ascii="仿宋_GB2312" w:hAnsi="仿宋_GB2312" w:eastAsia="仿宋_GB2312" w:cs="仿宋_GB2312"/>
          <w:color w:val="auto"/>
          <w:sz w:val="32"/>
          <w:szCs w:val="32"/>
        </w:rPr>
        <w:t>等法律及相对应的行政法规、规章的规定，结合《</w:t>
      </w:r>
      <w:r>
        <w:rPr>
          <w:rFonts w:hint="eastAsia" w:ascii="仿宋_GB2312" w:hAnsi="仿宋_GB2312" w:eastAsia="仿宋_GB2312" w:cs="仿宋_GB2312"/>
          <w:color w:val="auto"/>
          <w:sz w:val="32"/>
          <w:szCs w:val="32"/>
          <w:lang w:eastAsia="zh-CN"/>
        </w:rPr>
        <w:t>怀化市人民政府办公室关于</w:t>
      </w:r>
      <w:r>
        <w:rPr>
          <w:rFonts w:hint="eastAsia" w:ascii="仿宋_GB2312" w:hAnsi="仿宋_GB2312" w:eastAsia="仿宋_GB2312" w:cs="仿宋_GB2312"/>
          <w:color w:val="auto"/>
          <w:sz w:val="32"/>
          <w:szCs w:val="32"/>
        </w:rPr>
        <w:t>印发</w:t>
      </w:r>
      <w:r>
        <w:rPr>
          <w:rFonts w:hint="eastAsia" w:ascii="仿宋_GB2312" w:hAnsi="仿宋_GB2312" w:eastAsia="仿宋_GB2312" w:cs="仿宋_GB2312"/>
          <w:color w:val="auto"/>
          <w:sz w:val="32"/>
          <w:szCs w:val="32"/>
          <w:lang w:val="zh-CN" w:eastAsia="zh-CN" w:bidi="zh-CN"/>
        </w:rPr>
        <w:t>怀化市经济和信息化委员会主要职责内设机构和人员编制规定</w:t>
      </w:r>
      <w:r>
        <w:rPr>
          <w:rFonts w:hint="eastAsia" w:ascii="仿宋_GB2312" w:hAnsi="仿宋_GB2312" w:eastAsia="仿宋_GB2312" w:cs="仿宋_GB2312"/>
          <w:color w:val="auto"/>
          <w:sz w:val="32"/>
          <w:szCs w:val="32"/>
        </w:rPr>
        <w:t>的通知》 （</w:t>
      </w:r>
      <w:r>
        <w:rPr>
          <w:rFonts w:hint="eastAsia" w:ascii="仿宋_GB2312" w:hAnsi="仿宋_GB2312" w:eastAsia="仿宋_GB2312" w:cs="仿宋_GB2312"/>
          <w:color w:val="auto"/>
          <w:sz w:val="32"/>
          <w:szCs w:val="32"/>
          <w:lang w:eastAsia="zh-CN"/>
        </w:rPr>
        <w:t>怀政办</w:t>
      </w:r>
      <w:r>
        <w:rPr>
          <w:rFonts w:hint="eastAsia" w:ascii="仿宋_GB2312" w:hAnsi="仿宋_GB2312" w:eastAsia="仿宋_GB2312" w:cs="仿宋_GB2312"/>
          <w:color w:val="auto"/>
          <w:sz w:val="32"/>
          <w:szCs w:val="32"/>
        </w:rPr>
        <w:t>发〔201</w:t>
      </w:r>
      <w:r>
        <w:rPr>
          <w:rFonts w:hint="eastAsia"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19</w:t>
      </w:r>
      <w:r>
        <w:rPr>
          <w:rFonts w:hint="eastAsia" w:ascii="仿宋_GB2312" w:hAnsi="仿宋_GB2312" w:eastAsia="仿宋_GB2312" w:cs="仿宋_GB2312"/>
          <w:color w:val="auto"/>
          <w:sz w:val="32"/>
          <w:szCs w:val="32"/>
        </w:rPr>
        <w:t>号）要求，</w:t>
      </w:r>
      <w:r>
        <w:rPr>
          <w:rFonts w:hint="eastAsia" w:ascii="仿宋_GB2312" w:hAnsi="仿宋_GB2312" w:eastAsia="仿宋_GB2312" w:cs="仿宋_GB2312"/>
          <w:color w:val="auto"/>
          <w:sz w:val="32"/>
          <w:szCs w:val="32"/>
          <w:lang w:eastAsia="zh-CN"/>
        </w:rPr>
        <w:t>怀化市墙体材料与散装水泥事务中心</w:t>
      </w:r>
      <w:r>
        <w:rPr>
          <w:rFonts w:hint="eastAsia" w:ascii="仿宋_GB2312" w:hAnsi="仿宋_GB2312" w:eastAsia="仿宋_GB2312" w:cs="仿宋_GB2312"/>
          <w:color w:val="auto"/>
          <w:sz w:val="32"/>
          <w:szCs w:val="32"/>
          <w:lang w:val="zh-CN" w:eastAsia="zh-CN" w:bidi="zh-CN"/>
        </w:rPr>
        <w:t>“负</w:t>
      </w:r>
      <w:r>
        <w:rPr>
          <w:rFonts w:hint="eastAsia" w:ascii="仿宋_GB2312" w:hAnsi="仿宋_GB2312" w:eastAsia="仿宋_GB2312" w:cs="仿宋_GB2312"/>
          <w:color w:val="auto"/>
          <w:sz w:val="32"/>
          <w:szCs w:val="32"/>
        </w:rPr>
        <w:t>责</w:t>
      </w:r>
      <w:r>
        <w:rPr>
          <w:rFonts w:hint="eastAsia" w:ascii="仿宋_GB2312" w:hAnsi="仿宋_GB2312" w:eastAsia="仿宋_GB2312" w:cs="仿宋_GB2312"/>
          <w:color w:val="auto"/>
          <w:sz w:val="32"/>
          <w:szCs w:val="32"/>
          <w:lang w:eastAsia="zh-CN"/>
        </w:rPr>
        <w:t>新型节能、新型墙体材料和散装水泥的管理</w:t>
      </w:r>
      <w:r>
        <w:rPr>
          <w:rFonts w:hint="eastAsia" w:ascii="仿宋_GB2312" w:hAnsi="仿宋_GB2312" w:eastAsia="仿宋_GB2312" w:cs="仿宋_GB2312"/>
          <w:color w:val="auto"/>
          <w:sz w:val="32"/>
          <w:szCs w:val="32"/>
        </w:rPr>
        <w:t>”等工作，承担</w:t>
      </w:r>
      <w:r>
        <w:rPr>
          <w:rFonts w:hint="eastAsia" w:ascii="仿宋_GB2312" w:hAnsi="仿宋_GB2312" w:eastAsia="仿宋_GB2312" w:cs="仿宋_GB2312"/>
          <w:color w:val="auto"/>
          <w:sz w:val="32"/>
          <w:szCs w:val="32"/>
          <w:lang w:eastAsia="zh-CN"/>
        </w:rPr>
        <w:t>怀化市工业和信息化局</w:t>
      </w:r>
      <w:r>
        <w:rPr>
          <w:rFonts w:hint="eastAsia" w:ascii="仿宋_GB2312" w:hAnsi="仿宋_GB2312" w:eastAsia="仿宋_GB2312" w:cs="仿宋_GB2312"/>
          <w:color w:val="auto"/>
          <w:sz w:val="32"/>
          <w:szCs w:val="32"/>
        </w:rPr>
        <w:t>行使的行政检查、行政处罚等相关工作，开展</w:t>
      </w:r>
      <w:r>
        <w:rPr>
          <w:rFonts w:hint="eastAsia" w:ascii="仿宋_GB2312" w:hAnsi="仿宋_GB2312" w:eastAsia="仿宋_GB2312" w:cs="仿宋_GB2312"/>
          <w:color w:val="auto"/>
          <w:sz w:val="32"/>
          <w:szCs w:val="32"/>
          <w:lang w:eastAsia="zh-CN"/>
        </w:rPr>
        <w:t>墙体材料、散装水泥等</w:t>
      </w:r>
      <w:r>
        <w:rPr>
          <w:rFonts w:hint="eastAsia" w:ascii="仿宋_GB2312" w:hAnsi="仿宋_GB2312" w:eastAsia="仿宋_GB2312" w:cs="仿宋_GB2312"/>
          <w:color w:val="auto"/>
          <w:sz w:val="32"/>
          <w:szCs w:val="32"/>
        </w:rPr>
        <w:t>法律法规宣传教育等工作。</w:t>
      </w:r>
    </w:p>
    <w:p w14:paraId="79CBB021">
      <w:pPr>
        <w:pStyle w:val="12"/>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b/>
          <w:bCs/>
          <w:color w:val="auto"/>
          <w:sz w:val="32"/>
          <w:szCs w:val="32"/>
          <w:lang w:val="en-US" w:eastAsia="zh-CN"/>
        </w:rPr>
        <w:t>1.对禁止施工现场机器搅拌砂浆的建设工程（不含居民家庭装饰装修工程）在施工现场机器搅拌砂浆的行政处罚：</w:t>
      </w:r>
      <w:r>
        <w:rPr>
          <w:rFonts w:hint="eastAsia" w:ascii="仿宋_GB2312" w:hAnsi="仿宋_GB2312" w:eastAsia="仿宋_GB2312" w:cs="仿宋_GB2312"/>
          <w:b w:val="0"/>
          <w:bCs w:val="0"/>
          <w:color w:val="auto"/>
          <w:sz w:val="32"/>
          <w:szCs w:val="32"/>
          <w:lang w:val="en-US" w:eastAsia="zh-CN"/>
        </w:rPr>
        <w:t>《湖南省散装水泥条例》第二十二条第三款 违反本条例第十七条规定，在施工现场机器搅拌砂浆的，由散装水泥管理机构责令停止违法行为，按照搅拌的砂浆每吨六十元的标准处以罚款。第十七条 设区的市建成区内的建设工程（不含居民家庭装饰装修工程），禁止施工现场机器搅拌砂浆。不设区的市（县）建成区内的建设工程（不含居民家庭装饰装修工程），限期禁止施工现场机器搅拌砂浆。具体实施区域和期限由县级以上人民政府散装水泥行政主管部门会同建设行政主管部门、环境保护行政主管部门确定，报本级人民政府批准并向社会公布后实施。</w:t>
      </w:r>
    </w:p>
    <w:p w14:paraId="60361C3A">
      <w:pPr>
        <w:pStyle w:val="12"/>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    2.对违规使用袋装水泥的行政处罚：</w:t>
      </w:r>
      <w:r>
        <w:rPr>
          <w:rFonts w:hint="eastAsia" w:ascii="仿宋_GB2312" w:hAnsi="仿宋_GB2312" w:eastAsia="仿宋_GB2312" w:cs="仿宋_GB2312"/>
          <w:b w:val="0"/>
          <w:bCs w:val="0"/>
          <w:color w:val="auto"/>
          <w:sz w:val="32"/>
          <w:szCs w:val="32"/>
          <w:lang w:val="en-US" w:eastAsia="zh-CN"/>
        </w:rPr>
        <w:t>《湖南省散装水泥条例》</w:t>
      </w:r>
    </w:p>
    <w:p w14:paraId="5B255343">
      <w:pPr>
        <w:pStyle w:val="12"/>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第二十二条第二款 违反本条例第十四条第一款、第三款规定使用袋装水泥的，由散装水泥管理机构责令停止违法行为，按照使用袋装水泥每吨三百元的标准处以罚款。第十四条第一款 预拌混凝土、预拌砂浆和水泥制品企业的生产不得使用袋装水泥。第十四条第三款 需要使用水泥五百吨以上的建设工程应当使用散装水泥，确需少量使用袋装水泥的，袋装水泥使用总量不得超过三十吨。</w:t>
      </w:r>
    </w:p>
    <w:p w14:paraId="1BD87A1D">
      <w:pPr>
        <w:pStyle w:val="12"/>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    3.对单位和个人将水泥生产企业生产的散装水泥进行包装后销售的行政处罚:</w:t>
      </w:r>
      <w:r>
        <w:rPr>
          <w:rFonts w:hint="eastAsia" w:ascii="仿宋_GB2312" w:hAnsi="仿宋_GB2312" w:eastAsia="仿宋_GB2312" w:cs="仿宋_GB2312"/>
          <w:b w:val="0"/>
          <w:bCs w:val="0"/>
          <w:color w:val="auto"/>
          <w:sz w:val="32"/>
          <w:szCs w:val="32"/>
          <w:lang w:val="en-US" w:eastAsia="zh-CN"/>
        </w:rPr>
        <w:t>《湖南省散装水泥条例》第二十二条第一款 违反本条例第十条第三款规定，将水泥生产企业生产的散装水泥进行包装后销售的，由散装水泥管理机构责令改正，拒不改正的，按照包装销售袋装水泥每吨三百元的标准处以罚款。第十条第三款 禁止任何单位和个人将水泥生产企业生产的散装水泥进行包装后销售。</w:t>
      </w:r>
    </w:p>
    <w:p w14:paraId="4C4808A7">
      <w:pPr>
        <w:pStyle w:val="12"/>
        <w:pageBreakBefore w:val="0"/>
        <w:widowControl w:val="0"/>
        <w:numPr>
          <w:ilvl w:val="0"/>
          <w:numId w:val="1"/>
        </w:numPr>
        <w:kinsoku/>
        <w:wordWrap/>
        <w:overflowPunct/>
        <w:topLinePunct w:val="0"/>
        <w:autoSpaceDE/>
        <w:autoSpaceDN/>
        <w:bidi w:val="0"/>
        <w:adjustRightInd/>
        <w:snapToGrid/>
        <w:spacing w:line="600" w:lineRule="exact"/>
        <w:ind w:left="481" w:leftChars="0" w:firstLine="0" w:firstLineChars="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对违规生产、销售、使用粘土砖的行政处罚:</w:t>
      </w:r>
      <w:r>
        <w:rPr>
          <w:rFonts w:hint="eastAsia" w:ascii="仿宋_GB2312" w:hAnsi="仿宋_GB2312" w:eastAsia="仿宋_GB2312" w:cs="仿宋_GB2312"/>
          <w:b w:val="0"/>
          <w:bCs w:val="0"/>
          <w:color w:val="auto"/>
          <w:sz w:val="32"/>
          <w:szCs w:val="32"/>
          <w:lang w:val="en-US" w:eastAsia="zh-CN"/>
        </w:rPr>
        <w:t>《湖南省新型</w:t>
      </w:r>
    </w:p>
    <w:p w14:paraId="4B1FD5A7">
      <w:pPr>
        <w:pStyle w:val="12"/>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墙体材料推广应用条例》第二十七条 违反本条例第十三条规定，在国家或者省人民政府规定禁止生产、销售、使用粘土砖期限和城市规划区范围内生产、销售或者使用粘土砖的，由墙体材料改革机构责令限期改正；有违法所得的，没收违法所得；建设单位使用粘土砖逾期不改正的，按粘土砖使用量，对工程建设单位处以每立方米三十元以上、五十元以下罚款；逾期继续生产、销售的，由市场监督管理部门依法吊销营业执照。在国家或省人民政府规定的期限和城市规划区范围内禁止生产、销售粘土砖，除列入历史文化保护的古建筑修缮等特殊工程外，不得在墙体中使用粘土砖。</w:t>
      </w:r>
    </w:p>
    <w:p w14:paraId="072A3F9E">
      <w:pPr>
        <w:pStyle w:val="12"/>
        <w:pageBreakBefore w:val="0"/>
        <w:widowControl w:val="0"/>
        <w:numPr>
          <w:ilvl w:val="0"/>
          <w:numId w:val="0"/>
        </w:numPr>
        <w:kinsoku/>
        <w:wordWrap/>
        <w:overflowPunct/>
        <w:topLinePunct w:val="0"/>
        <w:autoSpaceDE/>
        <w:autoSpaceDN/>
        <w:bidi w:val="0"/>
        <w:adjustRightInd/>
        <w:snapToGrid/>
        <w:spacing w:line="600" w:lineRule="exact"/>
        <w:ind w:left="160" w:leftChars="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    5.对建筑工程墙体材料使用情况的行政检查:</w:t>
      </w:r>
      <w:r>
        <w:rPr>
          <w:rFonts w:hint="eastAsia" w:ascii="仿宋_GB2312" w:hAnsi="仿宋_GB2312" w:eastAsia="仿宋_GB2312" w:cs="仿宋_GB2312"/>
          <w:b w:val="0"/>
          <w:bCs w:val="0"/>
          <w:color w:val="auto"/>
          <w:sz w:val="32"/>
          <w:szCs w:val="32"/>
          <w:lang w:val="en-US" w:eastAsia="zh-CN"/>
        </w:rPr>
        <w:t>《湖南省新型墙体材料推广应用条例》第二十六条 县级以上人民政府墙体材料行政主管部门及墙体材料改革管理机构应当加强对建筑工程墙体材料使用情况的监督检查，受理和处理各种投诉与控告，及时查处违法行为。</w:t>
      </w:r>
    </w:p>
    <w:p w14:paraId="4AEAC0C6">
      <w:pPr>
        <w:pStyle w:val="12"/>
        <w:pageBreakBefore w:val="0"/>
        <w:widowControl w:val="0"/>
        <w:numPr>
          <w:ilvl w:val="0"/>
          <w:numId w:val="0"/>
        </w:numPr>
        <w:kinsoku/>
        <w:wordWrap/>
        <w:overflowPunct/>
        <w:topLinePunct w:val="0"/>
        <w:autoSpaceDE/>
        <w:autoSpaceDN/>
        <w:bidi w:val="0"/>
        <w:adjustRightInd/>
        <w:snapToGrid/>
        <w:spacing w:line="600" w:lineRule="exact"/>
        <w:ind w:left="160" w:leftChars="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    6.对散装水泥推广应用情况的行政检查:</w:t>
      </w:r>
      <w:r>
        <w:rPr>
          <w:rFonts w:hint="eastAsia" w:ascii="仿宋_GB2312" w:hAnsi="仿宋_GB2312" w:eastAsia="仿宋_GB2312" w:cs="仿宋_GB2312"/>
          <w:b w:val="0"/>
          <w:bCs w:val="0"/>
          <w:color w:val="auto"/>
          <w:sz w:val="32"/>
          <w:szCs w:val="32"/>
          <w:lang w:val="en-US" w:eastAsia="zh-CN"/>
        </w:rPr>
        <w:t>《湖南省散装水泥条例》第二十条 县级以上人民政府散装水泥行政主管部门及散装水泥管理机构应当提供散装水泥生产、运输、储存、使用等方面的信息咨询服务，会同有关部门加强对散装水泥推广应用情况的监督检查，协调解决散装水泥推广应用工作的问题，及时查处违法行为。</w:t>
      </w:r>
    </w:p>
    <w:p w14:paraId="0272E8AA">
      <w:pPr>
        <w:pStyle w:val="12"/>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7.对新型墙体材料产品认定的行政确认：《湖南省新型墙体材料推广应用条例》</w:t>
      </w:r>
      <w:r>
        <w:rPr>
          <w:rFonts w:hint="eastAsia" w:ascii="仿宋_GB2312" w:hAnsi="仿宋_GB2312" w:eastAsia="仿宋_GB2312" w:cs="仿宋_GB2312"/>
          <w:b w:val="0"/>
          <w:bCs w:val="0"/>
          <w:color w:val="auto"/>
          <w:sz w:val="32"/>
          <w:szCs w:val="32"/>
          <w:lang w:val="en-US" w:eastAsia="zh-CN"/>
        </w:rPr>
        <w:t>第十九条 符合国家和本省公布的新型墙体材料目录并经法定质量检验机构检验合格的墙体材料产品的生产企业，可以向设区的市、自治州墙体材料改革管理机构申请新型墙体材料产品认定。第二十条 生产企业申请新型墙体材料产品认定，应当提供法定质量检验机构检验合格的产品质量检验报告、环境保护合格证明、生产规模等资料。第二十一条 设区的市、自治州墙体材料改革管理机构应当自收到新型墙体材料产品认定申请书之日起十日内进行审核并签署意见后，报省墙体材料改革管理机构认定。省墙体材料改革管理机构应当自收到申请资料之日起二十日内进行认定，对符合条件的，发给认定证书；对不符合条件的，应当书面通知申请人并说明理由。对新型墙体材料的认定不得收取任何费用。第二十二条 禁止伪造、转让、出租、出借、涂改新型墙体材料产品认定证书。</w:t>
      </w:r>
    </w:p>
    <w:p w14:paraId="36CF91FD">
      <w:pPr>
        <w:pStyle w:val="12"/>
        <w:pageBreakBefore w:val="0"/>
        <w:widowControl w:val="0"/>
        <w:kinsoku/>
        <w:wordWrap/>
        <w:overflowPunct/>
        <w:topLinePunct w:val="0"/>
        <w:autoSpaceDE/>
        <w:autoSpaceDN/>
        <w:bidi w:val="0"/>
        <w:adjustRightInd/>
        <w:snapToGrid/>
        <w:spacing w:line="600" w:lineRule="exact"/>
        <w:ind w:firstLine="620"/>
        <w:jc w:val="both"/>
        <w:textAlignment w:val="auto"/>
        <w:rPr>
          <w:rFonts w:ascii="黑体" w:hAnsi="黑体" w:eastAsia="黑体" w:cs="黑体"/>
          <w:color w:val="auto"/>
          <w:sz w:val="32"/>
          <w:szCs w:val="32"/>
        </w:rPr>
      </w:pPr>
      <w:r>
        <w:rPr>
          <w:rFonts w:hint="eastAsia" w:ascii="黑体" w:hAnsi="黑体" w:eastAsia="黑体" w:cs="黑体"/>
          <w:color w:val="auto"/>
          <w:sz w:val="32"/>
          <w:szCs w:val="32"/>
          <w:lang w:eastAsia="zh-CN"/>
        </w:rPr>
        <w:t>三</w:t>
      </w:r>
      <w:r>
        <w:rPr>
          <w:rFonts w:hint="eastAsia" w:ascii="黑体" w:hAnsi="黑体" w:eastAsia="黑体" w:cs="黑体"/>
          <w:color w:val="auto"/>
          <w:sz w:val="32"/>
          <w:szCs w:val="32"/>
        </w:rPr>
        <w:t>、委托执法责任</w:t>
      </w:r>
    </w:p>
    <w:p w14:paraId="3B0157CD">
      <w:pPr>
        <w:pStyle w:val="12"/>
        <w:pageBreakBefore w:val="0"/>
        <w:widowControl w:val="0"/>
        <w:tabs>
          <w:tab w:val="left" w:pos="1627"/>
        </w:tabs>
        <w:kinsoku/>
        <w:wordWrap/>
        <w:overflowPunct/>
        <w:topLinePunct w:val="0"/>
        <w:autoSpaceDE/>
        <w:autoSpaceDN/>
        <w:bidi w:val="0"/>
        <w:adjustRightInd/>
        <w:snapToGrid/>
        <w:spacing w:line="600" w:lineRule="exact"/>
        <w:ind w:firstLine="760"/>
        <w:jc w:val="both"/>
        <w:textAlignment w:val="auto"/>
        <w:rPr>
          <w:rFonts w:ascii="楷体_GB2312" w:hAnsi="楷体_GB2312" w:eastAsia="楷体_GB2312" w:cs="楷体_GB2312"/>
          <w:b/>
          <w:bCs/>
          <w:color w:val="auto"/>
          <w:sz w:val="32"/>
          <w:szCs w:val="32"/>
        </w:rPr>
      </w:pPr>
      <w:bookmarkStart w:id="5" w:name="bookmark6"/>
      <w:r>
        <w:rPr>
          <w:rFonts w:hint="eastAsia" w:ascii="楷体_GB2312" w:hAnsi="楷体_GB2312" w:eastAsia="楷体_GB2312" w:cs="楷体_GB2312"/>
          <w:b/>
          <w:bCs/>
          <w:color w:val="auto"/>
          <w:sz w:val="32"/>
          <w:szCs w:val="32"/>
        </w:rPr>
        <w:t>（</w:t>
      </w:r>
      <w:bookmarkEnd w:id="5"/>
      <w:r>
        <w:rPr>
          <w:rFonts w:hint="eastAsia" w:ascii="楷体_GB2312" w:hAnsi="楷体_GB2312" w:eastAsia="楷体_GB2312" w:cs="楷体_GB2312"/>
          <w:b/>
          <w:bCs/>
          <w:color w:val="auto"/>
          <w:sz w:val="32"/>
          <w:szCs w:val="32"/>
        </w:rPr>
        <w:t>一）委托单位责任</w:t>
      </w:r>
    </w:p>
    <w:p w14:paraId="316CE244">
      <w:pPr>
        <w:pStyle w:val="12"/>
        <w:pageBreakBefore w:val="0"/>
        <w:widowControl w:val="0"/>
        <w:numPr>
          <w:ilvl w:val="0"/>
          <w:numId w:val="2"/>
        </w:numPr>
        <w:tabs>
          <w:tab w:val="left" w:pos="1040"/>
        </w:tabs>
        <w:kinsoku/>
        <w:wordWrap/>
        <w:overflowPunct/>
        <w:topLinePunct w:val="0"/>
        <w:autoSpaceDE/>
        <w:autoSpaceDN/>
        <w:bidi w:val="0"/>
        <w:adjustRightInd/>
        <w:snapToGrid/>
        <w:spacing w:line="600" w:lineRule="exact"/>
        <w:ind w:firstLine="640"/>
        <w:jc w:val="both"/>
        <w:textAlignment w:val="auto"/>
        <w:rPr>
          <w:rFonts w:ascii="仿宋_GB2312" w:hAnsi="仿宋_GB2312" w:eastAsia="仿宋_GB2312" w:cs="仿宋_GB2312"/>
          <w:color w:val="auto"/>
          <w:sz w:val="32"/>
          <w:szCs w:val="32"/>
        </w:rPr>
      </w:pPr>
      <w:bookmarkStart w:id="6" w:name="bookmark7"/>
      <w:bookmarkEnd w:id="6"/>
      <w:r>
        <w:rPr>
          <w:rFonts w:hint="eastAsia" w:ascii="仿宋_GB2312" w:hAnsi="仿宋_GB2312" w:eastAsia="仿宋_GB2312" w:cs="仿宋_GB2312"/>
          <w:color w:val="auto"/>
          <w:sz w:val="32"/>
          <w:szCs w:val="32"/>
        </w:rPr>
        <w:t>指导和监督受委托单位在委托权限范围内以委托单位名义实施行政执法行为。</w:t>
      </w:r>
    </w:p>
    <w:p w14:paraId="52537368">
      <w:pPr>
        <w:pStyle w:val="12"/>
        <w:pageBreakBefore w:val="0"/>
        <w:widowControl w:val="0"/>
        <w:numPr>
          <w:ilvl w:val="0"/>
          <w:numId w:val="2"/>
        </w:numPr>
        <w:tabs>
          <w:tab w:val="left" w:pos="1045"/>
        </w:tabs>
        <w:kinsoku/>
        <w:wordWrap/>
        <w:overflowPunct/>
        <w:topLinePunct w:val="0"/>
        <w:autoSpaceDE/>
        <w:autoSpaceDN/>
        <w:bidi w:val="0"/>
        <w:adjustRightInd/>
        <w:snapToGrid/>
        <w:spacing w:line="600" w:lineRule="exact"/>
        <w:ind w:firstLine="640"/>
        <w:jc w:val="both"/>
        <w:textAlignment w:val="auto"/>
        <w:rPr>
          <w:rFonts w:ascii="仿宋_GB2312" w:hAnsi="仿宋_GB2312" w:eastAsia="仿宋_GB2312" w:cs="仿宋_GB2312"/>
          <w:color w:val="auto"/>
          <w:sz w:val="32"/>
          <w:szCs w:val="32"/>
        </w:rPr>
      </w:pPr>
      <w:bookmarkStart w:id="7" w:name="bookmark8"/>
      <w:bookmarkEnd w:id="7"/>
      <w:r>
        <w:rPr>
          <w:rFonts w:hint="eastAsia" w:ascii="仿宋_GB2312" w:hAnsi="仿宋_GB2312" w:eastAsia="仿宋_GB2312" w:cs="仿宋_GB2312"/>
          <w:color w:val="auto"/>
          <w:sz w:val="32"/>
          <w:szCs w:val="32"/>
        </w:rPr>
        <w:t>承担受委托单位在委托权限范围内实施行政执法行为所产生的法律后果，委托单位承担相应责任后，可以根据受委托人的过错责任大小，依法予以追偿。</w:t>
      </w:r>
    </w:p>
    <w:p w14:paraId="1CDD2CC7">
      <w:pPr>
        <w:pStyle w:val="12"/>
        <w:pageBreakBefore w:val="0"/>
        <w:widowControl w:val="0"/>
        <w:numPr>
          <w:ilvl w:val="0"/>
          <w:numId w:val="2"/>
        </w:numPr>
        <w:tabs>
          <w:tab w:val="left" w:pos="1040"/>
        </w:tabs>
        <w:kinsoku/>
        <w:wordWrap/>
        <w:overflowPunct/>
        <w:topLinePunct w:val="0"/>
        <w:autoSpaceDE/>
        <w:autoSpaceDN/>
        <w:bidi w:val="0"/>
        <w:adjustRightInd/>
        <w:snapToGrid/>
        <w:spacing w:line="600" w:lineRule="exact"/>
        <w:ind w:firstLine="640"/>
        <w:jc w:val="both"/>
        <w:textAlignment w:val="auto"/>
        <w:rPr>
          <w:rFonts w:ascii="仿宋_GB2312" w:hAnsi="仿宋_GB2312" w:eastAsia="仿宋_GB2312" w:cs="仿宋_GB2312"/>
          <w:color w:val="auto"/>
          <w:sz w:val="32"/>
          <w:szCs w:val="32"/>
        </w:rPr>
      </w:pPr>
      <w:bookmarkStart w:id="8" w:name="bookmark9"/>
      <w:bookmarkEnd w:id="8"/>
      <w:r>
        <w:rPr>
          <w:rFonts w:hint="eastAsia" w:ascii="仿宋_GB2312" w:hAnsi="仿宋_GB2312" w:eastAsia="仿宋_GB2312" w:cs="仿宋_GB2312"/>
          <w:color w:val="auto"/>
          <w:sz w:val="32"/>
          <w:szCs w:val="32"/>
        </w:rPr>
        <w:t>对受委托单位违法或者不适当的行政执法行为予以纠正或者撤销；受委托单位违法实施行政执法行为造成严重后果的，委托单位可以解除委托。</w:t>
      </w:r>
    </w:p>
    <w:p w14:paraId="49A9CCD6">
      <w:pPr>
        <w:pStyle w:val="12"/>
        <w:pageBreakBefore w:val="0"/>
        <w:widowControl w:val="0"/>
        <w:tabs>
          <w:tab w:val="left" w:pos="1627"/>
        </w:tabs>
        <w:kinsoku/>
        <w:wordWrap/>
        <w:overflowPunct/>
        <w:topLinePunct w:val="0"/>
        <w:autoSpaceDE/>
        <w:autoSpaceDN/>
        <w:bidi w:val="0"/>
        <w:adjustRightInd/>
        <w:snapToGrid/>
        <w:spacing w:line="600" w:lineRule="exact"/>
        <w:ind w:firstLine="760"/>
        <w:jc w:val="both"/>
        <w:textAlignment w:val="auto"/>
        <w:rPr>
          <w:rFonts w:ascii="楷体_GB2312" w:hAnsi="楷体_GB2312" w:eastAsia="楷体_GB2312" w:cs="楷体_GB2312"/>
          <w:b/>
          <w:bCs/>
          <w:color w:val="auto"/>
          <w:sz w:val="32"/>
          <w:szCs w:val="32"/>
        </w:rPr>
      </w:pPr>
      <w:bookmarkStart w:id="9" w:name="bookmark10"/>
      <w:r>
        <w:rPr>
          <w:rFonts w:hint="eastAsia" w:ascii="楷体_GB2312" w:hAnsi="楷体_GB2312" w:eastAsia="楷体_GB2312" w:cs="楷体_GB2312"/>
          <w:b/>
          <w:bCs/>
          <w:color w:val="auto"/>
          <w:sz w:val="32"/>
          <w:szCs w:val="32"/>
        </w:rPr>
        <w:t>（</w:t>
      </w:r>
      <w:bookmarkEnd w:id="9"/>
      <w:r>
        <w:rPr>
          <w:rFonts w:hint="eastAsia" w:ascii="楷体_GB2312" w:hAnsi="楷体_GB2312" w:eastAsia="楷体_GB2312" w:cs="楷体_GB2312"/>
          <w:b/>
          <w:bCs/>
          <w:color w:val="auto"/>
          <w:sz w:val="32"/>
          <w:szCs w:val="32"/>
        </w:rPr>
        <w:t>二）受委托单位责任</w:t>
      </w:r>
    </w:p>
    <w:p w14:paraId="02F77900">
      <w:pPr>
        <w:pStyle w:val="12"/>
        <w:pageBreakBefore w:val="0"/>
        <w:widowControl w:val="0"/>
        <w:numPr>
          <w:ilvl w:val="0"/>
          <w:numId w:val="3"/>
        </w:numPr>
        <w:tabs>
          <w:tab w:val="left" w:pos="1035"/>
        </w:tabs>
        <w:kinsoku/>
        <w:wordWrap/>
        <w:overflowPunct/>
        <w:topLinePunct w:val="0"/>
        <w:autoSpaceDE/>
        <w:autoSpaceDN/>
        <w:bidi w:val="0"/>
        <w:adjustRightInd/>
        <w:snapToGrid/>
        <w:spacing w:line="600" w:lineRule="exact"/>
        <w:ind w:firstLine="640"/>
        <w:jc w:val="both"/>
        <w:textAlignment w:val="auto"/>
        <w:rPr>
          <w:rFonts w:ascii="仿宋_GB2312" w:hAnsi="仿宋_GB2312" w:eastAsia="仿宋_GB2312" w:cs="仿宋_GB2312"/>
          <w:color w:val="auto"/>
          <w:spacing w:val="-17"/>
          <w:sz w:val="32"/>
          <w:szCs w:val="32"/>
        </w:rPr>
      </w:pPr>
      <w:bookmarkStart w:id="10" w:name="bookmark11"/>
      <w:bookmarkEnd w:id="10"/>
      <w:r>
        <w:rPr>
          <w:rFonts w:hint="eastAsia" w:ascii="仿宋_GB2312" w:hAnsi="仿宋_GB2312" w:eastAsia="仿宋_GB2312" w:cs="仿宋_GB2312"/>
          <w:color w:val="auto"/>
          <w:spacing w:val="-17"/>
          <w:sz w:val="32"/>
          <w:szCs w:val="32"/>
        </w:rPr>
        <w:t>在委托权限和范围内以委托单位的名义实施行政执法行为</w:t>
      </w:r>
      <w:r>
        <w:rPr>
          <w:rFonts w:hint="eastAsia" w:ascii="仿宋_GB2312" w:hAnsi="仿宋_GB2312" w:eastAsia="仿宋_GB2312" w:cs="仿宋_GB2312"/>
          <w:color w:val="auto"/>
          <w:spacing w:val="-17"/>
          <w:sz w:val="32"/>
          <w:szCs w:val="32"/>
          <w:lang w:val="en-US" w:eastAsia="zh-CN" w:bidi="en-US"/>
        </w:rPr>
        <w:t>。</w:t>
      </w:r>
    </w:p>
    <w:p w14:paraId="0F2F3CFF">
      <w:pPr>
        <w:pStyle w:val="12"/>
        <w:pageBreakBefore w:val="0"/>
        <w:widowControl w:val="0"/>
        <w:numPr>
          <w:ilvl w:val="0"/>
          <w:numId w:val="3"/>
        </w:numPr>
        <w:tabs>
          <w:tab w:val="left" w:pos="1040"/>
        </w:tabs>
        <w:kinsoku/>
        <w:wordWrap/>
        <w:overflowPunct/>
        <w:topLinePunct w:val="0"/>
        <w:autoSpaceDE/>
        <w:autoSpaceDN/>
        <w:bidi w:val="0"/>
        <w:adjustRightInd/>
        <w:snapToGrid/>
        <w:spacing w:line="600" w:lineRule="exact"/>
        <w:ind w:firstLine="640"/>
        <w:jc w:val="both"/>
        <w:textAlignment w:val="auto"/>
        <w:rPr>
          <w:rFonts w:ascii="仿宋_GB2312" w:hAnsi="仿宋_GB2312" w:eastAsia="仿宋_GB2312" w:cs="仿宋_GB2312"/>
          <w:color w:val="auto"/>
          <w:sz w:val="32"/>
          <w:szCs w:val="32"/>
        </w:rPr>
      </w:pPr>
      <w:bookmarkStart w:id="11" w:name="bookmark12"/>
      <w:bookmarkEnd w:id="11"/>
      <w:r>
        <w:rPr>
          <w:rFonts w:hint="eastAsia" w:ascii="仿宋_GB2312" w:hAnsi="仿宋_GB2312" w:eastAsia="仿宋_GB2312" w:cs="仿宋_GB2312"/>
          <w:color w:val="auto"/>
          <w:sz w:val="32"/>
          <w:szCs w:val="32"/>
        </w:rPr>
        <w:t>在实施行政执法行为时，必须出示有效的执法证件，按法定程序实施行政执法行为。</w:t>
      </w:r>
    </w:p>
    <w:p w14:paraId="060BF46A">
      <w:pPr>
        <w:pStyle w:val="12"/>
        <w:pageBreakBefore w:val="0"/>
        <w:widowControl w:val="0"/>
        <w:numPr>
          <w:ilvl w:val="0"/>
          <w:numId w:val="3"/>
        </w:numPr>
        <w:tabs>
          <w:tab w:val="left" w:pos="1035"/>
        </w:tabs>
        <w:kinsoku/>
        <w:wordWrap/>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color w:val="auto"/>
          <w:spacing w:val="-17"/>
          <w:sz w:val="32"/>
          <w:szCs w:val="32"/>
        </w:rPr>
      </w:pPr>
      <w:bookmarkStart w:id="12" w:name="bookmark13"/>
      <w:bookmarkEnd w:id="12"/>
      <w:r>
        <w:rPr>
          <w:rFonts w:hint="eastAsia" w:ascii="仿宋_GB2312" w:hAnsi="仿宋_GB2312" w:eastAsia="仿宋_GB2312" w:cs="仿宋_GB2312"/>
          <w:color w:val="auto"/>
          <w:spacing w:val="-17"/>
          <w:sz w:val="32"/>
          <w:szCs w:val="32"/>
        </w:rPr>
        <w:t>不得将委托的行政执法职权再委托给其他任何组织或个人。</w:t>
      </w:r>
    </w:p>
    <w:p w14:paraId="5B6F1108">
      <w:pPr>
        <w:pStyle w:val="12"/>
        <w:pageBreakBefore w:val="0"/>
        <w:widowControl w:val="0"/>
        <w:tabs>
          <w:tab w:val="left" w:pos="421"/>
        </w:tabs>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color w:val="auto"/>
          <w:sz w:val="32"/>
          <w:szCs w:val="32"/>
        </w:rPr>
      </w:pPr>
      <w:bookmarkStart w:id="13" w:name="bookmark14"/>
      <w:bookmarkEnd w:id="13"/>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主动接受委托单位的指导和监督，参与和配合委托单位的相关行政执法工作。</w:t>
      </w:r>
    </w:p>
    <w:p w14:paraId="4C24DA0D">
      <w:pPr>
        <w:pStyle w:val="12"/>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color w:val="auto"/>
          <w:sz w:val="32"/>
          <w:szCs w:val="32"/>
        </w:rPr>
      </w:pPr>
      <w:bookmarkStart w:id="14" w:name="bookmark15"/>
      <w:bookmarkEnd w:id="14"/>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及时向委托单位报告在委托行政执法过程中存在的问题。</w:t>
      </w:r>
    </w:p>
    <w:p w14:paraId="73C7500E">
      <w:pPr>
        <w:pStyle w:val="12"/>
        <w:pageBreakBefore w:val="0"/>
        <w:widowControl w:val="0"/>
        <w:kinsoku/>
        <w:wordWrap/>
        <w:overflowPunct/>
        <w:topLinePunct w:val="0"/>
        <w:autoSpaceDE/>
        <w:autoSpaceDN/>
        <w:bidi w:val="0"/>
        <w:adjustRightInd/>
        <w:snapToGrid/>
        <w:spacing w:line="600" w:lineRule="exact"/>
        <w:ind w:firstLine="620"/>
        <w:jc w:val="both"/>
        <w:textAlignment w:val="auto"/>
        <w:rPr>
          <w:rFonts w:ascii="黑体" w:hAnsi="黑体" w:eastAsia="黑体" w:cs="黑体"/>
          <w:color w:val="auto"/>
          <w:sz w:val="32"/>
          <w:szCs w:val="32"/>
        </w:rPr>
      </w:pP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、委托期限</w:t>
      </w:r>
    </w:p>
    <w:p w14:paraId="3DA143AC">
      <w:pPr>
        <w:pStyle w:val="12"/>
        <w:pageBreakBefore w:val="0"/>
        <w:widowControl w:val="0"/>
        <w:kinsoku/>
        <w:wordWrap/>
        <w:overflowPunct/>
        <w:topLinePunct w:val="0"/>
        <w:autoSpaceDE/>
        <w:autoSpaceDN/>
        <w:bidi w:val="0"/>
        <w:adjustRightInd/>
        <w:snapToGrid/>
        <w:spacing w:line="600" w:lineRule="exact"/>
        <w:ind w:firstLine="62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本委托书有效期为此委托书签发之日起至</w:t>
      </w:r>
      <w:r>
        <w:rPr>
          <w:rFonts w:hint="eastAsia" w:ascii="仿宋_GB2312" w:hAnsi="仿宋_GB2312" w:eastAsia="仿宋_GB2312" w:cs="仿宋_GB2312"/>
          <w:color w:val="auto"/>
          <w:sz w:val="32"/>
          <w:szCs w:val="32"/>
          <w:lang w:eastAsia="zh-CN"/>
        </w:rPr>
        <w:t>怀化市工业和信息化局</w:t>
      </w:r>
      <w:r>
        <w:rPr>
          <w:rFonts w:hint="eastAsia" w:ascii="仿宋_GB2312" w:hAnsi="仿宋_GB2312" w:eastAsia="仿宋_GB2312" w:cs="仿宋_GB2312"/>
          <w:color w:val="auto"/>
          <w:sz w:val="32"/>
          <w:szCs w:val="32"/>
        </w:rPr>
        <w:t>书面声明解除本委托书之日止。</w:t>
      </w:r>
    </w:p>
    <w:p w14:paraId="33B445FD">
      <w:pPr>
        <w:pStyle w:val="12"/>
        <w:pageBreakBefore w:val="0"/>
        <w:widowControl w:val="0"/>
        <w:kinsoku/>
        <w:wordWrap/>
        <w:overflowPunct/>
        <w:topLinePunct w:val="0"/>
        <w:autoSpaceDE/>
        <w:autoSpaceDN/>
        <w:bidi w:val="0"/>
        <w:adjustRightInd/>
        <w:snapToGrid/>
        <w:spacing w:line="600" w:lineRule="exact"/>
        <w:ind w:firstLine="62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本委托书一式三份，委托单位和受委托单位各执一份，另一 份报</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司法局备案。</w:t>
      </w:r>
      <w:bookmarkStart w:id="15" w:name="_GoBack"/>
      <w:bookmarkEnd w:id="15"/>
    </w:p>
    <w:p w14:paraId="5D0AAACD">
      <w:pPr>
        <w:pStyle w:val="14"/>
        <w:pageBreakBefore w:val="0"/>
        <w:widowControl w:val="0"/>
        <w:kinsoku/>
        <w:wordWrap/>
        <w:overflowPunct/>
        <w:topLinePunct w:val="0"/>
        <w:autoSpaceDE/>
        <w:autoSpaceDN/>
        <w:bidi w:val="0"/>
        <w:adjustRightInd/>
        <w:snapToGrid/>
        <w:spacing w:line="600" w:lineRule="exact"/>
        <w:jc w:val="both"/>
        <w:textAlignment w:val="auto"/>
        <w:rPr>
          <w:rFonts w:ascii="仿宋_GB2312" w:hAnsi="仿宋_GB2312" w:eastAsia="仿宋_GB2312" w:cs="仿宋_GB2312"/>
          <w:color w:val="auto"/>
          <w:sz w:val="32"/>
          <w:szCs w:val="32"/>
        </w:rPr>
      </w:pPr>
    </w:p>
    <w:p w14:paraId="52DA98C7">
      <w:pPr>
        <w:pStyle w:val="14"/>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14:paraId="4D7EAFB7">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14:paraId="019AC43D">
      <w:pPr>
        <w:pStyle w:val="14"/>
        <w:pageBreakBefore w:val="0"/>
        <w:widowControl w:val="0"/>
        <w:kinsoku/>
        <w:wordWrap/>
        <w:overflowPunct/>
        <w:topLinePunct w:val="0"/>
        <w:autoSpaceDE/>
        <w:autoSpaceDN/>
        <w:bidi w:val="0"/>
        <w:adjustRightInd/>
        <w:snapToGrid/>
        <w:spacing w:line="600" w:lineRule="exact"/>
        <w:jc w:val="right"/>
        <w:textAlignment w:val="auto"/>
        <w:rPr>
          <w:rFonts w:ascii="仿宋_GB2312" w:hAnsi="仿宋_GB2312" w:eastAsia="仿宋_GB2312" w:cs="仿宋_GB2312"/>
          <w:color w:val="auto"/>
          <w:sz w:val="32"/>
          <w:szCs w:val="32"/>
          <w:lang w:val="en-US" w:eastAsia="zh-CN"/>
        </w:rPr>
      </w:pPr>
    </w:p>
    <w:sectPr>
      <w:footerReference r:id="rId3" w:type="default"/>
      <w:footerReference r:id="rId4" w:type="even"/>
      <w:type w:val="continuous"/>
      <w:pgSz w:w="11900" w:h="16840"/>
      <w:pgMar w:top="1976" w:right="1471" w:bottom="1976" w:left="1524" w:header="0" w:footer="3"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Hoefler Text Ornament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ymbolPS"/>
    <w:panose1 w:val="05050102010706020507"/>
    <w:charset w:val="02"/>
    <w:family w:val="roman"/>
    <w:pitch w:val="default"/>
    <w:sig w:usb0="00000000" w:usb1="00000000" w:usb2="00000000" w:usb3="00000000" w:csb0="80000000" w:csb1="00000000"/>
  </w:font>
  <w:font w:name="Calibri">
    <w:panose1 w:val="020F0302020204030204"/>
    <w:charset w:val="00"/>
    <w:family w:val="swiss"/>
    <w:pitch w:val="default"/>
    <w:sig w:usb0="A00002EF" w:usb1="4000207B" w:usb2="00000000" w:usb3="00000000" w:csb0="2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swiss"/>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楷体_GB2312">
    <w:panose1 w:val="02010609030101010101"/>
    <w:charset w:val="86"/>
    <w:family w:val="swiss"/>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9C943">
    <w:pPr>
      <w:spacing w:line="1" w:lineRule="exact"/>
    </w:pPr>
    <w:r>
      <mc:AlternateContent>
        <mc:Choice Requires="wps">
          <w:drawing>
            <wp:anchor distT="0" distB="0" distL="114300" distR="114300" simplePos="0" relativeHeight="251659264" behindDoc="1" locked="0" layoutInCell="1" allowOverlap="1">
              <wp:simplePos x="0" y="0"/>
              <wp:positionH relativeFrom="page">
                <wp:posOffset>5715000</wp:posOffset>
              </wp:positionH>
              <wp:positionV relativeFrom="page">
                <wp:posOffset>9686925</wp:posOffset>
              </wp:positionV>
              <wp:extent cx="609600" cy="121920"/>
              <wp:effectExtent l="0" t="0" r="0" b="0"/>
              <wp:wrapNone/>
              <wp:docPr id="1" name="Shape 1"/>
              <wp:cNvGraphicFramePr/>
              <a:graphic xmlns:a="http://schemas.openxmlformats.org/drawingml/2006/main">
                <a:graphicData uri="http://schemas.microsoft.com/office/word/2010/wordprocessingShape">
                  <wps:wsp>
                    <wps:cNvSpPr txBox="1"/>
                    <wps:spPr>
                      <a:xfrm>
                        <a:off x="0" y="0"/>
                        <a:ext cx="609600" cy="121920"/>
                      </a:xfrm>
                      <a:prstGeom prst="rect">
                        <a:avLst/>
                      </a:prstGeom>
                      <a:noFill/>
                      <a:ln w="9525">
                        <a:noFill/>
                        <a:miter/>
                      </a:ln>
                      <a:effectLst/>
                    </wps:spPr>
                    <wps:txbx>
                      <w:txbxContent>
                        <w:p w14:paraId="73B75D45">
                          <w:pPr>
                            <w:pStyle w:val="18"/>
                            <w:rPr>
                              <w:sz w:val="28"/>
                              <w:szCs w:val="28"/>
                            </w:rPr>
                          </w:pPr>
                          <w:r>
                            <w:rPr>
                              <w:sz w:val="28"/>
                              <w:szCs w:val="28"/>
                              <w:lang w:val="en-US" w:eastAsia="en-US" w:bidi="en-US"/>
                            </w:rPr>
                            <w:t>—</w:t>
                          </w:r>
                          <w:r>
                            <w:fldChar w:fldCharType="begin"/>
                          </w:r>
                          <w:r>
                            <w:instrText xml:space="preserve"> PAGE \* MERGEFORMAT </w:instrText>
                          </w:r>
                          <w:r>
                            <w:fldChar w:fldCharType="separate"/>
                          </w:r>
                          <w:r>
                            <w:t>1</w:t>
                          </w:r>
                          <w:r>
                            <w:rPr>
                              <w:sz w:val="28"/>
                              <w:szCs w:val="28"/>
                            </w:rPr>
                            <w:fldChar w:fldCharType="end"/>
                          </w:r>
                          <w:r>
                            <w:rPr>
                              <w:sz w:val="28"/>
                              <w:szCs w:val="28"/>
                            </w:rPr>
                            <w:t xml:space="preserve"> —</w:t>
                          </w:r>
                        </w:p>
                      </w:txbxContent>
                    </wps:txbx>
                    <wps:bodyPr wrap="none" lIns="0" tIns="0" rIns="0" bIns="0">
                      <a:spAutoFit/>
                    </wps:bodyPr>
                  </wps:wsp>
                </a:graphicData>
              </a:graphic>
            </wp:anchor>
          </w:drawing>
        </mc:Choice>
        <mc:Fallback>
          <w:pict>
            <v:shape id="Shape 1" o:spid="_x0000_s1026" o:spt="202" type="#_x0000_t202" style="position:absolute;left:0pt;margin-left:450pt;margin-top:762.75pt;height:9.6pt;width:48pt;mso-position-horizontal-relative:page;mso-position-vertical-relative:page;mso-wrap-style:none;z-index:-251657216;mso-width-relative:page;mso-height-relative:page;" filled="f" stroked="f" coordsize="21600,21600" o:gfxdata="UEsDBAoAAAAAAIdO4kAAAAAAAAAAAAAAAAAEAAAAZHJzL1BLAwQUAAAACACHTuJAaVyZYdgAAAAN&#10;AQAADwAAAGRycy9kb3ducmV2LnhtbE2PzW7CMBCE75X6DtZW6q3YIAIkjcMBqZfeSiuk3ky8xFH9&#10;E9kmJG/f5dQed2Y0+029n5xlI8bUBy9huRDA0LdB976T8PX59rIDlrLyWtngUcKMCfbN40OtKh1u&#10;/gPHY+4YlfhUKQkm56HiPLUGnUqLMKAn7xKiU5nO2HEd1Y3KneUrITbcqd7TB6MGPBhsf45XJ2E7&#10;nQIOCQ/4fRnbaPp5Z99nKZ+fluIVWMYp/4Xhjk/o0BDTOVy9TsxKKIWgLZmMYlUUwChSlhuSzndp&#10;vd4Cb2r+f0XzC1BLAwQUAAAACACHTuJA+jXMnsQBAACoAwAADgAAAGRycy9lMm9Eb2MueG1srVPb&#10;itswEH0v9B+E3htfYENj4iy7hC2F0ha2+wGKPI4FuqFRYufvO5Kd7LJ92Ye+2KO5nJlzNNreT0az&#10;MwRUzra8WpWcgZWuU/bY8pc/T1++coZR2E5oZ6HlF0B+v/v8aTv6Bmo3ON1BYARisRl9y4cYfVMU&#10;KAcwAlfOg6Vg74IRkY7hWHRBjIRudFGX5boYXeh8cBIQybufg3xBDB8BdH2vJOydPBmwcUYNoEUk&#10;Sjgoj3yXp+17kPFX3yNEpltOTGP+UhOyD+lb7LaiOQbhByWXEcRHRnjHyQhlqekNai+iYKeg/oEy&#10;SgaHro8r6UwxE8mKEIuqfKfN8yA8ZC4kNfqb6Pj/YOXP8+/AVEebwJkVhi48d2VVkmb02FDGs6ec&#10;OD26KaUtfiRnYjz1waQ/cWEUJ2EvN2FhikySc11u1iVFJIWqutrUWfjitdgHjN/AGZaMlge6tyyn&#10;OP/ASA0p9ZqSeln3pLTOd6ctG1u+uavvcsGbiFERwlyrbaqCvA8LYKI2U0hWnA7TwuvgugvRHWkn&#10;Wm7pCXCmv1uSPK3P1QhX47AYCR/9wynSZHnghDpD0fTpQBeYeSzLljbk7TlnvT6w3V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pXJlh2AAAAA0BAAAPAAAAAAAAAAEAIAAAACIAAABkcnMvZG93bnJl&#10;di54bWxQSwECFAAUAAAACACHTuJA+jXMnsQBAACoAwAADgAAAAAAAAABACAAAAAnAQAAZHJzL2Uy&#10;b0RvYy54bWxQSwUGAAAAAAYABgBZAQAAXQUAAAAA&#10;">
              <v:fill on="f" focussize="0,0"/>
              <v:stroke on="f" joinstyle="miter"/>
              <v:imagedata o:title=""/>
              <o:lock v:ext="edit" aspectratio="f"/>
              <v:textbox inset="0mm,0mm,0mm,0mm" style="mso-fit-shape-to-text:t;">
                <w:txbxContent>
                  <w:p w14:paraId="73B75D45">
                    <w:pPr>
                      <w:pStyle w:val="18"/>
                      <w:rPr>
                        <w:sz w:val="28"/>
                        <w:szCs w:val="28"/>
                      </w:rPr>
                    </w:pPr>
                    <w:r>
                      <w:rPr>
                        <w:sz w:val="28"/>
                        <w:szCs w:val="28"/>
                        <w:lang w:val="en-US" w:eastAsia="en-US" w:bidi="en-US"/>
                      </w:rPr>
                      <w:t>—</w:t>
                    </w:r>
                    <w:r>
                      <w:fldChar w:fldCharType="begin"/>
                    </w:r>
                    <w:r>
                      <w:instrText xml:space="preserve"> PAGE \* MERGEFORMAT </w:instrText>
                    </w:r>
                    <w:r>
                      <w:fldChar w:fldCharType="separate"/>
                    </w:r>
                    <w:r>
                      <w:t>1</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E9F67">
    <w:pPr>
      <w:spacing w:line="1" w:lineRule="exact"/>
    </w:pPr>
    <w:r>
      <mc:AlternateContent>
        <mc:Choice Requires="wps">
          <w:drawing>
            <wp:anchor distT="0" distB="0" distL="114300" distR="114300" simplePos="0" relativeHeight="251660288" behindDoc="1" locked="0" layoutInCell="1" allowOverlap="1">
              <wp:simplePos x="0" y="0"/>
              <wp:positionH relativeFrom="page">
                <wp:posOffset>1221105</wp:posOffset>
              </wp:positionH>
              <wp:positionV relativeFrom="page">
                <wp:posOffset>9665970</wp:posOffset>
              </wp:positionV>
              <wp:extent cx="612775" cy="128270"/>
              <wp:effectExtent l="0" t="0" r="0" b="0"/>
              <wp:wrapNone/>
              <wp:docPr id="2" name="Shape 3"/>
              <wp:cNvGraphicFramePr/>
              <a:graphic xmlns:a="http://schemas.openxmlformats.org/drawingml/2006/main">
                <a:graphicData uri="http://schemas.microsoft.com/office/word/2010/wordprocessingShape">
                  <wps:wsp>
                    <wps:cNvSpPr txBox="1"/>
                    <wps:spPr>
                      <a:xfrm>
                        <a:off x="0" y="0"/>
                        <a:ext cx="612775" cy="128270"/>
                      </a:xfrm>
                      <a:prstGeom prst="rect">
                        <a:avLst/>
                      </a:prstGeom>
                      <a:noFill/>
                      <a:ln w="9525">
                        <a:noFill/>
                        <a:miter/>
                      </a:ln>
                      <a:effectLst/>
                    </wps:spPr>
                    <wps:txbx>
                      <w:txbxContent>
                        <w:p w14:paraId="3509CF38">
                          <w:pPr>
                            <w:pStyle w:val="18"/>
                            <w:rPr>
                              <w:sz w:val="28"/>
                              <w:szCs w:val="28"/>
                            </w:rPr>
                          </w:pPr>
                          <w:r>
                            <w:rPr>
                              <w:sz w:val="28"/>
                              <w:szCs w:val="28"/>
                              <w:lang w:val="en-US" w:eastAsia="en-US" w:bidi="en-US"/>
                            </w:rPr>
                            <w:t>—</w:t>
                          </w:r>
                          <w:r>
                            <w:fldChar w:fldCharType="begin"/>
                          </w:r>
                          <w:r>
                            <w:instrText xml:space="preserve"> PAGE \* MERGEFORMAT </w:instrText>
                          </w:r>
                          <w:r>
                            <w:fldChar w:fldCharType="separate"/>
                          </w:r>
                          <w:r>
                            <w:t>2</w:t>
                          </w:r>
                          <w:r>
                            <w:rPr>
                              <w:sz w:val="28"/>
                              <w:szCs w:val="28"/>
                            </w:rPr>
                            <w:fldChar w:fldCharType="end"/>
                          </w:r>
                          <w:r>
                            <w:rPr>
                              <w:sz w:val="28"/>
                              <w:szCs w:val="28"/>
                            </w:rPr>
                            <w:t xml:space="preserve"> —</w:t>
                          </w:r>
                        </w:p>
                      </w:txbxContent>
                    </wps:txbx>
                    <wps:bodyPr wrap="none" lIns="0" tIns="0" rIns="0" bIns="0">
                      <a:spAutoFit/>
                    </wps:bodyPr>
                  </wps:wsp>
                </a:graphicData>
              </a:graphic>
            </wp:anchor>
          </w:drawing>
        </mc:Choice>
        <mc:Fallback>
          <w:pict>
            <v:shape id="Shape 3" o:spid="_x0000_s1026" o:spt="202" type="#_x0000_t202" style="position:absolute;left:0pt;margin-left:96.15pt;margin-top:761.1pt;height:10.1pt;width:48.25pt;mso-position-horizontal-relative:page;mso-position-vertical-relative:page;mso-wrap-style:none;z-index:-251656192;mso-width-relative:page;mso-height-relative:page;" filled="f" stroked="f" coordsize="21600,21600" o:gfxdata="UEsDBAoAAAAAAIdO4kAAAAAAAAAAAAAAAAAEAAAAZHJzL1BLAwQUAAAACACHTuJAr+awQ9cAAAAN&#10;AQAADwAAAGRycy9kb3ducmV2LnhtbE2PMU/DMBCFdyT+g3VIbNSpKRBCnA6VWNgoCInNja9xhH2O&#10;YjdN/j3XCbZ7d0/vvldv5+DFhGPqI2lYrwoQSG20PXUaPj9e70oQKRuyxkdCDQsm2DbXV7WpbDzT&#10;O0773AkOoVQZDS7noZIytQ6DSas4IPHtGMdgMsuxk3Y0Zw4PXqqieJTB9MQfnBlw57D92Z+Chqf5&#10;K+KQcIffx6kdXb+U/m3R+vZmXbyAyDjnPzNc8BkdGmY6xBPZJDzrZ3XPVh4elFIg2KLKktscLquN&#10;2oBsavm/RfMLUEsDBBQAAAAIAIdO4kClgh9kxwEAAKgDAAAOAAAAZHJzL2Uyb0RvYy54bWytU9uO&#10;0zAQfUfiHyy/07RB3S5R3RWoWoSEAGnhA1xn0ljyTR63Sf+esZN2V8vLPvCSjOdyZs7xePswWsPO&#10;EFF7J/hqseQMnPKtdkfB//x+/HDPGSbpWmm8A8EvgPxh9/7ddggN1L73poXICMRhMwTB+5RCU1Wo&#10;erASFz6Ao2Dno5WJjvFYtVEOhG5NVS+Xd9XgYxuiV4BI3v0U5DNifAug7zqtYO/VyYJLE2oEIxNR&#10;wl4H5LsybdeBSj+7DiExIzgxTeVLTcg+5G+128rmGGXotZpHkG8Z4RUnK7WjpjeovUySnaL+B8pq&#10;FT36Li2Ut9VEpChCLFbLV9o89TJA4UJSY7iJjv8PVv04/4pMt4LXnDlp6cJLV/YxSzMEbCjjKVBO&#10;Gr/4kRbm6kdyZsZjF23+ExdGcRL2chMWxsQUOe9W9Waz5kxRaFXf15sifPVcHCKmr+Aty4bgke6t&#10;yCnP3zHRIJR6Tcm9nH/UxpS7M44Ngn9a1+tS8CJidYI41RqXq6DswwyYqU0UspXGwzjzPfj2QnQH&#10;2gnBHT0Bzsw3R5Ln9bka8WocZiPjY/h8SjRZGTijTlA0fT7QBRYe87LlDXl5LlnPD2z3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K/msEPXAAAADQEAAA8AAAAAAAAAAQAgAAAAIgAAAGRycy9kb3du&#10;cmV2LnhtbFBLAQIUABQAAAAIAIdO4kClgh9kxwEAAKgDAAAOAAAAAAAAAAEAIAAAACYBAABkcnMv&#10;ZTJvRG9jLnhtbFBLBQYAAAAABgAGAFkBAABfBQAAAAA=&#10;">
              <v:fill on="f" focussize="0,0"/>
              <v:stroke on="f" joinstyle="miter"/>
              <v:imagedata o:title=""/>
              <o:lock v:ext="edit" aspectratio="f"/>
              <v:textbox inset="0mm,0mm,0mm,0mm" style="mso-fit-shape-to-text:t;">
                <w:txbxContent>
                  <w:p w14:paraId="3509CF38">
                    <w:pPr>
                      <w:pStyle w:val="18"/>
                      <w:rPr>
                        <w:sz w:val="28"/>
                        <w:szCs w:val="28"/>
                      </w:rPr>
                    </w:pPr>
                    <w:r>
                      <w:rPr>
                        <w:sz w:val="28"/>
                        <w:szCs w:val="28"/>
                        <w:lang w:val="en-US" w:eastAsia="en-US" w:bidi="en-US"/>
                      </w:rPr>
                      <w:t>—</w:t>
                    </w:r>
                    <w:r>
                      <w:fldChar w:fldCharType="begin"/>
                    </w:r>
                    <w:r>
                      <w:instrText xml:space="preserve"> PAGE \* MERGEFORMAT </w:instrText>
                    </w:r>
                    <w:r>
                      <w:fldChar w:fldCharType="separate"/>
                    </w:r>
                    <w:r>
                      <w:t>2</w:t>
                    </w:r>
                    <w:r>
                      <w:rPr>
                        <w:sz w:val="28"/>
                        <w:szCs w:val="28"/>
                      </w:rPr>
                      <w:fldChar w:fldCharType="end"/>
                    </w:r>
                    <w:r>
                      <w:rPr>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singleLevel"/>
    <w:tmpl w:val="CF092B84"/>
    <w:lvl w:ilvl="0" w:tentative="0">
      <w:start w:val="1"/>
      <w:numFmt w:val="decimal"/>
      <w:lvlText w:val="%1."/>
      <w:lvlJc w:val="left"/>
      <w:rPr>
        <w:rFonts w:ascii="宋体" w:hAnsi="宋体" w:eastAsia="宋体" w:cs="宋体"/>
        <w:b w:val="0"/>
        <w:bCs w:val="0"/>
        <w:i w:val="0"/>
        <w:iCs w:val="0"/>
        <w:smallCaps w:val="0"/>
        <w:strike w:val="0"/>
        <w:color w:val="000000"/>
        <w:spacing w:val="0"/>
        <w:w w:val="100"/>
        <w:position w:val="0"/>
        <w:sz w:val="32"/>
        <w:szCs w:val="32"/>
        <w:u w:val="none"/>
        <w:shd w:val="clear" w:color="auto" w:fill="auto"/>
        <w:lang w:val="zh-CN" w:eastAsia="zh-CN" w:bidi="zh-CN"/>
      </w:rPr>
    </w:lvl>
  </w:abstractNum>
  <w:abstractNum w:abstractNumId="1">
    <w:nsid w:val="0053208E"/>
    <w:multiLevelType w:val="singleLevel"/>
    <w:tmpl w:val="0053208E"/>
    <w:lvl w:ilvl="0" w:tentative="0">
      <w:start w:val="1"/>
      <w:numFmt w:val="decimal"/>
      <w:lvlText w:val="%1."/>
      <w:lvlJc w:val="left"/>
      <w:rPr>
        <w:rFonts w:ascii="宋体" w:hAnsi="宋体" w:eastAsia="宋体" w:cs="宋体"/>
        <w:b w:val="0"/>
        <w:bCs w:val="0"/>
        <w:i w:val="0"/>
        <w:iCs w:val="0"/>
        <w:smallCaps w:val="0"/>
        <w:strike w:val="0"/>
        <w:color w:val="000000"/>
        <w:spacing w:val="0"/>
        <w:w w:val="100"/>
        <w:position w:val="0"/>
        <w:sz w:val="32"/>
        <w:szCs w:val="32"/>
        <w:u w:val="none"/>
        <w:shd w:val="clear" w:color="auto" w:fill="auto"/>
        <w:lang w:val="zh-TW" w:eastAsia="zh-TW" w:bidi="zh-TW"/>
      </w:rPr>
    </w:lvl>
  </w:abstractNum>
  <w:abstractNum w:abstractNumId="2">
    <w:nsid w:val="7FBFFF50"/>
    <w:multiLevelType w:val="singleLevel"/>
    <w:tmpl w:val="7FBFFF50"/>
    <w:lvl w:ilvl="0" w:tentative="0">
      <w:start w:val="4"/>
      <w:numFmt w:val="decimal"/>
      <w:lvlText w:val="%1."/>
      <w:lvlJc w:val="left"/>
      <w:pPr>
        <w:tabs>
          <w:tab w:val="left" w:pos="312"/>
        </w:tabs>
        <w:ind w:left="481" w:leftChars="0" w:firstLine="0" w:firstLineChars="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doNotDisplayPageBoundaries w:val="1"/>
  <w:bordersDoNotSurroundHeader w:val="0"/>
  <w:bordersDoNotSurroundFooter w:val="0"/>
  <w:documentProtection w:enforcement="0"/>
  <w:defaultTabStop w:val="420"/>
  <w:evenAndOddHeaders w:val="1"/>
  <w:drawingGridHorizontalSpacing w:val="181"/>
  <w:drawingGridVerticalSpacing w:val="181"/>
  <w:displayHorizontalDrawingGridEvery w:val="1"/>
  <w:displayVerticalDrawingGridEvery w:val="1"/>
  <w:noPunctuationKerning w:val="1"/>
  <w:characterSpacingControl w:val="compressPunctuation"/>
  <w:hdrShapeDefaults>
    <o:shapelayout v:ext="edit">
      <o:idmap v:ext="edit" data="1"/>
    </o:shapelayout>
  </w:hdrShapeDefaults>
  <w:compat>
    <w:doNotExpandShiftReturn/>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jNGQ2ZTVlOWU1OGM5ZmFhN2U0YmFiNGE4NjNiZmQifQ=="/>
  </w:docVars>
  <w:rsids>
    <w:rsidRoot w:val="0036249C"/>
    <w:rsid w:val="00263159"/>
    <w:rsid w:val="002C40B2"/>
    <w:rsid w:val="003304D9"/>
    <w:rsid w:val="003410C9"/>
    <w:rsid w:val="0036249C"/>
    <w:rsid w:val="006A0DD8"/>
    <w:rsid w:val="006C00A2"/>
    <w:rsid w:val="00C22AFE"/>
    <w:rsid w:val="00E752DE"/>
    <w:rsid w:val="00F21C85"/>
    <w:rsid w:val="00FF32A5"/>
    <w:rsid w:val="049D670A"/>
    <w:rsid w:val="0586071E"/>
    <w:rsid w:val="06AE7101"/>
    <w:rsid w:val="0D79373F"/>
    <w:rsid w:val="0EF16F8A"/>
    <w:rsid w:val="108A375B"/>
    <w:rsid w:val="19D77EB1"/>
    <w:rsid w:val="27D84DB3"/>
    <w:rsid w:val="393B5833"/>
    <w:rsid w:val="46F57F39"/>
    <w:rsid w:val="48DF1625"/>
    <w:rsid w:val="59745DBA"/>
    <w:rsid w:val="6B8302B9"/>
    <w:rsid w:val="6E326593"/>
    <w:rsid w:val="71415D05"/>
    <w:rsid w:val="749F27FE"/>
    <w:rsid w:val="752175BA"/>
    <w:rsid w:val="789558A3"/>
    <w:rsid w:val="78B4492D"/>
    <w:rsid w:val="8FEE2C40"/>
    <w:rsid w:val="B67FC034"/>
    <w:rsid w:val="CFFF4AA1"/>
    <w:rsid w:val="EFBE6998"/>
    <w:rsid w:val="F5E6E448"/>
    <w:rsid w:val="FDE16C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4">
    <w:name w:val="Balloon Text"/>
    <w:basedOn w:val="1"/>
    <w:link w:val="19"/>
    <w:qFormat/>
    <w:uiPriority w:val="0"/>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character" w:styleId="8">
    <w:name w:val="FollowedHyperlink"/>
    <w:basedOn w:val="7"/>
    <w:qFormat/>
    <w:uiPriority w:val="0"/>
    <w:rPr>
      <w:vanish/>
      <w:color w:val="333333"/>
      <w:u w:val="none"/>
    </w:rPr>
  </w:style>
  <w:style w:type="character" w:styleId="9">
    <w:name w:val="Emphasis"/>
    <w:basedOn w:val="7"/>
    <w:qFormat/>
    <w:uiPriority w:val="0"/>
    <w:rPr>
      <w:sz w:val="24"/>
      <w:szCs w:val="24"/>
    </w:rPr>
  </w:style>
  <w:style w:type="character" w:styleId="10">
    <w:name w:val="Hyperlink"/>
    <w:basedOn w:val="7"/>
    <w:qFormat/>
    <w:uiPriority w:val="0"/>
    <w:rPr>
      <w:color w:val="333333"/>
      <w:u w:val="none"/>
    </w:rPr>
  </w:style>
  <w:style w:type="character" w:customStyle="1" w:styleId="11">
    <w:name w:val="Body text|1_"/>
    <w:basedOn w:val="7"/>
    <w:link w:val="12"/>
    <w:qFormat/>
    <w:uiPriority w:val="0"/>
    <w:rPr>
      <w:rFonts w:ascii="宋体" w:hAnsi="宋体" w:eastAsia="宋体" w:cs="宋体"/>
      <w:sz w:val="28"/>
      <w:szCs w:val="28"/>
      <w:u w:val="none"/>
      <w:shd w:val="clear" w:color="auto" w:fill="auto"/>
      <w:lang w:val="zh-TW" w:eastAsia="zh-TW" w:bidi="zh-TW"/>
    </w:rPr>
  </w:style>
  <w:style w:type="paragraph" w:customStyle="1" w:styleId="12">
    <w:name w:val="Body text|1"/>
    <w:basedOn w:val="1"/>
    <w:link w:val="11"/>
    <w:qFormat/>
    <w:uiPriority w:val="0"/>
    <w:pPr>
      <w:spacing w:line="434" w:lineRule="auto"/>
      <w:ind w:firstLine="400"/>
    </w:pPr>
    <w:rPr>
      <w:rFonts w:ascii="宋体" w:hAnsi="宋体" w:eastAsia="宋体" w:cs="宋体"/>
      <w:sz w:val="28"/>
      <w:szCs w:val="28"/>
      <w:lang w:val="zh-TW" w:eastAsia="zh-TW" w:bidi="zh-TW"/>
    </w:rPr>
  </w:style>
  <w:style w:type="character" w:customStyle="1" w:styleId="13">
    <w:name w:val="Picture caption|1_"/>
    <w:basedOn w:val="7"/>
    <w:link w:val="14"/>
    <w:qFormat/>
    <w:uiPriority w:val="0"/>
    <w:rPr>
      <w:rFonts w:ascii="宋体" w:hAnsi="宋体" w:eastAsia="宋体" w:cs="宋体"/>
      <w:sz w:val="28"/>
      <w:szCs w:val="28"/>
      <w:u w:val="none"/>
      <w:shd w:val="clear" w:color="auto" w:fill="auto"/>
      <w:lang w:val="zh-TW" w:eastAsia="zh-TW" w:bidi="zh-TW"/>
    </w:rPr>
  </w:style>
  <w:style w:type="paragraph" w:customStyle="1" w:styleId="14">
    <w:name w:val="Picture caption|1"/>
    <w:basedOn w:val="1"/>
    <w:link w:val="13"/>
    <w:qFormat/>
    <w:uiPriority w:val="0"/>
    <w:rPr>
      <w:rFonts w:ascii="宋体" w:hAnsi="宋体" w:eastAsia="宋体" w:cs="宋体"/>
      <w:sz w:val="28"/>
      <w:szCs w:val="28"/>
      <w:lang w:val="zh-TW" w:eastAsia="zh-TW" w:bidi="zh-TW"/>
    </w:rPr>
  </w:style>
  <w:style w:type="character" w:customStyle="1" w:styleId="15">
    <w:name w:val="Heading #1|1_"/>
    <w:basedOn w:val="7"/>
    <w:link w:val="16"/>
    <w:qFormat/>
    <w:uiPriority w:val="0"/>
    <w:rPr>
      <w:rFonts w:ascii="宋体" w:hAnsi="宋体" w:eastAsia="宋体" w:cs="宋体"/>
      <w:sz w:val="44"/>
      <w:szCs w:val="44"/>
      <w:u w:val="none"/>
      <w:shd w:val="clear" w:color="auto" w:fill="auto"/>
      <w:lang w:val="zh-TW" w:eastAsia="zh-TW" w:bidi="zh-TW"/>
    </w:rPr>
  </w:style>
  <w:style w:type="paragraph" w:customStyle="1" w:styleId="16">
    <w:name w:val="Heading #1|1"/>
    <w:basedOn w:val="1"/>
    <w:link w:val="15"/>
    <w:qFormat/>
    <w:uiPriority w:val="0"/>
    <w:pPr>
      <w:spacing w:before="120" w:after="500"/>
      <w:jc w:val="center"/>
      <w:outlineLvl w:val="0"/>
    </w:pPr>
    <w:rPr>
      <w:rFonts w:ascii="宋体" w:hAnsi="宋体" w:eastAsia="宋体" w:cs="宋体"/>
      <w:sz w:val="44"/>
      <w:szCs w:val="44"/>
      <w:lang w:val="zh-TW" w:eastAsia="zh-TW" w:bidi="zh-TW"/>
    </w:rPr>
  </w:style>
  <w:style w:type="character" w:customStyle="1" w:styleId="17">
    <w:name w:val="Header or footer|2_"/>
    <w:basedOn w:val="7"/>
    <w:link w:val="18"/>
    <w:qFormat/>
    <w:uiPriority w:val="0"/>
    <w:rPr>
      <w:sz w:val="20"/>
      <w:szCs w:val="20"/>
      <w:u w:val="none"/>
      <w:shd w:val="clear" w:color="auto" w:fill="auto"/>
      <w:lang w:val="zh-TW" w:eastAsia="zh-TW" w:bidi="zh-TW"/>
    </w:rPr>
  </w:style>
  <w:style w:type="paragraph" w:customStyle="1" w:styleId="18">
    <w:name w:val="Header or footer|2"/>
    <w:basedOn w:val="1"/>
    <w:link w:val="17"/>
    <w:qFormat/>
    <w:uiPriority w:val="0"/>
    <w:rPr>
      <w:sz w:val="20"/>
      <w:szCs w:val="20"/>
      <w:lang w:val="zh-TW" w:eastAsia="zh-TW" w:bidi="zh-TW"/>
    </w:rPr>
  </w:style>
  <w:style w:type="character" w:customStyle="1" w:styleId="19">
    <w:name w:val="批注框文本 Char"/>
    <w:basedOn w:val="7"/>
    <w:link w:val="4"/>
    <w:qFormat/>
    <w:uiPriority w:val="0"/>
    <w:rPr>
      <w:rFonts w:eastAsia="Times New Roman"/>
      <w:color w:val="000000"/>
      <w:sz w:val="18"/>
      <w:szCs w:val="18"/>
      <w:lang w:eastAsia="en-US" w:bidi="en-US"/>
    </w:rPr>
  </w:style>
  <w:style w:type="character" w:customStyle="1" w:styleId="20">
    <w:name w:val="not([class*=suffix])"/>
    <w:basedOn w:val="7"/>
    <w:qFormat/>
    <w:uiPriority w:val="0"/>
    <w:rPr>
      <w:sz w:val="19"/>
      <w:szCs w:val="19"/>
    </w:rPr>
  </w:style>
  <w:style w:type="character" w:customStyle="1" w:styleId="21">
    <w:name w:val="not([class*=suffix])1"/>
    <w:basedOn w:val="7"/>
    <w:qFormat/>
    <w:uiPriority w:val="0"/>
  </w:style>
  <w:style w:type="character" w:customStyle="1" w:styleId="22">
    <w:name w:val="wx-space"/>
    <w:basedOn w:val="7"/>
    <w:qFormat/>
    <w:uiPriority w:val="0"/>
  </w:style>
  <w:style w:type="character" w:customStyle="1" w:styleId="23">
    <w:name w:val="wx-space1"/>
    <w:basedOn w:val="7"/>
    <w:qFormat/>
    <w:uiPriority w:val="0"/>
  </w:style>
  <w:style w:type="character" w:customStyle="1" w:styleId="24">
    <w:name w:val="ico-del"/>
    <w:basedOn w:val="7"/>
    <w:qFormat/>
    <w:uiPriority w:val="0"/>
  </w:style>
  <w:style w:type="character" w:customStyle="1" w:styleId="25">
    <w:name w:val="line"/>
    <w:basedOn w:val="7"/>
    <w:qFormat/>
    <w:uiPriority w:val="0"/>
    <w:rPr>
      <w:shd w:val="clear" w:fill="D2D2D2"/>
    </w:rPr>
  </w:style>
  <w:style w:type="character" w:customStyle="1" w:styleId="26">
    <w:name w:val="time2"/>
    <w:basedOn w:val="7"/>
    <w:qFormat/>
    <w:uiPriority w:val="0"/>
    <w:rPr>
      <w:color w:val="9E9E9E"/>
    </w:rPr>
  </w:style>
  <w:style w:type="character" w:customStyle="1" w:styleId="27">
    <w:name w:val="icon"/>
    <w:basedOn w:val="7"/>
    <w:qFormat/>
    <w:uiPriority w:val="0"/>
  </w:style>
  <w:style w:type="character" w:customStyle="1" w:styleId="28">
    <w:name w:val="close"/>
    <w:basedOn w:val="7"/>
    <w:qFormat/>
    <w:uiPriority w:val="0"/>
  </w:style>
  <w:style w:type="character" w:customStyle="1" w:styleId="29">
    <w:name w:val="view"/>
    <w:basedOn w:val="7"/>
    <w:qFormat/>
    <w:uiPriority w:val="0"/>
    <w:rPr>
      <w:color w:val="2E2E2E"/>
      <w:sz w:val="36"/>
      <w:szCs w:val="36"/>
    </w:rPr>
  </w:style>
  <w:style w:type="character" w:customStyle="1" w:styleId="30">
    <w:name w:val="small"/>
    <w:basedOn w:val="7"/>
    <w:qFormat/>
    <w:uiPriority w:val="0"/>
  </w:style>
  <w:style w:type="character" w:customStyle="1" w:styleId="31">
    <w:name w:val="wx"/>
    <w:basedOn w:val="7"/>
    <w:qFormat/>
    <w:uiPriority w:val="0"/>
  </w:style>
  <w:style w:type="character" w:customStyle="1" w:styleId="32">
    <w:name w:val="big"/>
    <w:basedOn w:val="7"/>
    <w:qFormat/>
    <w:uiPriority w:val="0"/>
  </w:style>
  <w:style w:type="character" w:customStyle="1" w:styleId="33">
    <w:name w:val="sina"/>
    <w:basedOn w:val="7"/>
    <w:qFormat/>
    <w:uiPriority w:val="0"/>
  </w:style>
  <w:style w:type="character" w:customStyle="1" w:styleId="34">
    <w:name w:val="print2"/>
    <w:basedOn w:val="7"/>
    <w:qFormat/>
    <w:uiPriority w:val="0"/>
  </w:style>
  <w:style w:type="character" w:customStyle="1" w:styleId="35">
    <w:name w:val="t1"/>
    <w:basedOn w:val="7"/>
    <w:qFormat/>
    <w:uiPriority w:val="0"/>
  </w:style>
  <w:style w:type="character" w:customStyle="1" w:styleId="36">
    <w:name w:val="t2"/>
    <w:basedOn w:val="7"/>
    <w:qFormat/>
    <w:uiPriority w:val="0"/>
  </w:style>
  <w:style w:type="character" w:customStyle="1" w:styleId="37">
    <w:name w:val="on7"/>
    <w:basedOn w:val="7"/>
    <w:qFormat/>
    <w:uiPriority w:val="0"/>
    <w:rPr>
      <w:color w:val="006EAB"/>
    </w:rPr>
  </w:style>
  <w:style w:type="character" w:customStyle="1" w:styleId="38">
    <w:name w:val="icon-a1"/>
    <w:basedOn w:val="7"/>
    <w:qFormat/>
    <w:uiPriority w:val="0"/>
  </w:style>
  <w:style w:type="character" w:customStyle="1" w:styleId="39">
    <w:name w:val="icon-a2"/>
    <w:basedOn w:val="7"/>
    <w:qFormat/>
    <w:uiPriority w:val="0"/>
  </w:style>
  <w:style w:type="character" w:customStyle="1" w:styleId="40">
    <w:name w:val="icon-a3"/>
    <w:basedOn w:val="7"/>
    <w:qFormat/>
    <w:uiPriority w:val="0"/>
  </w:style>
  <w:style w:type="character" w:customStyle="1" w:styleId="41">
    <w:name w:val="icon-a4"/>
    <w:basedOn w:val="7"/>
    <w:qFormat/>
    <w:uiPriority w:val="0"/>
  </w:style>
  <w:style w:type="character" w:customStyle="1" w:styleId="42">
    <w:name w:val="icon-a5"/>
    <w:basedOn w:val="7"/>
    <w:qFormat/>
    <w:uiPriority w:val="0"/>
  </w:style>
  <w:style w:type="character" w:customStyle="1" w:styleId="43">
    <w:name w:val="ico-edit1"/>
    <w:basedOn w:val="7"/>
    <w:qFormat/>
    <w:uiPriority w:val="0"/>
  </w:style>
  <w:style w:type="character" w:customStyle="1" w:styleId="44">
    <w:name w:val="on1"/>
    <w:basedOn w:val="7"/>
    <w:qFormat/>
    <w:uiPriority w:val="0"/>
    <w:rPr>
      <w:color w:val="006EAB"/>
    </w:rPr>
  </w:style>
  <w:style w:type="character" w:customStyle="1" w:styleId="45">
    <w:name w:val="time"/>
    <w:basedOn w:val="7"/>
    <w:qFormat/>
    <w:uiPriority w:val="0"/>
    <w:rPr>
      <w:color w:val="9E9E9E"/>
    </w:rPr>
  </w:style>
  <w:style w:type="character" w:customStyle="1" w:styleId="46">
    <w:name w:val="icon2"/>
    <w:basedOn w:val="7"/>
    <w:qFormat/>
    <w:uiPriority w:val="0"/>
  </w:style>
  <w:style w:type="character" w:customStyle="1" w:styleId="47">
    <w:name w:val="ico-del1"/>
    <w:basedOn w:val="7"/>
    <w:qFormat/>
    <w:uiPriority w:val="0"/>
  </w:style>
  <w:style w:type="character" w:customStyle="1" w:styleId="48">
    <w:name w:val="on"/>
    <w:basedOn w:val="7"/>
    <w:qFormat/>
    <w:uiPriority w:val="0"/>
    <w:rPr>
      <w:color w:val="006EAB"/>
    </w:rPr>
  </w:style>
  <w:style w:type="character" w:customStyle="1" w:styleId="49">
    <w:name w:val="nth-of-type(2)1"/>
    <w:basedOn w:val="7"/>
    <w:qFormat/>
    <w:uiPriority w:val="0"/>
  </w:style>
  <w:style w:type="character" w:customStyle="1" w:styleId="50">
    <w:name w:val="nth-of-type(1)"/>
    <w:basedOn w:val="7"/>
    <w:qFormat/>
    <w:uiPriority w:val="0"/>
  </w:style>
  <w:style w:type="character" w:customStyle="1" w:styleId="51">
    <w:name w:val="nth-of-type(3)"/>
    <w:basedOn w:val="7"/>
    <w:qFormat/>
    <w:uiPriority w:val="0"/>
  </w:style>
  <w:style w:type="character" w:customStyle="1" w:styleId="52">
    <w:name w:val="hover30"/>
    <w:basedOn w:val="7"/>
    <w:qFormat/>
    <w:uiPriority w:val="0"/>
    <w:rPr>
      <w:color w:val="98DE00"/>
    </w:rPr>
  </w:style>
  <w:style w:type="character" w:customStyle="1" w:styleId="53">
    <w:name w:val="t12"/>
    <w:basedOn w:val="7"/>
    <w:qFormat/>
    <w:uiPriority w:val="0"/>
  </w:style>
  <w:style w:type="character" w:customStyle="1" w:styleId="54">
    <w:name w:val="print"/>
    <w:basedOn w:val="7"/>
    <w:qFormat/>
    <w:uiPriority w:val="0"/>
  </w:style>
  <w:style w:type="character" w:customStyle="1" w:styleId="55">
    <w:name w:val="on9"/>
    <w:basedOn w:val="7"/>
    <w:qFormat/>
    <w:uiPriority w:val="0"/>
    <w:rPr>
      <w:color w:val="006EAB"/>
    </w:rPr>
  </w:style>
  <w:style w:type="character" w:customStyle="1" w:styleId="56">
    <w:name w:val="nth-of-type(2)"/>
    <w:basedOn w:val="7"/>
    <w:qFormat/>
    <w:uiPriority w:val="0"/>
  </w:style>
  <w:style w:type="character" w:customStyle="1" w:styleId="57">
    <w:name w:val="ico-edit"/>
    <w:basedOn w:val="7"/>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1312</Words>
  <Characters>1327</Characters>
  <Lines>9</Lines>
  <Paragraphs>2</Paragraphs>
  <TotalTime>23</TotalTime>
  <ScaleCrop>false</ScaleCrop>
  <LinksUpToDate>false</LinksUpToDate>
  <CharactersWithSpaces>1336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2022-08-23T08:44:00Z</dcterms:created>
  <dc:creator>Administrator</dc:creator>
  <cp:lastModifiedBy>greatwall</cp:lastModifiedBy>
  <cp:lastPrinted>2022-10-10T16:03:00Z</cp:lastPrinted>
  <dcterms:modified xsi:type="dcterms:W3CDTF">2026-07-28T11:38:35Z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824110C75F16CD713B24686AA831D4F5_43</vt:lpwstr>
  </property>
</Properties>
</file>