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2025年度怀化市供销合作联合社整体支出绩效自评报告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一、部门概况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（一）部门（单位）基本情况。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rightChars="0" w:firstLine="640" w:firstLineChars="200"/>
        <w:jc w:val="both"/>
        <w:textAlignment w:val="auto"/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eastAsia="仿宋_GB2312" w:cs="仿宋_GB2312"/>
          <w:color w:val="000000"/>
          <w:spacing w:val="0"/>
          <w:sz w:val="32"/>
          <w:szCs w:val="32"/>
          <w:lang w:val="en-US" w:eastAsia="zh-CN"/>
        </w:rPr>
        <w:t>怀化市供销合作联合社</w:t>
      </w:r>
      <w:r>
        <w:rPr>
          <w:rFonts w:hint="eastAsia" w:ascii="仿宋_GB2312" w:eastAsia="仿宋_GB2312" w:cs="仿宋_GB2312"/>
          <w:color w:val="000000"/>
          <w:spacing w:val="0"/>
          <w:sz w:val="32"/>
          <w:szCs w:val="32"/>
        </w:rPr>
        <w:t>内设7个职能科（室），分别为办公室、财会科、农村电子商务科、合作安全科、经贸发展科、监督审计科（监事会办公室）、人事科</w:t>
      </w:r>
      <w:r>
        <w:rPr>
          <w:rFonts w:hint="eastAsia" w:ascii="仿宋_GB2312" w:eastAsia="仿宋_GB2312" w:cs="仿宋_GB2312"/>
          <w:color w:val="000000"/>
          <w:spacing w:val="0"/>
          <w:sz w:val="32"/>
          <w:szCs w:val="32"/>
          <w:lang w:eastAsia="zh-CN"/>
        </w:rPr>
        <w:t>；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全额拨款事业编制为29名（其中后勤服务事业编制2名）。其中：理事会主任1名，副主任3名，监事会主任1名，总经济师1名，工会主任1名，科（室）领导职数13名。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lang w:eastAsia="zh-CN" w:bidi="ar"/>
        </w:rPr>
        <w:t>202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年末实有在职人数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lang w:eastAsia="zh-CN" w:bidi="ar"/>
        </w:rPr>
        <w:t>28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人；单位主要职能职责是贯彻执行国家、省有关农村经济工作的方针、政策、法规；研究拟定全市供销合作社的发展规划、体制改革方案；指导全市供销合作社的改革和发展，组织市供销社所属单位具体实施；根据市人民政府授权，指导全市有关农业生产资料和农副产品政策性业务经营工作；指导各级供销社开拓农村市场，推动全市供销社组织农民进入市场，发展农业产业化经营，为农业、农村和农民提供综合服务，建立和完善本系统为农业生产和农村经济发展服务的体系；预测预报相关的市场信息；指导和监督供销社系统的资产管理，依法维护供销社的合法权益；指导供销社系统的科技开发和推广应用工作，推进科教兴社；研究制订市供销社直属单位人事、财务、资产的管理制度，并组织实施，确保社有资产的保值增值；指导供销社系统组织建设、队伍建设和干部、职工教育培训工作；承办市委、市人民政府交办的其他事项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640" w:firstLineChars="200"/>
        <w:jc w:val="both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部门（单位）整体支出规模、使用方向和主要内容、涉及范围等。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640" w:firstLineChars="200"/>
        <w:jc w:val="both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2025年，</w:t>
      </w:r>
      <w:r>
        <w:rPr>
          <w:rFonts w:hint="default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怀化市供销合作联合社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一般公共</w:t>
      </w: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lang w:eastAsia="zh-CN" w:bidi="ar"/>
        </w:rPr>
        <w:t>预算财政拨款收入年初</w:t>
      </w:r>
      <w:r>
        <w:rPr>
          <w:rFonts w:hint="eastAsia" w:ascii="仿宋_GB2312" w:hAnsi="Calibri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预算</w:t>
      </w:r>
      <w:r>
        <w:rPr>
          <w:rFonts w:hint="default" w:ascii="仿宋_GB2312" w:eastAsia="仿宋_GB2312" w:cs="仿宋_GB2312"/>
          <w:color w:val="auto"/>
          <w:spacing w:val="0"/>
          <w:kern w:val="0"/>
          <w:sz w:val="32"/>
          <w:szCs w:val="32"/>
          <w:lang w:eastAsia="zh-CN" w:bidi="ar"/>
        </w:rPr>
        <w:t>数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722.75万元，</w:t>
      </w:r>
      <w:r>
        <w:rPr>
          <w:rFonts w:hint="default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全年预算数7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18.49</w:t>
      </w:r>
      <w:r>
        <w:rPr>
          <w:rFonts w:hint="default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万元，决算数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704.54万元</w:t>
      </w:r>
      <w:r>
        <w:rPr>
          <w:rFonts w:hint="default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其中基本支出619.29万元，占总支出的87.90%；项目支出85.25万元，占总支出的12.10%</w:t>
      </w:r>
      <w:r>
        <w:rPr>
          <w:rFonts w:hint="default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）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。主要</w:t>
      </w:r>
      <w:r>
        <w:rPr>
          <w:rFonts w:hint="default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支出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内容是人员工资、社会保障缴费、以及保障机关正常运转、完成日常工作任务而发生的商品和服务支出，涵盖供销社综合改革工作、乡村振兴、农村电子商务、农产品销售、社有企业改革发展等工作。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二、一般公共预算支出情况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（一）基本支出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3" w:lineRule="atLeast"/>
        <w:ind w:left="0" w:leftChars="0" w:right="0" w:firstLine="632"/>
        <w:jc w:val="both"/>
        <w:textAlignment w:val="auto"/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202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年度</w:t>
      </w:r>
      <w:r>
        <w:rPr>
          <w:rFonts w:ascii="仿宋_GB2312" w:hAnsi="宋体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怀化市供销合作联合社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财政拨款基本支出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619.29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万元，其中：</w:t>
      </w:r>
      <w:r>
        <w:rPr>
          <w:rFonts w:hint="default" w:ascii="仿宋_GB2312" w:eastAsia="仿宋_GB2312" w:cs="仿宋_GB2312"/>
          <w:color w:val="auto"/>
          <w:spacing w:val="0"/>
          <w:sz w:val="32"/>
          <w:szCs w:val="32"/>
        </w:rPr>
        <w:t>工资福利支出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458.67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万元,主要包括基本工资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163.74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万元、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津贴补贴74.43万元、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奖金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119.84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万元</w:t>
      </w:r>
      <w:r>
        <w:rPr>
          <w:rFonts w:hint="default" w:ascii="仿宋_GB2312" w:eastAsia="仿宋_GB2312" w:cs="仿宋_GB2312"/>
          <w:color w:val="auto"/>
          <w:spacing w:val="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机关事业基本养老保险缴费</w:t>
      </w:r>
      <w:r>
        <w:rPr>
          <w:rFonts w:hint="default" w:ascii="仿宋_GB2312" w:eastAsia="仿宋_GB2312" w:cs="仿宋_GB2312"/>
          <w:color w:val="auto"/>
          <w:spacing w:val="0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44.61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万元、职工基本医疗保险缴费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18.55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万元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住房公积金37.49万元</w:t>
      </w:r>
      <w:r>
        <w:rPr>
          <w:rFonts w:hint="default" w:ascii="仿宋_GB2312" w:eastAsia="仿宋_GB2312" w:cs="仿宋_GB2312"/>
          <w:color w:val="auto"/>
          <w:spacing w:val="0"/>
          <w:sz w:val="32"/>
          <w:szCs w:val="32"/>
        </w:rPr>
        <w:t>；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商品和服务支出75.53万元，主要包括办公费1.32万元、水电费0.72万元、邮电费0.23万元、差旅费0.58万元、维修（护）费0.84万元、培训费0.07万元、工会经费9.04万元、福利费35.32万元、公车运行维护费0.50万元、其他交通费25.79万元、其他商品和服务支出1.12万元；</w:t>
      </w:r>
      <w:r>
        <w:rPr>
          <w:rFonts w:hint="default" w:ascii="仿宋_GB2312" w:eastAsia="仿宋_GB2312" w:cs="仿宋_GB2312"/>
          <w:color w:val="auto"/>
          <w:spacing w:val="0"/>
          <w:sz w:val="32"/>
          <w:szCs w:val="32"/>
        </w:rPr>
        <w:t>对个人和家庭的补助支出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85.10</w:t>
      </w:r>
      <w:r>
        <w:rPr>
          <w:rFonts w:hint="default" w:ascii="仿宋_GB2312" w:eastAsia="仿宋_GB2312" w:cs="仿宋_GB2312"/>
          <w:color w:val="auto"/>
          <w:spacing w:val="0"/>
          <w:sz w:val="32"/>
          <w:szCs w:val="32"/>
        </w:rPr>
        <w:t>万元，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主要包括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离休费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16.64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万元、生活补助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val="en-US" w:eastAsia="zh-CN"/>
        </w:rPr>
        <w:t>68.46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</w:rPr>
        <w:t>万元</w:t>
      </w:r>
      <w:r>
        <w:rPr>
          <w:rFonts w:hint="eastAsia" w:ascii="仿宋_GB2312" w:eastAsia="仿宋_GB2312" w:cs="仿宋_GB2312"/>
          <w:color w:val="auto"/>
          <w:spacing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（二）项目支出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1、项目资金（包括财政资金、自筹资金等）安排落实、总投入等情况分析。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_GB2312" w:eastAsia="仿宋_GB2312" w:cs="仿宋_GB2312" w:hAnsiTheme="minorHAnsi"/>
          <w:color w:val="FF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供销综合改革工作项目资金年初申报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80</w:t>
      </w:r>
      <w:r>
        <w:rPr>
          <w:rFonts w:hint="eastAsia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万元，财政批复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80</w:t>
      </w:r>
      <w:r>
        <w:rPr>
          <w:rFonts w:hint="eastAsia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万元，实际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使用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74.77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万元；电子商务平台服务费项目资金年初申报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7.5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万元，财政批复7.5万元，实际使用7.5万元；202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-202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年化肥淡季储备项目资金年初申报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70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万元，财政批复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70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万元，实际使用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2.99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万元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化肥淡季储备工作为跨年度工作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2、项目资金（主要指财政资金）实际使用情况分析。</w:t>
      </w:r>
    </w:p>
    <w:p>
      <w:pPr>
        <w:pStyle w:val="3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供销综合改革工作项目资金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实际使用74.77万元，主要包括</w:t>
      </w:r>
      <w:r>
        <w:rPr>
          <w:rFonts w:hint="default" w:ascii="仿宋_GB2312" w:eastAsia="仿宋_GB2312" w:cs="仿宋_GB2312"/>
          <w:color w:val="auto"/>
          <w:spacing w:val="0"/>
          <w:kern w:val="0"/>
          <w:sz w:val="32"/>
          <w:szCs w:val="32"/>
          <w:lang w:eastAsia="zh-CN" w:bidi="ar"/>
        </w:rPr>
        <w:t>开展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综合改革工作</w:t>
      </w:r>
      <w:r>
        <w:rPr>
          <w:rFonts w:hint="default" w:ascii="仿宋_GB2312" w:eastAsia="仿宋_GB2312" w:cs="仿宋_GB2312"/>
          <w:color w:val="auto"/>
          <w:spacing w:val="0"/>
          <w:kern w:val="0"/>
          <w:sz w:val="32"/>
          <w:szCs w:val="32"/>
          <w:lang w:eastAsia="zh-CN" w:bidi="ar"/>
        </w:rPr>
        <w:t>中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的</w:t>
      </w:r>
      <w:r>
        <w:rPr>
          <w:rFonts w:hint="default" w:ascii="仿宋_GB2312" w:eastAsia="仿宋_GB2312" w:cs="仿宋_GB2312"/>
          <w:color w:val="auto"/>
          <w:spacing w:val="0"/>
          <w:kern w:val="0"/>
          <w:sz w:val="32"/>
          <w:szCs w:val="32"/>
          <w:lang w:eastAsia="zh-CN" w:bidi="ar"/>
        </w:rPr>
        <w:t>社有企业资产评估、社属企业监督审计、</w:t>
      </w:r>
      <w:r>
        <w:rPr>
          <w:rFonts w:hint="eastAsia" w:ascii="仿宋_GB2312" w:hAnsi="Calibri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基层社赋权赋能试点</w:t>
      </w:r>
      <w:r>
        <w:rPr>
          <w:rFonts w:hint="default" w:ascii="仿宋_GB2312" w:eastAsia="仿宋_GB2312" w:cs="仿宋_GB2312"/>
          <w:color w:val="auto"/>
          <w:spacing w:val="0"/>
          <w:kern w:val="0"/>
          <w:sz w:val="32"/>
          <w:szCs w:val="32"/>
          <w:lang w:eastAsia="zh-CN" w:bidi="ar"/>
        </w:rPr>
        <w:t>等工作支出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；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电子商务平台服务费项目资金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实际使用7.5万元，主要包括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32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”平台运行和服务费支出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202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-202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年化肥淡季储备项目资金</w:t>
      </w:r>
      <w:r>
        <w:rPr>
          <w:rFonts w:hint="eastAsia" w:asci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实际使用2.99万元，主要用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于</w:t>
      </w:r>
      <w:r>
        <w:rPr>
          <w:rFonts w:hint="default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开展对承储企业招标工作费用支出</w:t>
      </w:r>
      <w:r>
        <w:rPr>
          <w:rFonts w:hint="eastAsia" w:ascii="仿宋_GB2312" w:eastAsia="仿宋_GB2312" w:cs="仿宋_GB2312" w:hAnsiTheme="minorHAnsi"/>
          <w:color w:val="auto"/>
          <w:spacing w:val="0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3、项目资金管理情况分析，主要包括管理制度、办法的制订及执行情况。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70C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一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是</w:t>
      </w:r>
      <w:r>
        <w:rPr>
          <w:rFonts w:hint="eastAsia" w:asci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严格执行相关制度，按照《怀化市本级财政专项资金管理办法》、《怀化市本级政府投资项目工程预结（决）算管理办法》、《怀化市政府集中采购限额标准（2022版）》等相关制度，</w:t>
      </w:r>
      <w:r>
        <w:rPr>
          <w:rFonts w:hint="eastAsia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明确资金拨付流程、使用范围和监管责任，确保专款专用；二是强化刚性执行，严格按预算及合同条款支付款项，大额支出履行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“三重一大”</w:t>
      </w:r>
      <w:r>
        <w:rPr>
          <w:rFonts w:hint="eastAsia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决策程序；三是实施动态监控，通过台账跟踪、凭证抽查、绩效比对等方式，核查资金使用合规性与效益，确保资金安全高效运行，有力保障项目顺利实施。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（一）项目组织情况分析，主要包括项目招投标、调整、竣工验收等情况。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我单位</w:t>
      </w:r>
      <w:r>
        <w:rPr>
          <w:rFonts w:hint="eastAsia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项目组织规范有序，关键环节把控有力。</w:t>
      </w:r>
      <w:r>
        <w:rPr>
          <w:rFonts w:hint="default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 严格执行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项目招投标</w:t>
      </w:r>
      <w:r>
        <w:rPr>
          <w:rFonts w:hint="default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相关规定，确保公开、公平、公正，所有采购均依法依规进行。项目竣工后，及时组织了由相关科室及专业人员参与的验收小组，对照合同及技术标准进行了实地查验和资料审核，验收结论合格，项目成果符合预期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（二）项目管理情况分析，主要包括项目管理制度建设、日常检查监督管理等情况。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一是完善制度建设，明确项目立项、实施、验收全流程规范，强化风险防控要求；二是强化日常监督，通过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内部审计</w:t>
      </w:r>
      <w:r>
        <w:rPr>
          <w:rFonts w:hint="default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等方式，重点核查资金使用合规性、进度匹配度及质量达标情况</w:t>
      </w:r>
      <w:r>
        <w:rPr>
          <w:rFonts w:hint="eastAsia" w:ascii="仿宋_GB2312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；</w:t>
      </w:r>
      <w:r>
        <w:rPr>
          <w:rFonts w:hint="default" w:ascii="仿宋_GB2312" w:eastAsia="仿宋_GB2312" w:cs="仿宋_GB2312" w:hAnsiTheme="minorHAnsi"/>
          <w:color w:val="000000"/>
          <w:spacing w:val="0"/>
          <w:kern w:val="0"/>
          <w:sz w:val="32"/>
          <w:szCs w:val="32"/>
          <w:lang w:val="en-US" w:eastAsia="zh-CN" w:bidi="ar"/>
        </w:rPr>
        <w:t>三是落实闭环管理，建立“检查-反馈-整改-销号”工作机制，确保各项管理要求落地见效，为项目规范高效实施提供坚实保障。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default" w:ascii="仿宋" w:hAnsi="仿宋" w:eastAsia="仿宋" w:cs="仿宋_GB2312"/>
          <w:color w:val="000000"/>
          <w:sz w:val="32"/>
          <w:szCs w:val="32"/>
        </w:rPr>
        <w:t>本单位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狠抓固定资产管理基础工作，加强政府采购的执行力度，确保政府采购工作健康有序进行，加强资产信息化建设，完成固定资产折旧，实现资产动态管理，提高资产使用效益。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 </w:t>
      </w:r>
      <w:r>
        <w:rPr>
          <w:rFonts w:hint="default" w:asci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eastAsia="zh-CN" w:bidi="ar"/>
        </w:rPr>
        <w:t>一是</w:t>
      </w:r>
      <w:r>
        <w:rPr>
          <w:rFonts w:hint="eastAsia" w:asci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对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单位确需购置和维修的固定资产，由办公室列出计划和预算，报社领导批准。对于属于政府采购的项目和维修项目必须执行政府采购，采购与验收实行专人负责。所有资产购买必须从政采云采购。对大宗、贵重物品，社领导必须亲自参与验收。</w:t>
      </w:r>
      <w:r>
        <w:rPr>
          <w:rFonts w:hint="default" w:asci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eastAsia="zh-CN" w:bidi="ar"/>
        </w:rPr>
        <w:t>二是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对除房屋、建筑物以外的固定资产实行“谁使用、谁保管、谁维护”的原则，对故意造成物资毁损的，应照价赔偿。</w:t>
      </w:r>
      <w:r>
        <w:rPr>
          <w:rFonts w:hint="default" w:asci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eastAsia="zh-CN" w:bidi="ar"/>
        </w:rPr>
        <w:t>三是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处置固定资产时，由办公室人员填写《国有资产处置审批表》一式四份，同时提供被处置资产的有关资料（包括被处置资产原始凭证复印证、鉴定资料及有关证明等），报分管领导审定，并经财政部门审批批准后进行处置。对固定资产以外的财产物资，由相关责任人员提出意见，报办公室按金额大小分别报分管领导审批。</w:t>
      </w:r>
      <w:r>
        <w:rPr>
          <w:rFonts w:hint="default" w:asci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eastAsia="zh-CN" w:bidi="ar"/>
        </w:rPr>
        <w:t>四是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为保证单位财务物资的账实相符，不定期开展财产物资的清查盘点工作。办公室牵头、使用部门、保管部门配合，对单位财产物资进行具体的清查盘点。</w:t>
      </w:r>
      <w:r>
        <w:rPr>
          <w:rFonts w:hint="default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eastAsia="zh-CN" w:bidi="ar"/>
        </w:rPr>
        <w:t>五是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为规范社有企业管理，</w:t>
      </w:r>
      <w:r>
        <w:rPr>
          <w:rFonts w:hint="default" w:asci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eastAsia="zh-CN" w:bidi="ar"/>
        </w:rPr>
        <w:t>本单位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印发了《怀化市供销合作联合社社有资产监督管理实施办法（试行）》</w:t>
      </w:r>
      <w:r>
        <w:rPr>
          <w:rFonts w:hint="default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五、政府性基金预算支出情况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lang w:eastAsia="zh-CN" w:bidi="ar"/>
        </w:rPr>
        <w:t>本单位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无此项支出。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六、国有资本经营预算支出情况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lang w:eastAsia="zh-CN" w:bidi="ar"/>
        </w:rPr>
        <w:t>本单位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无此项支出。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七、社会保险基金预算支出情况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eastAsia="仿宋_GB2312" w:cs="仿宋_GB2312"/>
          <w:color w:val="000000"/>
          <w:spacing w:val="0"/>
          <w:kern w:val="0"/>
          <w:sz w:val="32"/>
          <w:szCs w:val="32"/>
          <w:lang w:eastAsia="zh-CN" w:bidi="ar"/>
        </w:rPr>
        <w:t>本单位</w:t>
      </w:r>
      <w:r>
        <w:rPr>
          <w:rFonts w:hint="eastAsia" w:ascii="仿宋_GB2312" w:hAnsi="Calibri" w:eastAsia="仿宋_GB2312" w:cs="仿宋_GB2312"/>
          <w:color w:val="000000"/>
          <w:spacing w:val="0"/>
          <w:kern w:val="0"/>
          <w:sz w:val="32"/>
          <w:szCs w:val="32"/>
          <w:lang w:val="en-US" w:eastAsia="zh-CN" w:bidi="ar"/>
        </w:rPr>
        <w:t>无此项支出。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八、部门整体支出绩效情况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2" w:firstLineChars="200"/>
        <w:jc w:val="both"/>
        <w:textAlignment w:val="auto"/>
        <w:outlineLvl w:val="9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1.深化综合改革，夯实组织体系。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基层社建设提质增效。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启动建设“千县千社”示范基层社的涉农县8个，建设“五有三好五统一”标准基层社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示范社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14个，“三年筑基”行动新建基层社36个、提质改造基层社145个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社有资产有效保障。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成功推动日杂公司与海天公司资产仲裁案件取得关键进展，依法保障了2820平方米社有资产及相应过渡费用未发生遗失或侵占。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遗留问题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妥善处理。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积极推进国贸大厦资产处置工作，妥善解决楼上14户历史遗留产权问题。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社有企业改革稳步推进。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对日杂公司开展全面清账和档案梳理工作，为后续企业改制、资产整合和市场化运作做好充分准备。平稳有序推进供销社系统改制企业职工退休安置工作，切实保障职工合法权益，维护系统和谐稳定。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安全生产工作常抓不懈。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组织本系统开展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“地毯式”大排查，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排查出安全隐患23处，完成整改23处，</w:t>
      </w:r>
      <w:r>
        <w:rPr>
          <w:rFonts w:hint="eastAsia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切实防范化解各类安全风险，坚决防范重特大事故发生。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2" w:firstLineChars="200"/>
        <w:jc w:val="both"/>
        <w:textAlignment w:val="auto"/>
        <w:outlineLvl w:val="9"/>
        <w:rPr>
          <w:rFonts w:hint="default"/>
          <w:lang w:val="en-US"/>
        </w:rPr>
      </w:pP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2.聚焦主责主业，精准为农服务。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农产品销售工作成效显著。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2025年，通过平台服务、直播带货等多种方式，推动农产品线上销售实现跨越式增长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线下网络建设不断完善。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建设了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荆坪古村“供销小院”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榆树湾综合体“新晃三宝”样板店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开展了怀化地区军民融合集中筹措试点工作，构建了线上线下相融合的农产品流通网络体系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进一步深化与中国供销集团在商贸流通体系建设、特色农产品加工、冷链仓储物流等领域务实合作，在中国供销集团在怀投资建设陆港、芷江、麻阳三大产业园的基础上，打通农产品供应链渠道，积极推进本地区消费帮扶工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对成熟的项目积极争取上级资金开展物流体系建设。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产品流通效率不断提升。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采取股份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合作、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资源合作等方式，培育了怀化供销集团有限公司、怀化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供销供应链管理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有限公司、怀化乐毅电子商务有限公司等一批农产品流通骨干企业。联合湖南省供销集团在怀化开展社区新零售，开设10家社区服务实体店，建设7个供销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基地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农场。坚持以“怀乡怀品”区域公共品牌统领全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系统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农产品，培育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本系统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农产品品牌5个。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联动靖州成功举办第四届全国茯苓大会，助力千年茯苓产业蝶变；支持溆浦培育柑橘“新农人”、洪江推广“稻油轮作”模式，激活乡村产业新动能。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流动供销工作稳步推进。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按照省委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省政府主要领导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的指示批示精神以及省供销总社的工作安排部署，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针对偏远乡村服务覆盖不足的民生痛点，主动作为，因地制宜地开展流动供销工作，将综合服务精准直达偏远山区、边际界区与交通盲区，有效破解农民面临的“买难卖难”困局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农资保供作用充分发挥。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怀化市供销系统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已建成以市、县、乡、村四级供销社联合运营平台为主体的农资供应网络，深度开展农资化肥淡储工作，着力确保农资质优价稳、供应安全可靠。</w:t>
      </w:r>
      <w:r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军民融合筹措试点工作扎实推进。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怀化地区副食品军民融合集中筹措模式创新试点工作严格遵循“部队提需求、政府搭平台、企业搞保障”的总体思路，以构建规范高效、安全可靠的新型副食品保障体系为目标。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0" w:firstLine="640" w:firstLineChars="200"/>
        <w:jc w:val="both"/>
        <w:textAlignment w:val="auto"/>
        <w:rPr>
          <w:rFonts w:ascii="仿宋_GB2312" w:hAnsi="仿宋_GB2312" w:eastAsia="仿宋_GB2312" w:cs="仿宋_GB2312"/>
          <w:bCs/>
          <w:color w:val="auto"/>
          <w:sz w:val="32"/>
          <w:szCs w:val="32"/>
          <w:lang w:val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预算编制需进一步科学完善</w:t>
      </w:r>
      <w:r>
        <w:rPr>
          <w:rFonts w:hint="default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lang w:val="zh-CN"/>
        </w:rPr>
        <w:t>未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</w:rPr>
        <w:t>能完全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lang w:val="zh-CN"/>
        </w:rPr>
        <w:t>贯彻“零基预算”理念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</w:rPr>
        <w:t>，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lang w:val="zh-CN"/>
        </w:rPr>
        <w:t>立足单位实际，重新研究项目、人员配置等，或者不与工作计划挂钩，确定的预算准确性、合理性欠佳。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0" w:right="0" w:firstLine="640" w:firstLineChars="200"/>
        <w:jc w:val="both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default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项目进展执行力度需进一步加强</w:t>
      </w:r>
      <w:r>
        <w:rPr>
          <w:rFonts w:hint="default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lang w:val="zh-CN"/>
        </w:rPr>
        <w:t>预算管理理念较弱，缺乏对资金使用的控制和对预算执行情况的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  <w:lang w:val="zh-CN"/>
        </w:rPr>
        <w:t>分析，不能合理安排预算资金使用进度，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同时由于项目验收时间一般在年末，导致资金支付相对集中，预算执行均衡性有待进一步提高。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十、下一步改进措施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Chars="0" w:firstLine="643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（一）</w:t>
      </w:r>
      <w:r>
        <w:rPr>
          <w:rFonts w:hint="default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科学编制预算，不断</w:t>
      </w: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提高预算编制质量</w:t>
      </w:r>
      <w:r>
        <w:rPr>
          <w:rFonts w:hint="default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Chars="0" w:firstLine="640" w:firstLineChars="200"/>
        <w:jc w:val="both"/>
        <w:textAlignment w:val="auto"/>
        <w:rPr>
          <w:rFonts w:ascii="仿宋_GB2312" w:hAnsi="仿宋_GB2312" w:eastAsia="仿宋_GB2312" w:cs="仿宋_GB2312"/>
          <w:bCs/>
          <w:color w:val="000000"/>
          <w:sz w:val="32"/>
          <w:szCs w:val="32"/>
          <w:lang w:val="zh-CN"/>
        </w:rPr>
      </w:pPr>
      <w:r>
        <w:rPr>
          <w:rFonts w:ascii="仿宋_GB2312" w:hAnsi="仿宋_GB2312" w:eastAsia="仿宋_GB2312" w:cs="仿宋_GB2312"/>
          <w:bCs/>
          <w:color w:val="000000"/>
          <w:sz w:val="32"/>
          <w:szCs w:val="32"/>
        </w:rPr>
        <w:t>一是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  <w:lang w:val="zh-CN"/>
        </w:rPr>
        <w:t>把握好预算工作全局性、前瞻性要求，梳理好所需列入预算的收支项目。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</w:rPr>
        <w:t>二是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  <w:lang w:val="zh-CN"/>
        </w:rPr>
        <w:t>加强与业务部门的沟通协调，对项目支出进行深入的论证与分析，全面考虑项目成本及预算期间的支出。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zh-CN"/>
        </w:rPr>
        <w:t>人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  <w:lang w:val="zh-CN"/>
        </w:rPr>
        <w:t>员经费、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zh-CN"/>
        </w:rPr>
        <w:t>公用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  <w:lang w:val="zh-CN"/>
        </w:rPr>
        <w:t>经费，根据定员定额标准确定预算，或者根据历史数据采用增量预算方法确定，同时，完善预算一体化系统中的基础信息库，为基本支出预算编制提供辅助支撑；项目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zh-CN"/>
        </w:rPr>
        <w:t>预算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  <w:lang w:val="zh-CN"/>
        </w:rPr>
        <w:t>应采用零基预算方法编制，逐项审核每项支出的合理性和必要性。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Chars="0" w:firstLine="643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default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加强绩效考评，不断提升</w:t>
      </w: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预算执行力度</w:t>
      </w:r>
      <w:r>
        <w:rPr>
          <w:rFonts w:hint="default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40" w:lineRule="atLeast"/>
        <w:ind w:left="0" w:leftChars="0" w:right="0" w:firstLine="632"/>
        <w:jc w:val="both"/>
        <w:textAlignment w:val="auto"/>
        <w:rPr>
          <w:rFonts w:hint="eastAsia" w:ascii="仿宋_GB2312" w:eastAsia="仿宋_GB2312" w:cs="仿宋_GB2312"/>
          <w:color w:val="000000"/>
          <w:sz w:val="24"/>
          <w:szCs w:val="24"/>
        </w:rPr>
      </w:pPr>
      <w:r>
        <w:rPr>
          <w:rFonts w:hint="default" w:ascii="仿宋_GB2312" w:hAnsi="仿宋_GB2312" w:eastAsia="仿宋_GB2312" w:cs="仿宋_GB2312"/>
          <w:bCs/>
          <w:color w:val="000000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zh-CN"/>
        </w:rPr>
        <w:t>将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  <w:lang w:val="zh-CN"/>
        </w:rPr>
        <w:t>绩效考评贯穿预算编制、预算决策、预算执行及决算的全过程，做到“花钱必问效，无效必追责”，保证财政资金配置、使用和评价的公平性和高效性。</w:t>
      </w:r>
      <w:r>
        <w:rPr>
          <w:rFonts w:hint="default" w:ascii="仿宋_GB2312" w:hAnsi="仿宋_GB2312" w:eastAsia="仿宋_GB2312" w:cs="仿宋_GB2312"/>
          <w:bCs/>
          <w:color w:val="000000"/>
          <w:sz w:val="32"/>
          <w:szCs w:val="32"/>
        </w:rPr>
        <w:t>二是</w:t>
      </w:r>
      <w:r>
        <w:rPr>
          <w:rFonts w:ascii="仿宋_GB2312" w:hAnsi="仿宋_GB2312" w:eastAsia="仿宋_GB2312" w:cs="仿宋_GB2312"/>
          <w:bCs/>
          <w:color w:val="000000"/>
          <w:sz w:val="32"/>
          <w:szCs w:val="32"/>
          <w:lang w:val="zh-CN"/>
        </w:rPr>
        <w:t>加强绩效评价结果的应用，将其作为编制以后年度预算的依据。</w:t>
      </w:r>
      <w:r>
        <w:rPr>
          <w:rFonts w:hint="default" w:ascii="仿宋_GB2312" w:hAnsi="仿宋_GB2312" w:eastAsia="仿宋_GB2312" w:cs="仿宋_GB2312"/>
          <w:bCs/>
          <w:color w:val="000000"/>
          <w:sz w:val="32"/>
          <w:szCs w:val="32"/>
        </w:rPr>
        <w:t>三是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强化监督检查项目执行进度，及时办理结算、验收手续，进一步加快资金的支付进度。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十一、绩效自评结果拟应用和公开情况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绩效自评结果将作为下年部门预算安排的重要依据，与预算调整和项目安排挂钩。拟于6月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怀化市供销合作联合社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官网上公开。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十二、其他需要说明的情况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无其他需要说明的情况。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1.部门整体支出绩效评价基础数据表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2.部门整体支出绩效自评表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3.项目支出绩效自评表（每个一级项目支出一张表）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imes New Roman Regular">
    <w:altName w:val="DejaVu Sans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EB441"/>
    <w:multiLevelType w:val="singleLevel"/>
    <w:tmpl w:val="4C7EB44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013C3"/>
    <w:rsid w:val="297BA2F4"/>
    <w:rsid w:val="3B6363FD"/>
    <w:rsid w:val="3C5065B2"/>
    <w:rsid w:val="44E013C3"/>
    <w:rsid w:val="520643BA"/>
    <w:rsid w:val="5B57718D"/>
    <w:rsid w:val="6FEF66F4"/>
    <w:rsid w:val="754601B3"/>
    <w:rsid w:val="7EFF1D9A"/>
    <w:rsid w:val="FE72E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widowControl w:val="0"/>
      <w:spacing w:line="288" w:lineRule="auto"/>
      <w:jc w:val="both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note text"/>
    <w:basedOn w:val="1"/>
    <w:next w:val="1"/>
    <w:qFormat/>
    <w:uiPriority w:val="0"/>
    <w:pPr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4459</Words>
  <Characters>4664</Characters>
  <Lines>0</Lines>
  <Paragraphs>0</Paragraphs>
  <TotalTime>2</TotalTime>
  <ScaleCrop>false</ScaleCrop>
  <LinksUpToDate>false</LinksUpToDate>
  <CharactersWithSpaces>4682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2026-06-16T02:57:00Z</dcterms:created>
  <dc:creator>。。。</dc:creator>
  <cp:lastModifiedBy>greatwall</cp:lastModifiedBy>
  <dcterms:modified xsi:type="dcterms:W3CDTF">2026-09-24T16:50:57Z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9B114F3BFF1848B0B35340D9EEB61A87_13</vt:lpwstr>
  </property>
  <property fmtid="{D5CDD505-2E9C-101B-9397-08002B2CF9AE}" pid="4" name="KSOTemplateDocerSaveRecord">
    <vt:lpwstr>eyJoZGlkIjoiMDk0YWY2Mzk1ZGNkZTdjYjVmZjgyMWNkOWE0MGFhN2EiLCJ1c2VySWQiOiIyNDk3NjE2MDEifQ==</vt:lpwstr>
  </property>
</Properties>
</file>