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3924DA">
      <w:pPr>
        <w:spacing w:line="360" w:lineRule="auto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附件5</w:t>
      </w:r>
    </w:p>
    <w:p w14:paraId="1029C880">
      <w:pPr>
        <w:pStyle w:val="10"/>
        <w:widowControl/>
        <w:shd w:val="clear" w:color="auto" w:fill="FFFFFF"/>
        <w:spacing w:beforeAutospacing="0" w:afterAutospacing="0" w:line="480" w:lineRule="exact"/>
        <w:ind w:firstLine="607"/>
        <w:jc w:val="both"/>
        <w:rPr>
          <w:rFonts w:ascii="方正小标宋_GBK" w:hAnsi="方正小标宋_GBK" w:eastAsia="方正小标宋_GBK" w:cs="方正小标宋_GBK"/>
          <w:color w:val="000000"/>
          <w:shd w:val="clear" w:color="auto" w:fill="FFFFFF"/>
        </w:rPr>
      </w:pPr>
    </w:p>
    <w:p w14:paraId="5BB6F15B">
      <w:pPr>
        <w:pStyle w:val="10"/>
        <w:widowControl/>
        <w:shd w:val="clear" w:color="auto" w:fill="FFFFFF"/>
        <w:spacing w:beforeAutospacing="0" w:afterAutospacing="0" w:line="480" w:lineRule="exact"/>
        <w:ind w:firstLine="607"/>
        <w:jc w:val="both"/>
        <w:rPr>
          <w:rFonts w:ascii="方正小标宋_GBK" w:hAnsi="方正小标宋_GBK" w:eastAsia="方正小标宋_GBK" w:cs="方正小标宋_GBK"/>
          <w:color w:val="000000"/>
          <w:shd w:val="clear" w:color="auto" w:fill="FFFFFF"/>
        </w:rPr>
      </w:pPr>
    </w:p>
    <w:p w14:paraId="337770FE">
      <w:pPr>
        <w:pStyle w:val="10"/>
        <w:widowControl/>
        <w:shd w:val="clear" w:color="auto" w:fill="FFFFFF"/>
        <w:spacing w:beforeAutospacing="0" w:afterAutospacing="0" w:line="480" w:lineRule="exact"/>
        <w:ind w:firstLine="607"/>
        <w:jc w:val="both"/>
        <w:rPr>
          <w:rFonts w:ascii="方正小标宋_GBK" w:hAnsi="方正小标宋_GBK" w:eastAsia="方正小标宋_GBK" w:cs="方正小标宋_GBK"/>
          <w:color w:val="000000"/>
          <w:shd w:val="clear" w:color="auto" w:fill="FFFFFF"/>
        </w:rPr>
      </w:pPr>
    </w:p>
    <w:p w14:paraId="77317872">
      <w:pPr>
        <w:spacing w:line="480" w:lineRule="auto"/>
        <w:jc w:val="center"/>
        <w:rPr>
          <w:rFonts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202</w:t>
      </w: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5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>年度</w:t>
      </w:r>
      <w:r>
        <w:rPr>
          <w:rFonts w:ascii="仿宋" w:hAnsi="仿宋" w:eastAsia="仿宋" w:cs="仿宋"/>
          <w:b/>
          <w:bCs/>
          <w:sz w:val="44"/>
          <w:szCs w:val="44"/>
        </w:rPr>
        <w:t>怀化市发展和改革委员会</w:t>
      </w:r>
    </w:p>
    <w:p w14:paraId="6D48F8E1">
      <w:pPr>
        <w:spacing w:line="480" w:lineRule="auto"/>
        <w:jc w:val="center"/>
        <w:rPr>
          <w:rFonts w:ascii="仿宋" w:hAnsi="仿宋" w:eastAsia="仿宋" w:cs="仿宋"/>
          <w:b/>
          <w:bCs/>
          <w:kern w:val="2"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kern w:val="2"/>
          <w:sz w:val="44"/>
          <w:szCs w:val="44"/>
        </w:rPr>
        <w:t>整体支出绩效自评报告</w:t>
      </w:r>
    </w:p>
    <w:p w14:paraId="0EE652E5">
      <w:pPr>
        <w:pStyle w:val="10"/>
        <w:widowControl/>
        <w:shd w:val="clear" w:color="auto" w:fill="FFFFFF"/>
        <w:spacing w:beforeAutospacing="0" w:afterAutospacing="0" w:line="480" w:lineRule="auto"/>
        <w:ind w:firstLine="1200" w:firstLineChars="300"/>
        <w:jc w:val="both"/>
        <w:rPr>
          <w:rFonts w:ascii="方正小标宋_GBK" w:hAnsi="方正小标宋_GBK" w:eastAsia="方正小标宋_GBK" w:cs="方正小标宋_GBK"/>
          <w:color w:val="000000"/>
          <w:sz w:val="40"/>
          <w:szCs w:val="40"/>
          <w:shd w:val="clear" w:color="auto" w:fill="FFFFFF"/>
        </w:rPr>
      </w:pPr>
    </w:p>
    <w:p w14:paraId="66528417">
      <w:pPr>
        <w:pStyle w:val="10"/>
        <w:widowControl/>
        <w:shd w:val="clear" w:color="auto" w:fill="FFFFFF"/>
        <w:spacing w:beforeAutospacing="0" w:afterAutospacing="0" w:line="480" w:lineRule="exact"/>
        <w:ind w:firstLine="1200" w:firstLineChars="300"/>
        <w:jc w:val="both"/>
        <w:rPr>
          <w:rFonts w:ascii="方正小标宋_GBK" w:hAnsi="方正小标宋_GBK" w:eastAsia="方正小标宋_GBK" w:cs="方正小标宋_GBK"/>
          <w:color w:val="000000"/>
          <w:sz w:val="40"/>
          <w:szCs w:val="40"/>
          <w:shd w:val="clear" w:color="auto" w:fill="FFFFFF"/>
        </w:rPr>
      </w:pPr>
    </w:p>
    <w:p w14:paraId="556D26EB">
      <w:pPr>
        <w:pStyle w:val="10"/>
        <w:widowControl/>
        <w:shd w:val="clear" w:color="auto" w:fill="FFFFFF"/>
        <w:spacing w:beforeAutospacing="0" w:afterAutospacing="0" w:line="480" w:lineRule="exact"/>
        <w:ind w:firstLine="1200" w:firstLineChars="300"/>
        <w:jc w:val="both"/>
        <w:rPr>
          <w:rFonts w:ascii="方正小标宋_GBK" w:hAnsi="方正小标宋_GBK" w:eastAsia="方正小标宋_GBK" w:cs="方正小标宋_GBK"/>
          <w:color w:val="000000"/>
          <w:sz w:val="40"/>
          <w:szCs w:val="40"/>
          <w:shd w:val="clear" w:color="auto" w:fill="FFFFFF"/>
        </w:rPr>
      </w:pPr>
    </w:p>
    <w:p w14:paraId="7B83B4A3">
      <w:pPr>
        <w:pStyle w:val="10"/>
        <w:widowControl/>
        <w:shd w:val="clear" w:color="auto" w:fill="FFFFFF"/>
        <w:spacing w:beforeAutospacing="0" w:afterAutospacing="0" w:line="480" w:lineRule="exact"/>
        <w:ind w:firstLine="1200" w:firstLineChars="300"/>
        <w:jc w:val="both"/>
        <w:rPr>
          <w:rFonts w:ascii="方正小标宋_GBK" w:hAnsi="方正小标宋_GBK" w:eastAsia="方正小标宋_GBK" w:cs="方正小标宋_GBK"/>
          <w:color w:val="000000"/>
          <w:sz w:val="40"/>
          <w:szCs w:val="40"/>
          <w:shd w:val="clear" w:color="auto" w:fill="FFFFFF"/>
        </w:rPr>
      </w:pPr>
    </w:p>
    <w:p w14:paraId="3097A032">
      <w:pPr>
        <w:pStyle w:val="10"/>
        <w:widowControl/>
        <w:shd w:val="clear" w:color="auto" w:fill="FFFFFF"/>
        <w:spacing w:beforeAutospacing="0" w:afterAutospacing="0" w:line="480" w:lineRule="exact"/>
        <w:ind w:firstLine="1200" w:firstLineChars="300"/>
        <w:jc w:val="both"/>
        <w:rPr>
          <w:rFonts w:ascii="方正小标宋_GBK" w:hAnsi="方正小标宋_GBK" w:eastAsia="方正小标宋_GBK" w:cs="方正小标宋_GBK"/>
          <w:color w:val="000000"/>
          <w:sz w:val="40"/>
          <w:szCs w:val="40"/>
          <w:shd w:val="clear" w:color="auto" w:fill="FFFFFF"/>
        </w:rPr>
      </w:pPr>
    </w:p>
    <w:p w14:paraId="434E8329">
      <w:pPr>
        <w:pStyle w:val="10"/>
        <w:widowControl/>
        <w:shd w:val="clear" w:color="auto" w:fill="FFFFFF"/>
        <w:spacing w:beforeAutospacing="0" w:afterAutospacing="0" w:line="480" w:lineRule="exact"/>
        <w:ind w:firstLine="1200" w:firstLineChars="300"/>
        <w:jc w:val="both"/>
        <w:rPr>
          <w:rFonts w:ascii="方正小标宋_GBK" w:hAnsi="方正小标宋_GBK" w:eastAsia="方正小标宋_GBK" w:cs="方正小标宋_GBK"/>
          <w:color w:val="000000"/>
          <w:sz w:val="40"/>
          <w:szCs w:val="40"/>
          <w:shd w:val="clear" w:color="auto" w:fill="FFFFFF"/>
        </w:rPr>
      </w:pPr>
    </w:p>
    <w:p w14:paraId="35D99487">
      <w:pPr>
        <w:pStyle w:val="10"/>
        <w:widowControl/>
        <w:shd w:val="clear" w:color="auto" w:fill="FFFFFF"/>
        <w:spacing w:beforeAutospacing="0" w:afterAutospacing="0" w:line="480" w:lineRule="exact"/>
        <w:ind w:firstLine="1200" w:firstLineChars="300"/>
        <w:jc w:val="both"/>
        <w:rPr>
          <w:rFonts w:ascii="方正小标宋_GBK" w:hAnsi="方正小标宋_GBK" w:eastAsia="方正小标宋_GBK" w:cs="方正小标宋_GBK"/>
          <w:color w:val="000000"/>
          <w:sz w:val="40"/>
          <w:szCs w:val="40"/>
          <w:shd w:val="clear" w:color="auto" w:fill="FFFFFF"/>
        </w:rPr>
      </w:pPr>
    </w:p>
    <w:p w14:paraId="16786142">
      <w:pPr>
        <w:pStyle w:val="10"/>
        <w:widowControl/>
        <w:shd w:val="clear" w:color="auto" w:fill="FFFFFF"/>
        <w:spacing w:beforeAutospacing="0" w:afterAutospacing="0" w:line="480" w:lineRule="exact"/>
        <w:ind w:firstLine="1200" w:firstLineChars="300"/>
        <w:jc w:val="both"/>
        <w:rPr>
          <w:rFonts w:ascii="方正小标宋_GBK" w:hAnsi="方正小标宋_GBK" w:eastAsia="方正小标宋_GBK" w:cs="方正小标宋_GBK"/>
          <w:color w:val="000000"/>
          <w:sz w:val="40"/>
          <w:szCs w:val="40"/>
          <w:shd w:val="clear" w:color="auto" w:fill="FFFFFF"/>
        </w:rPr>
      </w:pPr>
    </w:p>
    <w:p w14:paraId="156F92B7">
      <w:pPr>
        <w:spacing w:line="360" w:lineRule="auto"/>
        <w:ind w:firstLine="2560" w:firstLineChars="800"/>
        <w:rPr>
          <w:rFonts w:hint="default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单位名称：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>（盖章）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</w:t>
      </w:r>
    </w:p>
    <w:p w14:paraId="703F50E6">
      <w:pPr>
        <w:spacing w:line="360" w:lineRule="auto"/>
        <w:ind w:firstLine="3200" w:firstLineChars="1000"/>
        <w:rPr>
          <w:rFonts w:ascii="仿宋" w:hAnsi="仿宋" w:eastAsia="仿宋" w:cs="仿宋"/>
          <w:sz w:val="32"/>
          <w:szCs w:val="32"/>
        </w:rPr>
      </w:pPr>
    </w:p>
    <w:p w14:paraId="08B2D685">
      <w:pPr>
        <w:spacing w:line="360" w:lineRule="auto"/>
        <w:ind w:firstLine="2880" w:firstLineChars="9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年6月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sz w:val="32"/>
          <w:szCs w:val="32"/>
        </w:rPr>
        <w:t>日</w:t>
      </w:r>
      <w:bookmarkStart w:id="0" w:name="_GoBack"/>
      <w:bookmarkEnd w:id="0"/>
    </w:p>
    <w:p w14:paraId="70DFD227">
      <w:pPr>
        <w:spacing w:line="360" w:lineRule="auto"/>
        <w:ind w:firstLine="810"/>
        <w:jc w:val="center"/>
        <w:rPr>
          <w:rFonts w:ascii="仿宋" w:hAnsi="仿宋" w:eastAsia="仿宋" w:cs="仿宋"/>
          <w:sz w:val="32"/>
          <w:szCs w:val="32"/>
        </w:rPr>
      </w:pPr>
    </w:p>
    <w:p w14:paraId="752F8869">
      <w:pPr>
        <w:pStyle w:val="2"/>
      </w:pPr>
    </w:p>
    <w:p w14:paraId="6D531D60">
      <w:pPr>
        <w:pStyle w:val="10"/>
        <w:widowControl/>
        <w:shd w:val="clear" w:color="auto" w:fill="FFFFFF"/>
        <w:spacing w:beforeAutospacing="0" w:afterAutospacing="0" w:line="480" w:lineRule="exact"/>
        <w:ind w:firstLine="960" w:firstLineChars="30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（此页为封面）</w:t>
      </w:r>
    </w:p>
    <w:p w14:paraId="0A9645F7">
      <w:pPr>
        <w:widowControl/>
        <w:ind w:firstLine="81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br w:type="page"/>
      </w:r>
    </w:p>
    <w:p w14:paraId="4BB5B042">
      <w:pPr>
        <w:ind w:firstLine="758" w:firstLineChars="236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一、部门概况</w:t>
      </w:r>
    </w:p>
    <w:p w14:paraId="4B415185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（一）部门基本情况</w:t>
      </w:r>
    </w:p>
    <w:p w14:paraId="188444C1">
      <w:pPr>
        <w:ind w:firstLine="755" w:firstLineChars="236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怀化市发展和改革委员会（简称市发改委），正处级行政机关，贯彻执行国家、省国民经济和社会发展战略、方针政策，统筹全市经济社会发展和改革各项工作。</w:t>
      </w:r>
      <w:r>
        <w:rPr>
          <w:rFonts w:ascii="仿宋" w:hAnsi="仿宋" w:eastAsia="仿宋"/>
          <w:sz w:val="32"/>
          <w:szCs w:val="32"/>
        </w:rPr>
        <w:t>其主要职责包括</w:t>
      </w:r>
      <w:r>
        <w:rPr>
          <w:rFonts w:hint="eastAsia" w:ascii="仿宋" w:hAnsi="仿宋" w:eastAsia="仿宋"/>
          <w:sz w:val="32"/>
          <w:szCs w:val="32"/>
        </w:rPr>
        <w:t>牵头拟订全市国民经济和社会发展中长期规划、年度发展计划；开展全市宏观经济运行监测、分析、调度；统筹推进全市经济体制改革、投融资体制改革；负责全市固定资产投资综合管理、重大项目谋划储备与建设推进；负责价格调控、成本监审、价格监测；承担粮食和物资储备行政管理、能源发展规划管理、优化营商环境统筹协调、区域协调发展、社会事业发展统筹等职能</w:t>
      </w:r>
      <w:r>
        <w:rPr>
          <w:rFonts w:hint="eastAsia" w:ascii="仿宋" w:hAnsi="仿宋" w:eastAsia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/>
          <w:sz w:val="32"/>
          <w:szCs w:val="32"/>
        </w:rPr>
        <w:t>承担市国防动员办公室相关职能；按权限审批、核准、备案政府投资项目和企业投资项目，完成市委、市政府交办的各项经济发展改革工作任务。</w:t>
      </w:r>
    </w:p>
    <w:p w14:paraId="448BE3F4">
      <w:pPr>
        <w:ind w:firstLine="755" w:firstLineChars="236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单位内设多个职能科室，下设所属公益类事业单位。严格按照《行政单位财务规则》《政府会计制度》《预算绩效管理管理办法》，规范开展预算编制、资金管理、财务核算、资产管理、绩效自评等各项财务管理工作，依法依规履行行政管理、宏观调控、项目管理、服务发展职能。</w:t>
      </w:r>
      <w:r>
        <w:rPr>
          <w:rFonts w:hint="eastAsia" w:ascii="仿宋" w:hAnsi="仿宋" w:eastAsia="仿宋"/>
          <w:sz w:val="32"/>
          <w:szCs w:val="32"/>
        </w:rPr>
        <w:t>年末编制内实有人员2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/>
          <w:sz w:val="32"/>
          <w:szCs w:val="32"/>
        </w:rPr>
        <w:t>人，</w:t>
      </w:r>
      <w:r>
        <w:rPr>
          <w:rFonts w:ascii="仿宋" w:hAnsi="仿宋" w:eastAsia="仿宋"/>
          <w:sz w:val="32"/>
          <w:szCs w:val="32"/>
        </w:rPr>
        <w:t>财政供养人员控制率100%。</w:t>
      </w:r>
    </w:p>
    <w:p w14:paraId="07888180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（二）部门（单位）整体支出规模、使用方向和主要内容、涉及范围</w:t>
      </w:r>
    </w:p>
    <w:p w14:paraId="45E8B908">
      <w:pPr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2025年度，本单位年初预算支出为8150.67万元，全年调整预算支出为6042.36万元，决算支出为5995.89万元，预算执行率99.23%。</w:t>
      </w:r>
    </w:p>
    <w:p w14:paraId="75FE9AD3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单位年度整体支出为一般公共预算财政拨款支出，分为基本支出、项目支出两大类。基本支出：用于保障单位机构正常运转、完成日常工作任务发生的支出，包括人员经费、日常公用办公经费（办公费、水电费、差旅费、公务接待、三公经费等），是单位履职基础保障支出</w:t>
      </w:r>
      <w:r>
        <w:rPr>
          <w:rFonts w:hint="eastAsia" w:ascii="仿宋" w:hAnsi="仿宋" w:eastAsia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/>
          <w:sz w:val="32"/>
          <w:szCs w:val="32"/>
        </w:rPr>
        <w:t>项目支出：用于完成特定专项工作任务、专项业务开展</w:t>
      </w:r>
      <w:r>
        <w:rPr>
          <w:rFonts w:hint="eastAsia" w:ascii="仿宋" w:hAnsi="仿宋" w:eastAsia="仿宋"/>
          <w:sz w:val="32"/>
          <w:szCs w:val="32"/>
          <w:lang w:eastAsia="zh-CN"/>
        </w:rPr>
        <w:t>及工程建设</w:t>
      </w:r>
      <w:r>
        <w:rPr>
          <w:rFonts w:hint="eastAsia" w:ascii="仿宋" w:hAnsi="仿宋" w:eastAsia="仿宋"/>
          <w:sz w:val="32"/>
          <w:szCs w:val="32"/>
        </w:rPr>
        <w:t>发生的支出。</w:t>
      </w:r>
    </w:p>
    <w:p w14:paraId="7279B489">
      <w:pPr>
        <w:ind w:firstLine="758" w:firstLineChars="236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二、一般公共预算支出情况</w:t>
      </w:r>
    </w:p>
    <w:p w14:paraId="0309541E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（一）基本支出</w:t>
      </w:r>
    </w:p>
    <w:p w14:paraId="50ACD379">
      <w:pPr>
        <w:ind w:firstLine="755" w:firstLineChars="236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本年基本支出年初预算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4431.67</w:t>
      </w:r>
      <w:r>
        <w:rPr>
          <w:rFonts w:hint="eastAsia" w:ascii="仿宋" w:hAnsi="仿宋" w:eastAsia="仿宋"/>
          <w:color w:val="auto"/>
          <w:sz w:val="32"/>
          <w:szCs w:val="32"/>
        </w:rPr>
        <w:t>万元，全年调整后预算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4652.55</w:t>
      </w:r>
      <w:r>
        <w:rPr>
          <w:rFonts w:hint="eastAsia" w:ascii="仿宋" w:hAnsi="仿宋" w:eastAsia="仿宋"/>
          <w:color w:val="auto"/>
          <w:sz w:val="32"/>
          <w:szCs w:val="32"/>
        </w:rPr>
        <w:t>万元，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实际</w:t>
      </w:r>
      <w:r>
        <w:rPr>
          <w:rFonts w:hint="eastAsia" w:ascii="仿宋" w:hAnsi="仿宋" w:eastAsia="仿宋"/>
          <w:color w:val="auto"/>
          <w:sz w:val="32"/>
          <w:szCs w:val="32"/>
        </w:rPr>
        <w:t>支出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4610.72</w:t>
      </w:r>
      <w:r>
        <w:rPr>
          <w:rFonts w:hint="eastAsia" w:ascii="仿宋" w:hAnsi="仿宋" w:eastAsia="仿宋"/>
          <w:color w:val="auto"/>
          <w:sz w:val="32"/>
          <w:szCs w:val="32"/>
        </w:rPr>
        <w:t>万元，执行率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99.1</w:t>
      </w:r>
      <w:r>
        <w:rPr>
          <w:rFonts w:hint="eastAsia" w:ascii="仿宋" w:hAnsi="仿宋" w:eastAsia="仿宋"/>
          <w:color w:val="auto"/>
          <w:sz w:val="32"/>
          <w:szCs w:val="32"/>
        </w:rPr>
        <w:t>%。</w:t>
      </w:r>
    </w:p>
    <w:p w14:paraId="7DDF3F4E">
      <w:pPr>
        <w:ind w:firstLine="755" w:firstLineChars="236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1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szCs w:val="32"/>
        </w:rPr>
        <w:t>主要用途及范围：基本支出分为人员经费、公用经费两部分。人员经费用于在职人员工资福利、社会保障缴费、住房公积金、离退休人员补助等人员保障支出；日常公用经费用于单位日常办公耗材、印刷费、邮电费、水电费、物业费、差旅费、会议培训、办公设备维修维护、公务用车运行维护、公务接待等机关日常运转办公支出。</w:t>
      </w:r>
      <w:r>
        <w:rPr>
          <w:rFonts w:ascii="仿宋" w:hAnsi="仿宋" w:eastAsia="仿宋"/>
          <w:color w:val="auto"/>
          <w:sz w:val="32"/>
          <w:szCs w:val="32"/>
        </w:rPr>
        <w:t>202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5</w:t>
      </w:r>
      <w:r>
        <w:rPr>
          <w:rFonts w:ascii="仿宋" w:hAnsi="仿宋" w:eastAsia="仿宋"/>
          <w:color w:val="auto"/>
          <w:sz w:val="32"/>
          <w:szCs w:val="32"/>
        </w:rPr>
        <w:t>年基本支出中，人员经费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支出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4319.87万元，</w:t>
      </w:r>
      <w:r>
        <w:rPr>
          <w:rFonts w:ascii="仿宋" w:hAnsi="仿宋" w:eastAsia="仿宋"/>
          <w:color w:val="auto"/>
          <w:sz w:val="32"/>
          <w:szCs w:val="32"/>
        </w:rPr>
        <w:t>占比约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93.69</w:t>
      </w:r>
      <w:r>
        <w:rPr>
          <w:rFonts w:ascii="仿宋" w:hAnsi="仿宋" w:eastAsia="仿宋"/>
          <w:color w:val="auto"/>
          <w:sz w:val="32"/>
          <w:szCs w:val="32"/>
        </w:rPr>
        <w:t>%，公用经费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支出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290.85万元，</w:t>
      </w:r>
      <w:r>
        <w:rPr>
          <w:rFonts w:ascii="仿宋" w:hAnsi="仿宋" w:eastAsia="仿宋"/>
          <w:color w:val="auto"/>
          <w:sz w:val="32"/>
          <w:szCs w:val="32"/>
        </w:rPr>
        <w:t>占比约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6.31</w:t>
      </w:r>
      <w:r>
        <w:rPr>
          <w:rFonts w:ascii="仿宋" w:hAnsi="仿宋" w:eastAsia="仿宋"/>
          <w:color w:val="auto"/>
          <w:sz w:val="32"/>
          <w:szCs w:val="32"/>
        </w:rPr>
        <w:t>%，主要用于维持机关日常运转及履行基本职能。</w:t>
      </w:r>
    </w:p>
    <w:p w14:paraId="48125902">
      <w:pPr>
        <w:ind w:firstLine="755" w:firstLineChars="236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2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szCs w:val="32"/>
        </w:rPr>
        <w:t>资金管理情况：</w:t>
      </w:r>
      <w:r>
        <w:rPr>
          <w:rFonts w:ascii="仿宋" w:hAnsi="仿宋" w:eastAsia="仿宋"/>
          <w:color w:val="auto"/>
          <w:sz w:val="32"/>
          <w:szCs w:val="32"/>
        </w:rPr>
        <w:t>严格执行财政资金管理制度，基本支出资金纳入国库集中支付。人员经费根据编制人数及工资标准核定，公用经费实行定额管理，严格控制支出范围和标准。</w:t>
      </w:r>
    </w:p>
    <w:p w14:paraId="5D982F10">
      <w:pPr>
        <w:ind w:firstLine="755" w:firstLineChars="236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3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szCs w:val="32"/>
        </w:rPr>
        <w:t>“三公”经费使用和管理情况：本年“三公”经费预算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95</w:t>
      </w:r>
      <w:r>
        <w:rPr>
          <w:rFonts w:hint="eastAsia" w:ascii="仿宋" w:hAnsi="仿宋" w:eastAsia="仿宋"/>
          <w:color w:val="auto"/>
          <w:sz w:val="32"/>
          <w:szCs w:val="32"/>
        </w:rPr>
        <w:t>万元，实际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支出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72.9</w:t>
      </w:r>
      <w:r>
        <w:rPr>
          <w:rFonts w:hint="eastAsia" w:ascii="仿宋" w:hAnsi="仿宋" w:eastAsia="仿宋"/>
          <w:color w:val="auto"/>
          <w:sz w:val="32"/>
          <w:szCs w:val="32"/>
        </w:rPr>
        <w:t>万元，执行率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76.74</w:t>
      </w:r>
      <w:r>
        <w:rPr>
          <w:rFonts w:hint="eastAsia" w:ascii="仿宋" w:hAnsi="仿宋" w:eastAsia="仿宋"/>
          <w:color w:val="auto"/>
          <w:sz w:val="32"/>
          <w:szCs w:val="32"/>
        </w:rPr>
        <w:t>%。严格落实中央八项规定及厉行节约各项要求，</w:t>
      </w:r>
      <w:r>
        <w:rPr>
          <w:rFonts w:ascii="仿宋" w:hAnsi="仿宋" w:eastAsia="仿宋"/>
          <w:color w:val="auto"/>
          <w:sz w:val="32"/>
          <w:szCs w:val="32"/>
        </w:rPr>
        <w:t>公务接待费严格执行“先审批后接待”制度，按标准控制接待规模；公务用车运行费用于车辆保险、维修、燃油等，实行定点维修和加油管理。经费支出严格遵循厉行节约原则，未超预算额度。</w:t>
      </w:r>
    </w:p>
    <w:p w14:paraId="25901E40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（二）项目支出</w:t>
      </w:r>
    </w:p>
    <w:p w14:paraId="7CECCEB3">
      <w:pPr>
        <w:ind w:firstLine="755" w:firstLineChars="236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sz w:val="32"/>
          <w:szCs w:val="32"/>
        </w:rPr>
        <w:t>项目资金安排落实、总投入等情况分析</w:t>
      </w:r>
    </w:p>
    <w:p w14:paraId="19394D59">
      <w:pPr>
        <w:ind w:firstLine="646" w:firstLineChars="202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年市发改委项目资金包括财政资金（中央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、省级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预算内资金、市级财政拨款等）和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非税返还资金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年初预算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3719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万元，年中根据上级工作要求、财政追加补助、指标调剂调整后，全年预算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1389.81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，资金到位率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37.37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%，均为一般公共预算财政拨款。</w:t>
      </w:r>
    </w:p>
    <w:p w14:paraId="17D19B2E">
      <w:pPr>
        <w:ind w:firstLine="646" w:firstLineChars="202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</w:t>
      </w:r>
      <w:r>
        <w:rPr>
          <w:rFonts w:hint="eastAsia" w:ascii="仿宋" w:hAnsi="仿宋" w:eastAsia="仿宋"/>
          <w:sz w:val="32"/>
          <w:szCs w:val="32"/>
        </w:rPr>
        <w:t>、</w:t>
      </w:r>
      <w:r>
        <w:rPr>
          <w:rFonts w:ascii="仿宋" w:hAnsi="仿宋" w:eastAsia="仿宋"/>
          <w:sz w:val="32"/>
          <w:szCs w:val="32"/>
        </w:rPr>
        <w:t>项目资金实际使用情况</w:t>
      </w:r>
    </w:p>
    <w:p w14:paraId="2EDD7844">
      <w:pPr>
        <w:ind w:firstLine="755" w:firstLineChars="236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color w:val="auto"/>
          <w:sz w:val="32"/>
          <w:szCs w:val="32"/>
        </w:rPr>
        <w:t>按照“按月申报、按进度拨付”原则管理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本年各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项目资金</w:t>
      </w:r>
      <w:r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全年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实际支出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1385.18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万元，执行率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99.67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%，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主要用于专项业务开展、专项调研检查、专项服务、专项办公耗材、项目运维</w:t>
      </w:r>
      <w:r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及工程建设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等支出，支出真实合规、审批流程完整、票据合法有效。</w:t>
      </w:r>
    </w:p>
    <w:p w14:paraId="616008DC">
      <w:pPr>
        <w:ind w:firstLine="755" w:firstLineChars="236"/>
        <w:rPr>
          <w:rFonts w:hint="eastAsia" w:ascii="仿宋" w:hAnsi="仿宋" w:eastAsia="仿宋"/>
          <w:color w:val="FF0000"/>
          <w:sz w:val="32"/>
          <w:szCs w:val="32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 项目资金管理情况分析</w:t>
      </w:r>
    </w:p>
    <w:p w14:paraId="118D9CE1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市发改委制定了《怀化市发展和改革委员会项目资金管理办法》，明确项目资金申请、审批、拨付流程，对中央和省预算内投资项目，严格执行资金拨付与项目进度挂钩制度，按</w:t>
      </w:r>
      <w:r>
        <w:rPr>
          <w:rFonts w:hint="eastAsia" w:ascii="仿宋" w:hAnsi="仿宋" w:eastAsia="仿宋"/>
          <w:sz w:val="32"/>
          <w:szCs w:val="32"/>
          <w:lang w:eastAsia="zh-CN"/>
        </w:rPr>
        <w:t>项目</w:t>
      </w:r>
      <w:r>
        <w:rPr>
          <w:rFonts w:ascii="仿宋" w:hAnsi="仿宋" w:eastAsia="仿宋"/>
          <w:sz w:val="32"/>
          <w:szCs w:val="32"/>
        </w:rPr>
        <w:t>进度支付款项；对市级财政项目，建立资金使用台账，定期开展财务检查。</w:t>
      </w:r>
    </w:p>
    <w:p w14:paraId="3F937CFA">
      <w:pPr>
        <w:ind w:firstLine="756" w:firstLineChars="236"/>
        <w:rPr>
          <w:rFonts w:hint="eastAsia"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三、项目组织实施情况</w:t>
      </w:r>
    </w:p>
    <w:p w14:paraId="58A952C8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（一）项目组织情况</w:t>
      </w:r>
    </w:p>
    <w:p w14:paraId="19AAD35E">
      <w:pPr>
        <w:ind w:firstLine="755" w:firstLineChars="236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sz w:val="32"/>
          <w:szCs w:val="32"/>
        </w:rPr>
        <w:t> 前期审批与招投标管理</w:t>
      </w:r>
    </w:p>
    <w:p w14:paraId="409C5733">
      <w:pPr>
        <w:ind w:firstLine="755" w:firstLineChars="236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前期已完成立项批复、可行性研究报告批复、初步设计及概算批复等发改部门规定的审批程序，手续齐全、合规有效。项目涉及工程建设、设备采购等环节均严格执行《招标投标法》及实施条例，按规定履行公开招标/邀请招标程序，招标公告发布、开标评标、定标备案等环节全程公开透明，接受发改、财政、审计等部门监督，无规避招标、虚假招标等违规行为，中标单位均具备相应资质条件。</w:t>
      </w:r>
    </w:p>
    <w:p w14:paraId="59D8436A">
      <w:pPr>
        <w:ind w:firstLine="755" w:firstLineChars="236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hint="eastAsia" w:ascii="仿宋" w:hAnsi="仿宋" w:eastAsia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sz w:val="32"/>
          <w:szCs w:val="32"/>
        </w:rPr>
        <w:t> 项目调整与变更管理</w:t>
      </w:r>
    </w:p>
    <w:p w14:paraId="6ED66DCD">
      <w:pPr>
        <w:ind w:firstLine="755" w:firstLineChars="236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实施过程中，因现场实际条件变化、政策标准调整、优化建设内容等客观原因，确需对建设规模、建设内容、建设标准、投资概算等进行调整的，均严格按照发改部门项目变更管理规定，履行变更报批程序，按权限报原审批部门批复同意后实施，未擅自变更项目建设内容和投资规模，确保项目实施与批复内容一致。</w:t>
      </w:r>
    </w:p>
    <w:p w14:paraId="22B0D56F">
      <w:pPr>
        <w:ind w:firstLine="755" w:firstLineChars="236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sz w:val="32"/>
          <w:szCs w:val="32"/>
        </w:rPr>
        <w:t>竣工验收与备案管理</w:t>
      </w:r>
    </w:p>
    <w:p w14:paraId="7B0D3147">
      <w:pPr>
        <w:ind w:firstLine="755" w:firstLineChars="236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完成全部建设内容后，组织开展竣工验收工作，由项目建设单位牵头，邀请发改、行业主管部门、财政、审计及相关专业专家组成验收组，对项目建设内容完成情况、工程质量、资金使用、档案资料等进行全面核查验收。项目验收合格后，按规定及时办理竣工验收备案手续，相关批复文件、施工资料、验收资料均完整归档，形成闭环管理。</w:t>
      </w:r>
    </w:p>
    <w:p w14:paraId="6ED8AD74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（二）项目管理情况</w:t>
      </w:r>
    </w:p>
    <w:p w14:paraId="077585BF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</w:rPr>
        <w:t>、</w:t>
      </w:r>
      <w:r>
        <w:rPr>
          <w:rFonts w:ascii="仿宋" w:hAnsi="仿宋" w:eastAsia="仿宋"/>
          <w:sz w:val="32"/>
          <w:szCs w:val="32"/>
        </w:rPr>
        <w:t>项目管理制度建设</w:t>
      </w:r>
    </w:p>
    <w:p w14:paraId="09162E54">
      <w:pPr>
        <w:ind w:firstLine="755" w:firstLineChars="236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ascii="仿宋" w:hAnsi="仿宋" w:eastAsia="仿宋"/>
          <w:sz w:val="32"/>
          <w:szCs w:val="32"/>
        </w:rPr>
        <w:t>市发改委建立了项目全周期管理制度，涵盖前期谋划、申报审批、建设实施、竣工验收等环节。制定《怀化市重点项目管理办法》，明确项目责任主体、进度要求及考核机制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 w14:paraId="7A00BA72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</w:t>
      </w:r>
      <w:r>
        <w:rPr>
          <w:rFonts w:hint="eastAsia" w:ascii="仿宋" w:hAnsi="仿宋" w:eastAsia="仿宋"/>
          <w:sz w:val="32"/>
          <w:szCs w:val="32"/>
        </w:rPr>
        <w:t>、</w:t>
      </w:r>
      <w:r>
        <w:rPr>
          <w:rFonts w:ascii="仿宋" w:hAnsi="仿宋" w:eastAsia="仿宋"/>
          <w:sz w:val="32"/>
          <w:szCs w:val="32"/>
        </w:rPr>
        <w:t>日常检查监督管理</w:t>
      </w:r>
    </w:p>
    <w:p w14:paraId="736A95E8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业务科室每月报</w:t>
      </w:r>
      <w:r>
        <w:rPr>
          <w:rFonts w:hint="eastAsia" w:ascii="仿宋" w:hAnsi="仿宋" w:eastAsia="仿宋"/>
          <w:sz w:val="32"/>
          <w:szCs w:val="32"/>
          <w:lang w:eastAsia="zh-CN"/>
        </w:rPr>
        <w:t>告</w:t>
      </w:r>
      <w:r>
        <w:rPr>
          <w:rFonts w:ascii="仿宋" w:hAnsi="仿宋" w:eastAsia="仿宋"/>
          <w:sz w:val="32"/>
          <w:szCs w:val="32"/>
        </w:rPr>
        <w:t>项目进度</w:t>
      </w:r>
      <w:r>
        <w:rPr>
          <w:rFonts w:hint="eastAsia" w:ascii="仿宋" w:hAnsi="仿宋" w:eastAsia="仿宋"/>
          <w:sz w:val="32"/>
          <w:szCs w:val="32"/>
          <w:lang w:eastAsia="zh-CN"/>
        </w:rPr>
        <w:t>情况</w:t>
      </w:r>
      <w:r>
        <w:rPr>
          <w:rFonts w:ascii="仿宋" w:hAnsi="仿宋" w:eastAsia="仿宋"/>
          <w:sz w:val="32"/>
          <w:szCs w:val="32"/>
        </w:rPr>
        <w:t>，财务部门与业务科室共享预算执行和项目进展数据。同时，</w:t>
      </w:r>
      <w:r>
        <w:rPr>
          <w:rFonts w:hint="eastAsia" w:ascii="仿宋" w:hAnsi="仿宋" w:eastAsia="仿宋"/>
          <w:sz w:val="32"/>
          <w:szCs w:val="32"/>
          <w:lang w:eastAsia="zh-CN"/>
        </w:rPr>
        <w:t>接受</w:t>
      </w:r>
      <w:r>
        <w:rPr>
          <w:rFonts w:ascii="仿宋" w:hAnsi="仿宋" w:eastAsia="仿宋"/>
          <w:sz w:val="32"/>
          <w:szCs w:val="32"/>
        </w:rPr>
        <w:t>审计、财政</w:t>
      </w:r>
      <w:r>
        <w:rPr>
          <w:rFonts w:hint="eastAsia" w:ascii="仿宋" w:hAnsi="仿宋" w:eastAsia="仿宋"/>
          <w:sz w:val="32"/>
          <w:szCs w:val="32"/>
          <w:lang w:eastAsia="zh-CN"/>
        </w:rPr>
        <w:t>、纪检监察</w:t>
      </w:r>
      <w:r>
        <w:rPr>
          <w:rFonts w:ascii="仿宋" w:hAnsi="仿宋" w:eastAsia="仿宋"/>
          <w:sz w:val="32"/>
          <w:szCs w:val="32"/>
        </w:rPr>
        <w:t>等部门开展专项检查，重点核查资金使用合规性、项目建设进度及效益发挥情况，对发现的问题要求责任科室限期整改。</w:t>
      </w:r>
    </w:p>
    <w:p w14:paraId="3E2E683A">
      <w:pPr>
        <w:ind w:firstLine="758" w:firstLineChars="236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四、资产管理情况</w:t>
      </w:r>
    </w:p>
    <w:p w14:paraId="33ED08A9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（一）制度建设与管理措施</w:t>
      </w:r>
    </w:p>
    <w:p w14:paraId="6FFCAA08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市发改委制定了《怀化市发展和改革委员会国有资产管理办法》，明确资产配置、使用、处置的程序和责任。资产配置严格按编制和标准执行，新增资产纳入预算管理；使用中实行“专人管理、台账登记”，定期开展资产清查，确保账实相符；处置资产</w:t>
      </w:r>
      <w:r>
        <w:rPr>
          <w:rFonts w:hint="eastAsia" w:ascii="仿宋" w:hAnsi="仿宋" w:eastAsia="仿宋"/>
          <w:sz w:val="32"/>
          <w:szCs w:val="32"/>
          <w:lang w:eastAsia="zh-CN"/>
        </w:rPr>
        <w:t>批量达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10万元以上</w:t>
      </w:r>
      <w:r>
        <w:rPr>
          <w:rFonts w:ascii="仿宋" w:hAnsi="仿宋" w:eastAsia="仿宋"/>
          <w:sz w:val="32"/>
          <w:szCs w:val="32"/>
        </w:rPr>
        <w:t>需经党组会议审议通过，并报财政部门审批，通过公开拍卖等方式规范处置。</w:t>
      </w:r>
    </w:p>
    <w:p w14:paraId="0FEE12AE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（二）配置处置程序</w:t>
      </w:r>
    </w:p>
    <w:p w14:paraId="08FBE9C4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资产配置方面，各科室根据工作需要提出申请，经办公室审核后报委领导审批，纳入年度采购计划；处置时，由使用科室提出申请，办公室组织评估，报财政部门批准后实施。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2025年度处置资产总额83.59万元，主要为三台公务用车、办公电脑、打印机、碎纸机等资产</w:t>
      </w:r>
      <w:r>
        <w:rPr>
          <w:rFonts w:ascii="仿宋" w:hAnsi="仿宋" w:eastAsia="仿宋"/>
          <w:sz w:val="32"/>
          <w:szCs w:val="32"/>
        </w:rPr>
        <w:t>，资产日常管理中未发现违规行为。</w:t>
      </w:r>
    </w:p>
    <w:p w14:paraId="207AC99A">
      <w:pPr>
        <w:ind w:firstLine="758" w:firstLineChars="236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五、政府性基金预算支出情况</w:t>
      </w:r>
    </w:p>
    <w:p w14:paraId="303C82CC">
      <w:pPr>
        <w:ind w:firstLine="755" w:firstLineChars="236"/>
        <w:rPr>
          <w:rFonts w:ascii="仿宋" w:hAnsi="仿宋" w:eastAsia="仿宋"/>
          <w:sz w:val="32"/>
          <w:szCs w:val="32"/>
          <w:highlight w:val="none"/>
        </w:rPr>
      </w:pPr>
      <w:r>
        <w:rPr>
          <w:rFonts w:ascii="仿宋" w:hAnsi="仿宋" w:eastAsia="仿宋"/>
          <w:sz w:val="32"/>
          <w:szCs w:val="32"/>
          <w:highlight w:val="none"/>
        </w:rPr>
        <w:t>202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5</w:t>
      </w:r>
      <w:r>
        <w:rPr>
          <w:rFonts w:ascii="仿宋" w:hAnsi="仿宋" w:eastAsia="仿宋"/>
          <w:sz w:val="32"/>
          <w:szCs w:val="32"/>
          <w:highlight w:val="none"/>
        </w:rPr>
        <w:t>年政府性基金预算支出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167万元，为怀化市社会信用体系“一网一库一平台”迭代升级工程项目项目化债资金</w:t>
      </w:r>
      <w:r>
        <w:rPr>
          <w:rFonts w:ascii="仿宋" w:hAnsi="仿宋" w:eastAsia="仿宋"/>
          <w:sz w:val="32"/>
          <w:szCs w:val="32"/>
          <w:highlight w:val="none"/>
        </w:rPr>
        <w:t>。</w:t>
      </w:r>
    </w:p>
    <w:p w14:paraId="669C10C3">
      <w:pPr>
        <w:ind w:firstLine="758" w:firstLineChars="236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六、国有资本经营预算支出情况</w:t>
      </w:r>
    </w:p>
    <w:p w14:paraId="04AF09B8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ascii="仿宋" w:hAnsi="仿宋" w:eastAsia="仿宋"/>
          <w:sz w:val="32"/>
          <w:szCs w:val="32"/>
        </w:rPr>
        <w:t>年市发改委无国有资本经营预算支出。</w:t>
      </w:r>
    </w:p>
    <w:p w14:paraId="4D2D7E23">
      <w:pPr>
        <w:ind w:firstLine="758" w:firstLineChars="236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七、社会保险基金预算支出情况</w:t>
      </w:r>
    </w:p>
    <w:p w14:paraId="151FB624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ascii="仿宋" w:hAnsi="仿宋" w:eastAsia="仿宋"/>
          <w:sz w:val="32"/>
          <w:szCs w:val="32"/>
        </w:rPr>
        <w:t>年市发改委无社会保险基金预算支出。</w:t>
      </w:r>
    </w:p>
    <w:p w14:paraId="3872E72D">
      <w:pPr>
        <w:ind w:firstLine="758" w:firstLineChars="236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八、部门整体支出绩效情况</w:t>
      </w:r>
    </w:p>
    <w:p w14:paraId="1FE6F746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（一）“四本预算”绩效目标完成情况</w:t>
      </w:r>
    </w:p>
    <w:p w14:paraId="423C2913">
      <w:pPr>
        <w:ind w:firstLine="755" w:firstLineChars="236"/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</w:pP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1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、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一般公共预算</w:t>
      </w:r>
    </w:p>
    <w:p w14:paraId="335E703E">
      <w:pPr>
        <w:ind w:firstLine="755" w:firstLineChars="236"/>
        <w:rPr>
          <w:rFonts w:hint="eastAsia" w:ascii="仿宋" w:hAnsi="仿宋" w:eastAsia="仿宋" w:cs="Segoe UI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ascii="仿宋" w:hAnsi="仿宋" w:eastAsia="仿宋" w:cs="Segoe UI"/>
          <w:color w:val="auto"/>
          <w:sz w:val="32"/>
          <w:szCs w:val="32"/>
          <w:shd w:val="clear" w:color="auto" w:fill="FFFFFF"/>
        </w:rPr>
        <w:t>202</w:t>
      </w:r>
      <w:r>
        <w:rPr>
          <w:rFonts w:hint="eastAsia" w:ascii="仿宋" w:hAnsi="仿宋" w:eastAsia="仿宋" w:cs="Segoe UI"/>
          <w:color w:val="auto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ascii="仿宋" w:hAnsi="仿宋" w:eastAsia="仿宋" w:cs="Segoe UI"/>
          <w:color w:val="auto"/>
          <w:sz w:val="32"/>
          <w:szCs w:val="32"/>
          <w:shd w:val="clear" w:color="auto" w:fill="FFFFFF"/>
        </w:rPr>
        <w:t>年一般公共预算</w:t>
      </w:r>
      <w:r>
        <w:rPr>
          <w:rFonts w:hint="eastAsia" w:ascii="仿宋" w:hAnsi="仿宋" w:eastAsia="仿宋" w:cs="Segoe UI"/>
          <w:color w:val="auto"/>
          <w:sz w:val="32"/>
          <w:szCs w:val="32"/>
          <w:shd w:val="clear" w:color="auto" w:fill="FFFFFF"/>
          <w:lang w:eastAsia="zh-CN"/>
        </w:rPr>
        <w:t>执行率达</w:t>
      </w:r>
      <w:r>
        <w:rPr>
          <w:rFonts w:hint="eastAsia" w:ascii="仿宋" w:hAnsi="仿宋" w:eastAsia="仿宋" w:cs="Segoe UI"/>
          <w:color w:val="auto"/>
          <w:sz w:val="32"/>
          <w:szCs w:val="32"/>
          <w:shd w:val="clear" w:color="auto" w:fill="FFFFFF"/>
          <w:lang w:val="en-US" w:eastAsia="zh-CN"/>
        </w:rPr>
        <w:t>99.23%，</w:t>
      </w:r>
      <w:r>
        <w:rPr>
          <w:rFonts w:ascii="仿宋" w:hAnsi="仿宋" w:eastAsia="仿宋" w:cs="Segoe UI"/>
          <w:color w:val="auto"/>
          <w:sz w:val="32"/>
          <w:szCs w:val="32"/>
          <w:shd w:val="clear" w:color="auto" w:fill="FFFFFF"/>
        </w:rPr>
        <w:t>基本支出足额保障机关人员经费与公用经费，确保日常运转</w:t>
      </w:r>
      <w:r>
        <w:rPr>
          <w:rFonts w:hint="eastAsia" w:ascii="仿宋" w:hAnsi="仿宋" w:eastAsia="仿宋" w:cs="Segoe UI"/>
          <w:color w:val="auto"/>
          <w:sz w:val="32"/>
          <w:szCs w:val="32"/>
          <w:shd w:val="clear" w:color="auto" w:fill="FFFFFF"/>
          <w:lang w:eastAsia="zh-CN"/>
        </w:rPr>
        <w:t>，</w:t>
      </w:r>
      <w:r>
        <w:rPr>
          <w:rFonts w:ascii="仿宋" w:hAnsi="仿宋" w:eastAsia="仿宋" w:cs="Segoe UI"/>
          <w:color w:val="auto"/>
          <w:sz w:val="32"/>
          <w:szCs w:val="32"/>
          <w:shd w:val="clear" w:color="auto" w:fill="FFFFFF"/>
        </w:rPr>
        <w:t>项目支出</w:t>
      </w:r>
      <w:r>
        <w:rPr>
          <w:rFonts w:hint="eastAsia" w:ascii="仿宋" w:hAnsi="仿宋" w:eastAsia="仿宋" w:cs="Segoe UI"/>
          <w:color w:val="auto"/>
          <w:sz w:val="32"/>
          <w:szCs w:val="32"/>
          <w:shd w:val="clear" w:color="auto" w:fill="FFFFFF"/>
          <w:lang w:eastAsia="zh-CN"/>
        </w:rPr>
        <w:t>重点保障国民经济和社会发展、重大项目谋划推进、生态产品价值实现机制、价格调控监管、粮食安全保障、铁路建设、人防建设等履职支出，所有绩效指标</w:t>
      </w:r>
      <w:r>
        <w:rPr>
          <w:rFonts w:hint="eastAsia" w:ascii="仿宋" w:hAnsi="仿宋" w:eastAsia="仿宋" w:cs="Segoe UI"/>
          <w:color w:val="auto"/>
          <w:sz w:val="32"/>
          <w:szCs w:val="32"/>
          <w:shd w:val="clear" w:color="auto" w:fill="FFFFFF"/>
          <w:lang w:val="en-US" w:eastAsia="zh-CN"/>
        </w:rPr>
        <w:t>基本达标，例如：重大项目前期工作经费执行率100%，有效支撑了怀化市各重点项目落实推进；生态产品价值实现机制试点工作年度工作经费执行率100%，推动了生态产品价值实现工作取得更大突破，加快把生态优势转化为发展胜势。</w:t>
      </w:r>
    </w:p>
    <w:p w14:paraId="0BCA43B1">
      <w:pPr>
        <w:ind w:firstLine="640" w:firstLineChars="200"/>
        <w:rPr>
          <w:rFonts w:hint="eastAsia" w:ascii="仿宋" w:hAnsi="仿宋" w:eastAsia="仿宋" w:cs="Segoe UI"/>
          <w:color w:val="1F2329"/>
          <w:sz w:val="32"/>
          <w:szCs w:val="32"/>
          <w:highlight w:val="none"/>
          <w:shd w:val="clear" w:color="auto" w:fill="FFFFFF"/>
        </w:rPr>
      </w:pPr>
      <w:r>
        <w:rPr>
          <w:rFonts w:hint="eastAsia" w:ascii="仿宋" w:hAnsi="仿宋" w:eastAsia="仿宋" w:cs="Segoe UI"/>
          <w:color w:val="1F2329"/>
          <w:sz w:val="32"/>
          <w:szCs w:val="32"/>
          <w:highlight w:val="none"/>
          <w:shd w:val="clear" w:color="auto" w:fill="FFFFFF"/>
          <w:lang w:val="en-US" w:eastAsia="zh-CN"/>
        </w:rPr>
        <w:t>2、</w:t>
      </w:r>
      <w:r>
        <w:rPr>
          <w:rFonts w:ascii="仿宋" w:hAnsi="仿宋" w:eastAsia="仿宋" w:cs="Segoe UI"/>
          <w:color w:val="1F2329"/>
          <w:sz w:val="32"/>
          <w:szCs w:val="32"/>
          <w:highlight w:val="none"/>
          <w:shd w:val="clear" w:color="auto" w:fill="FFFFFF"/>
        </w:rPr>
        <w:t>政府性基金预算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167万元为化债资金，用于支付怀化市社会信用体系“一网一库一平台”迭代升级工程项目尾款</w:t>
      </w:r>
      <w:r>
        <w:rPr>
          <w:rFonts w:ascii="仿宋" w:hAnsi="仿宋" w:eastAsia="仿宋"/>
          <w:sz w:val="32"/>
          <w:szCs w:val="32"/>
          <w:highlight w:val="none"/>
        </w:rPr>
        <w:t>。</w:t>
      </w:r>
    </w:p>
    <w:p w14:paraId="2C75DB25">
      <w:pPr>
        <w:numPr>
          <w:ilvl w:val="0"/>
          <w:numId w:val="0"/>
        </w:numPr>
        <w:ind w:firstLine="640" w:firstLineChars="200"/>
        <w:rPr>
          <w:rFonts w:ascii="仿宋" w:hAnsi="仿宋" w:eastAsia="仿宋" w:cs="Segoe UI"/>
          <w:color w:val="1F2329"/>
          <w:sz w:val="32"/>
          <w:szCs w:val="32"/>
          <w:highlight w:val="none"/>
          <w:shd w:val="clear" w:color="auto" w:fill="FFFFFF"/>
        </w:rPr>
      </w:pPr>
      <w:r>
        <w:rPr>
          <w:rFonts w:hint="eastAsia" w:ascii="仿宋" w:hAnsi="仿宋" w:eastAsia="仿宋" w:cs="Segoe UI"/>
          <w:color w:val="1F2329"/>
          <w:sz w:val="32"/>
          <w:szCs w:val="32"/>
          <w:highlight w:val="none"/>
          <w:shd w:val="clear" w:color="auto" w:fill="FFFFFF"/>
          <w:lang w:val="en-US" w:eastAsia="zh-CN"/>
        </w:rPr>
        <w:t>3、</w:t>
      </w:r>
      <w:r>
        <w:rPr>
          <w:rFonts w:ascii="仿宋" w:hAnsi="仿宋" w:eastAsia="仿宋" w:cs="Segoe UI"/>
          <w:color w:val="1F2329"/>
          <w:sz w:val="32"/>
          <w:szCs w:val="32"/>
          <w:highlight w:val="none"/>
          <w:shd w:val="clear" w:color="auto" w:fill="FFFFFF"/>
        </w:rPr>
        <w:t>社会保险基金预算202</w:t>
      </w:r>
      <w:r>
        <w:rPr>
          <w:rFonts w:hint="eastAsia" w:ascii="仿宋" w:hAnsi="仿宋" w:eastAsia="仿宋" w:cs="Segoe UI"/>
          <w:color w:val="1F2329"/>
          <w:sz w:val="32"/>
          <w:szCs w:val="32"/>
          <w:highlight w:val="none"/>
          <w:shd w:val="clear" w:color="auto" w:fill="FFFFFF"/>
          <w:lang w:val="en-US" w:eastAsia="zh-CN"/>
        </w:rPr>
        <w:t>5</w:t>
      </w:r>
      <w:r>
        <w:rPr>
          <w:rFonts w:ascii="仿宋" w:hAnsi="仿宋" w:eastAsia="仿宋" w:cs="Segoe UI"/>
          <w:color w:val="1F2329"/>
          <w:sz w:val="32"/>
          <w:szCs w:val="32"/>
          <w:highlight w:val="none"/>
          <w:shd w:val="clear" w:color="auto" w:fill="FFFFFF"/>
        </w:rPr>
        <w:t>年无绩效目标涉及。</w:t>
      </w:r>
    </w:p>
    <w:p w14:paraId="1DBE1F79">
      <w:pPr>
        <w:ind w:firstLine="755" w:firstLineChars="236"/>
        <w:rPr>
          <w:rFonts w:ascii="仿宋" w:hAnsi="仿宋" w:eastAsia="仿宋" w:cs="Segoe UI"/>
          <w:color w:val="auto"/>
          <w:sz w:val="32"/>
          <w:szCs w:val="32"/>
          <w:shd w:val="clear" w:color="auto" w:fill="FFFFFF"/>
        </w:rPr>
      </w:pPr>
      <w:r>
        <w:rPr>
          <w:rFonts w:ascii="仿宋" w:hAnsi="仿宋" w:eastAsia="仿宋" w:cs="Segoe UI"/>
          <w:color w:val="auto"/>
          <w:sz w:val="32"/>
          <w:szCs w:val="32"/>
          <w:shd w:val="clear" w:color="auto" w:fill="FFFFFF"/>
        </w:rPr>
        <w:t>（二）产出与效益分析</w:t>
      </w:r>
    </w:p>
    <w:p w14:paraId="7067ECD3">
      <w:pPr>
        <w:ind w:firstLine="755" w:firstLineChars="236"/>
        <w:rPr>
          <w:rFonts w:ascii="仿宋" w:hAnsi="仿宋" w:eastAsia="仿宋" w:cs="Segoe UI"/>
          <w:color w:val="auto"/>
          <w:sz w:val="32"/>
          <w:szCs w:val="32"/>
          <w:shd w:val="clear" w:color="auto" w:fill="FFFFFF"/>
        </w:rPr>
      </w:pPr>
      <w:r>
        <w:rPr>
          <w:rFonts w:ascii="仿宋" w:hAnsi="仿宋" w:eastAsia="仿宋" w:cs="Segoe UI"/>
          <w:color w:val="auto"/>
          <w:sz w:val="32"/>
          <w:szCs w:val="32"/>
          <w:shd w:val="clear" w:color="auto" w:fill="FFFFFF"/>
        </w:rPr>
        <w:t>1</w:t>
      </w:r>
      <w:r>
        <w:rPr>
          <w:rFonts w:hint="eastAsia" w:ascii="仿宋" w:hAnsi="仿宋" w:eastAsia="仿宋" w:cs="Segoe UI"/>
          <w:color w:val="auto"/>
          <w:sz w:val="32"/>
          <w:szCs w:val="32"/>
          <w:shd w:val="clear" w:color="auto" w:fill="FFFFFF"/>
        </w:rPr>
        <w:t>、</w:t>
      </w:r>
      <w:r>
        <w:rPr>
          <w:rFonts w:ascii="仿宋" w:hAnsi="仿宋" w:eastAsia="仿宋" w:cs="Segoe UI"/>
          <w:color w:val="auto"/>
          <w:sz w:val="32"/>
          <w:szCs w:val="32"/>
          <w:shd w:val="clear" w:color="auto" w:fill="FFFFFF"/>
        </w:rPr>
        <w:t>运行成本</w:t>
      </w:r>
    </w:p>
    <w:p w14:paraId="49A4C555">
      <w:pPr>
        <w:ind w:firstLine="755" w:firstLineChars="236"/>
        <w:rPr>
          <w:rFonts w:ascii="仿宋" w:hAnsi="仿宋" w:eastAsia="仿宋" w:cs="Segoe UI"/>
          <w:color w:val="auto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Segoe UI"/>
          <w:color w:val="auto"/>
          <w:sz w:val="32"/>
          <w:szCs w:val="32"/>
          <w:shd w:val="clear" w:color="auto" w:fill="FFFFFF"/>
        </w:rPr>
        <w:t>严格贯彻落实党政机关过紧日子要求，坚持厉行节约、精打细算，从严从紧编制年度运行经费预算。严格控制机关日常运转、公务接待、会议培训、办公耗材等一般性支出，大力压减非刚性、非急需开支。规范“三公”经费及公用经费管理，经费支出全部严格控制在年度预算批复额度内，无超预算支出、无违规开支、无铺张浪费现象。统筹优化经费支出结构，把有限财力向经济运行调度、重大项目谋划、粮食能源安全、</w:t>
      </w:r>
      <w:r>
        <w:rPr>
          <w:rFonts w:hint="eastAsia" w:ascii="仿宋" w:hAnsi="仿宋" w:eastAsia="仿宋" w:cs="Segoe UI"/>
          <w:color w:val="auto"/>
          <w:sz w:val="32"/>
          <w:szCs w:val="32"/>
          <w:shd w:val="clear" w:color="auto" w:fill="FFFFFF"/>
          <w:lang w:eastAsia="zh-CN"/>
        </w:rPr>
        <w:t>优化</w:t>
      </w:r>
      <w:r>
        <w:rPr>
          <w:rFonts w:hint="eastAsia" w:ascii="仿宋" w:hAnsi="仿宋" w:eastAsia="仿宋" w:cs="Segoe UI"/>
          <w:color w:val="auto"/>
          <w:sz w:val="32"/>
          <w:szCs w:val="32"/>
          <w:shd w:val="clear" w:color="auto" w:fill="FFFFFF"/>
        </w:rPr>
        <w:t>营商环境等核心履职重点倾斜，一般性支出持续压减、刚性重点保障有力，行政运行成本管控规范、节约成效明显，资金使用效益稳步提升。</w:t>
      </w:r>
    </w:p>
    <w:p w14:paraId="3E2B8D5C">
      <w:pPr>
        <w:ind w:firstLine="755" w:firstLineChars="236"/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</w:pP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2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、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管理效率</w:t>
      </w:r>
    </w:p>
    <w:p w14:paraId="5B6AC048">
      <w:pPr>
        <w:ind w:firstLine="755" w:firstLineChars="236"/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年度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投资项目审批效率显著提升，企业投资项目核准和备案全程网办，即时办结率100%。</w:t>
      </w:r>
      <w:r>
        <w:rPr>
          <w:rFonts w:ascii="仿宋" w:hAnsi="仿宋" w:eastAsia="仿宋"/>
          <w:sz w:val="32"/>
          <w:szCs w:val="32"/>
        </w:rPr>
        <w:t>财务部门与业务科室共享预算执行和项目进展数据</w:t>
      </w:r>
      <w:r>
        <w:rPr>
          <w:rFonts w:hint="eastAsia" w:ascii="仿宋" w:hAnsi="仿宋" w:eastAsia="仿宋"/>
          <w:sz w:val="32"/>
          <w:szCs w:val="32"/>
          <w:lang w:eastAsia="zh-CN"/>
        </w:rPr>
        <w:t>，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确保资金拨付与项目进度同步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，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对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项目建设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等实施现场调度。</w:t>
      </w:r>
    </w:p>
    <w:p w14:paraId="3B723357">
      <w:pPr>
        <w:ind w:firstLine="755" w:firstLineChars="236"/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</w:pP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3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、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履职效能</w:t>
      </w:r>
    </w:p>
    <w:p w14:paraId="77D6315F">
      <w:pPr>
        <w:ind w:firstLine="755" w:firstLineChars="236"/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（1）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经济发展：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</w:rPr>
        <w:t>牵头制定“七大攻坚”实施方案，建立“三抓三比三提升”机制，围绕主要经济指标、GDP基础指标、高频指标实行“周调度、月通报、季总结”，推动全市经济总体呈现“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稳中有进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</w:rPr>
        <w:t>、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进中向好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</w:rPr>
        <w:t>”的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良好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</w:rPr>
        <w:t>态势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，全市地区生产总值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</w:rPr>
        <w:t>增长6%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。加强高质量发展综合绩效评价工作调度，系统建立分析模型，适时为市委、市政府领导提供决策参考，牵头负责的15项高质量发展综合绩效评价指标基本全部实现正向提升。</w:t>
      </w:r>
    </w:p>
    <w:p w14:paraId="1BA5E0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firstLine="640" w:firstLineChars="200"/>
        <w:jc w:val="both"/>
        <w:textAlignment w:val="auto"/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（2）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项目建设：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深化“项目大谋划 谋划大项目”专项行动，动态优化“1+16”项目储备体系，进入国家重大建设项目储备库595个，纳入省重点项目46个，均创历史新高。争取“三类”国省资金133亿元、增长19.6%。省、市重点项目完成年度投资较去年均增长9.1%，带动固定资产投资增长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3.8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%，产业投资、制造业投资、高新技术产业投资分别增长11.1%、7.3%、8.2%。㵲水大型灌区、洞天高速、铜天高速等重大项目开工建设，遵义—吉安天然气管道（湖南段）建设项目进入可研阶段。</w:t>
      </w:r>
    </w:p>
    <w:p w14:paraId="01C690E2">
      <w:pPr>
        <w:pStyle w:val="10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left="0" w:right="0" w:firstLine="640" w:firstLineChars="200"/>
        <w:textAlignment w:val="auto"/>
        <w:rPr>
          <w:rFonts w:hint="default" w:ascii="仿宋" w:hAnsi="仿宋" w:eastAsia="仿宋" w:cs="Segoe UI"/>
          <w:color w:val="1F2329"/>
          <w:w w:val="10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（3）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区域协调</w:t>
      </w:r>
      <w:r>
        <w:rPr>
          <w:rFonts w:ascii="仿宋" w:hAnsi="仿宋" w:eastAsia="仿宋" w:cs="Segoe UI"/>
          <w:color w:val="1F2329"/>
          <w:w w:val="100"/>
          <w:kern w:val="2"/>
          <w:sz w:val="32"/>
          <w:szCs w:val="32"/>
          <w:shd w:val="clear" w:color="auto" w:fill="FFFFFF"/>
          <w:lang w:val="en-US" w:eastAsia="zh-CN" w:bidi="ar-SA"/>
        </w:rPr>
        <w:t>：</w:t>
      </w:r>
      <w:r>
        <w:rPr>
          <w:rFonts w:hint="default" w:ascii="仿宋" w:hAnsi="仿宋" w:eastAsia="仿宋" w:cs="Segoe UI"/>
          <w:color w:val="1F2329"/>
          <w:w w:val="100"/>
          <w:kern w:val="2"/>
          <w:sz w:val="32"/>
          <w:szCs w:val="32"/>
          <w:shd w:val="clear" w:color="auto" w:fill="FFFFFF"/>
          <w:lang w:val="en-US" w:eastAsia="zh-CN" w:bidi="ar-SA"/>
        </w:rPr>
        <w:t>积极落实“13+2”省际协商合作机制，共同签署《区块链赋能数字陆海新通道合作框架协议》，有序推进怀化与广东湛江市、广西钦州市、广西崇左市的战略合作。积极融入全省中欧班列“1+4”集疏运体系，促进怀化东盟货运集结中心与长沙中欧班列集结中心协同联动，拓宽外向型物流通道。持续推动物流降本增效，怀化国际陆港多式联运中心、高标准仓储基地等重点物流项目顺利推进，全年社会物流总费用与GDP的比率降至14.2%，较2024年下降0.4个百分点。</w:t>
      </w:r>
    </w:p>
    <w:p w14:paraId="04312A69">
      <w:pPr>
        <w:ind w:firstLine="755" w:firstLineChars="236"/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</w:pP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4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、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社会效应</w:t>
      </w:r>
    </w:p>
    <w:p w14:paraId="7A0152B0">
      <w:pPr>
        <w:ind w:firstLine="755" w:firstLineChars="236"/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（1）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就业带动：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" w:eastAsia="zh-CN"/>
        </w:rPr>
        <w:t>深入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</w:rPr>
        <w:t>推进以人为本的新型城镇化，城镇化率提升至51.5％。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推广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</w:rPr>
        <w:t>以工代赈项目68个，带动务工群众7000人，发放劳务报酬2.1亿元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、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</w:rPr>
        <w:t>排全省第3。</w:t>
      </w:r>
    </w:p>
    <w:p w14:paraId="629E0370">
      <w:pPr>
        <w:ind w:firstLine="755" w:firstLineChars="236"/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（2）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公共服务：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</w:rPr>
        <w:t>争取各类民生建设项目资金21.58亿元，推动“两馆一院”建成运营，14所县域普通高中、21所乡镇寄宿制学校完成标准化改造，全市乡镇卫生院标准化建设实现全覆盖。</w:t>
      </w:r>
    </w:p>
    <w:p w14:paraId="1922DCAC">
      <w:pPr>
        <w:ind w:firstLine="755" w:firstLineChars="236"/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</w:pP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5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、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可持续发展能力</w:t>
      </w:r>
    </w:p>
    <w:p w14:paraId="1FA13FBF">
      <w:pPr>
        <w:ind w:firstLine="755" w:firstLineChars="236"/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（1）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产业规划：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持续完善“5+10”现代化产业体系，推动竹业、绿色矿业独立成链，生物基新材料产业链完成整合，县市区主特产业链从47条优化调整至34条。10条重点产业链规模工业总产值突破900亿元、增长16.4%，增速高于规工8.4个百分点，其中箱包皮具、竹业产业链产值增速均超30%。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</w:rPr>
        <w:t>新创省级先进制造业集群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</w:rPr>
        <w:t>个、中小企业特色产业集群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</w:rPr>
        <w:t>个。</w:t>
      </w:r>
    </w:p>
    <w:p w14:paraId="4837FF4D">
      <w:pPr>
        <w:ind w:firstLine="755" w:firstLineChars="236"/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（2）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生态保护：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扎实推进“五好园区”建设，园区规模工业增加值增长5%，占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全市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比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重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达62%。3家园区入列全省“五好”园区综合评价前50名，洪江高新区（洪江区）获评国家级绿色园区。</w:t>
      </w:r>
    </w:p>
    <w:p w14:paraId="0CA06A04">
      <w:pPr>
        <w:ind w:firstLine="755" w:firstLineChars="236"/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</w:pP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6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、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服务对象满意度</w:t>
      </w:r>
    </w:p>
    <w:p w14:paraId="2F013232">
      <w:pPr>
        <w:ind w:firstLine="755" w:firstLineChars="236"/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</w:pP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202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年办理人大建议和政协提案件，按时办结率100%，回访满意度98.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%。政务服务科通过“互联网+政务服务”平台，投资项目审批时限压缩60%，企业群众好评率达99.2%。</w:t>
      </w:r>
    </w:p>
    <w:p w14:paraId="471451EB">
      <w:pPr>
        <w:ind w:firstLine="755" w:firstLineChars="236"/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</w:pP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（三）重点项目绩效情况</w:t>
      </w:r>
    </w:p>
    <w:p w14:paraId="6B242122">
      <w:pPr>
        <w:ind w:firstLine="755" w:firstLineChars="236"/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1、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项目前期工作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经费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: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主要用于重大项目可研编制、手续办理、专家评审、谋划储备等工作。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通过优化工作流程、统筹资源配置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，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进入国家重大建设项目储备库595个，纳入省重点项目46个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，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争取“三类”国省资金133亿元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，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有力推动项目开工建设，夯实项目储备基础，有效拉动固定资产投资，服务全市经济发展大局。</w:t>
      </w:r>
    </w:p>
    <w:p w14:paraId="5DAA8DD1">
      <w:pPr>
        <w:ind w:firstLine="755" w:firstLineChars="236"/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" w:hAnsi="仿宋" w:eastAsia="仿宋" w:cs="Segoe UI"/>
          <w:color w:val="auto"/>
          <w:sz w:val="32"/>
          <w:szCs w:val="32"/>
          <w:shd w:val="clear" w:color="auto" w:fill="FFFFFF"/>
          <w:lang w:val="en-US" w:eastAsia="zh-CN"/>
        </w:rPr>
        <w:t>2、</w:t>
      </w:r>
      <w:r>
        <w:rPr>
          <w:rFonts w:hint="eastAsia" w:ascii="仿宋" w:hAnsi="仿宋" w:eastAsia="仿宋" w:cs="Segoe UI"/>
          <w:color w:val="auto"/>
          <w:sz w:val="32"/>
          <w:szCs w:val="32"/>
          <w:shd w:val="clear" w:color="auto" w:fill="FFFFFF"/>
        </w:rPr>
        <w:t>生态产品价值实现机制试点工作年度工作经费;</w:t>
      </w:r>
      <w:r>
        <w:rPr>
          <w:rFonts w:hint="eastAsia" w:ascii="仿宋" w:hAnsi="仿宋" w:eastAsia="仿宋" w:cs="Segoe UI"/>
          <w:color w:val="auto"/>
          <w:sz w:val="32"/>
          <w:szCs w:val="32"/>
          <w:shd w:val="clear" w:color="auto" w:fill="FFFFFF"/>
          <w:lang w:eastAsia="zh-CN"/>
        </w:rPr>
        <w:t>主要用于生态产品价值实现机制试点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的方案编制、调查监测、价值核算、试点推进等相关工作。为建立健全工作机制，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出台《怀化市推进生态产品价值实现机制试点工作三年行动方案(2025-2027年)》，成功获批全省环境权益抵质押融资试点，探索完成全省首笔水土保持生态产品价值转化交易，实现全省首例“国有建设用地+VEP”项目交易。</w:t>
      </w:r>
    </w:p>
    <w:p w14:paraId="434BC527">
      <w:pPr>
        <w:ind w:firstLine="755" w:firstLineChars="236"/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</w:pP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3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</w:rPr>
        <w:t>、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粮食安全保障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有关经费：主要用于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粮食调控和储备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、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粮食仓储设施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维修维护等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。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为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全面落实粮食安全责任制，地方储备粮轮出3.08万吨、轮入2.78万吨。建设国家储备粮源基地17万亩。怀化国际粮食物流加工产业园项目有序推进，50万吨仓容项目即将落地签约。加强国际粮食合作，与老挝合作建成杂交水稻基地7000亩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，</w:t>
      </w:r>
      <w:r>
        <w:rPr>
          <w:rFonts w:hint="default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深化与东盟粮食安全合作，加快怀化国际粮油物流加工产业园建设。</w:t>
      </w:r>
    </w:p>
    <w:p w14:paraId="08F6D496">
      <w:pPr>
        <w:ind w:firstLine="755" w:firstLineChars="236"/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</w:pP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（四）预算资金管理与资产管理结合情况</w:t>
      </w:r>
    </w:p>
    <w:p w14:paraId="0C55CE92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市发改委严格执行预算资金与资产管理联动机制，新增资产配置全部纳入预算管理。项目资金使用中，定期盘点形成资产台账，确保国有资产保值增值。202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ascii="仿宋" w:hAnsi="仿宋" w:eastAsia="仿宋" w:cs="Segoe UI"/>
          <w:color w:val="1F2329"/>
          <w:sz w:val="32"/>
          <w:szCs w:val="32"/>
          <w:shd w:val="clear" w:color="auto" w:fill="FFFFFF"/>
        </w:rPr>
        <w:t>年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eastAsia="zh-CN"/>
        </w:rPr>
        <w:t>度新增资产</w:t>
      </w:r>
      <w:r>
        <w:rPr>
          <w:rFonts w:hint="eastAsia" w:ascii="仿宋" w:hAnsi="仿宋" w:eastAsia="仿宋" w:cs="Segoe UI"/>
          <w:color w:val="1F2329"/>
          <w:sz w:val="32"/>
          <w:szCs w:val="32"/>
          <w:shd w:val="clear" w:color="auto" w:fill="FFFFFF"/>
          <w:lang w:val="en-US" w:eastAsia="zh-CN"/>
        </w:rPr>
        <w:t>27.33万元，主要为购置公务用车一台、办公电脑、空调及质检监测设备等。</w:t>
      </w:r>
    </w:p>
    <w:p w14:paraId="776F8573">
      <w:pPr>
        <w:ind w:firstLine="758" w:firstLineChars="236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九、存在的问题及原因分析</w:t>
      </w:r>
    </w:p>
    <w:p w14:paraId="00348D2D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（一）预算执行偏离问题</w:t>
      </w:r>
    </w:p>
    <w:p w14:paraId="05233215">
      <w:pPr>
        <w:ind w:firstLine="755" w:firstLineChars="236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ascii="仿宋" w:hAnsi="仿宋" w:eastAsia="仿宋"/>
          <w:sz w:val="32"/>
          <w:szCs w:val="32"/>
        </w:rPr>
        <w:t>部分项目执行率低：</w:t>
      </w:r>
      <w:r>
        <w:rPr>
          <w:rFonts w:hint="eastAsia" w:ascii="仿宋" w:hAnsi="仿宋" w:eastAsia="仿宋"/>
          <w:sz w:val="32"/>
          <w:szCs w:val="32"/>
          <w:lang w:eastAsia="zh-CN"/>
        </w:rPr>
        <w:t>一是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项目预算资金难以执行到位，列入当年度的项目实施完成已达支付条件，但无法按合同要求及时支付，即使结转至下年度也难以拨付到位，影响项目正常开展；二是疏散基地年初预算数2350万元，预算执行数110万元，资金到位率4.68%,</w:t>
      </w:r>
      <w:r>
        <w:rPr>
          <w:rFonts w:ascii="仿宋" w:hAnsi="仿宋" w:eastAsia="仿宋"/>
          <w:sz w:val="32"/>
          <w:szCs w:val="32"/>
        </w:rPr>
        <w:t>存在预算</w:t>
      </w:r>
      <w:r>
        <w:rPr>
          <w:rFonts w:hint="eastAsia" w:ascii="仿宋" w:hAnsi="仿宋" w:eastAsia="仿宋"/>
          <w:sz w:val="32"/>
          <w:szCs w:val="32"/>
          <w:lang w:eastAsia="zh-CN"/>
        </w:rPr>
        <w:t>资金到位</w:t>
      </w:r>
      <w:r>
        <w:rPr>
          <w:rFonts w:ascii="仿宋" w:hAnsi="仿宋" w:eastAsia="仿宋"/>
          <w:sz w:val="32"/>
          <w:szCs w:val="32"/>
        </w:rPr>
        <w:t>率</w:t>
      </w:r>
      <w:r>
        <w:rPr>
          <w:rFonts w:hint="eastAsia" w:ascii="仿宋" w:hAnsi="仿宋" w:eastAsia="仿宋"/>
          <w:sz w:val="32"/>
          <w:szCs w:val="32"/>
          <w:lang w:eastAsia="zh-CN"/>
        </w:rPr>
        <w:t>严重</w:t>
      </w:r>
      <w:r>
        <w:rPr>
          <w:rFonts w:ascii="仿宋" w:hAnsi="仿宋" w:eastAsia="仿宋"/>
          <w:sz w:val="32"/>
          <w:szCs w:val="32"/>
        </w:rPr>
        <w:t>不足的情况。</w:t>
      </w:r>
      <w:r>
        <w:rPr>
          <w:rFonts w:hint="eastAsia" w:ascii="仿宋" w:hAnsi="仿宋" w:eastAsia="仿宋"/>
          <w:sz w:val="32"/>
          <w:szCs w:val="32"/>
          <w:lang w:eastAsia="zh-CN"/>
        </w:rPr>
        <w:t>主要原因为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人防工程建设项目经费保障来源为人防易地建设费，当前房地产开发降温，市本级房地产新开发项目骤减，加之省政府297号令再次强调人防工程“应建必建”要求，导致市本级人防易地建设费源严重萎缩，建设资金已难以保障。</w:t>
      </w:r>
    </w:p>
    <w:p w14:paraId="195E288A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（二）项目管理</w:t>
      </w:r>
      <w:r>
        <w:rPr>
          <w:rFonts w:hint="eastAsia" w:ascii="仿宋" w:hAnsi="仿宋" w:eastAsia="仿宋"/>
          <w:sz w:val="32"/>
          <w:szCs w:val="32"/>
        </w:rPr>
        <w:t>问题</w:t>
      </w:r>
    </w:p>
    <w:p w14:paraId="0F05CFD5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人防工程“重建设、轻管理”问题突出，</w:t>
      </w:r>
      <w:r>
        <w:rPr>
          <w:rFonts w:hint="eastAsia" w:ascii="仿宋" w:hAnsi="仿宋" w:eastAsia="仿宋"/>
          <w:sz w:val="32"/>
          <w:szCs w:val="32"/>
          <w:lang w:eastAsia="zh-CN"/>
        </w:rPr>
        <w:t>存在</w:t>
      </w:r>
      <w:r>
        <w:rPr>
          <w:rFonts w:ascii="仿宋" w:hAnsi="仿宋" w:eastAsia="仿宋"/>
          <w:sz w:val="32"/>
          <w:szCs w:val="32"/>
        </w:rPr>
        <w:t>老旧工程缺乏持续性维护，设施设备养护不足、人防标识不统一等问题，影响工程效能发挥。主要是监管保障机制不健全、维管责任主体不明确、维护资金保障不到位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65E9042">
      <w:pPr>
        <w:ind w:firstLine="758" w:firstLineChars="236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十、下一步改进措施</w:t>
      </w:r>
    </w:p>
    <w:p w14:paraId="2D3AB5A8">
      <w:pPr>
        <w:ind w:firstLine="755" w:firstLineChars="236"/>
        <w:rPr>
          <w:rFonts w:hint="eastAsia"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（一）</w:t>
      </w:r>
      <w:r>
        <w:rPr>
          <w:rFonts w:ascii="仿宋" w:hAnsi="仿宋" w:eastAsia="仿宋"/>
          <w:color w:val="auto"/>
          <w:sz w:val="32"/>
          <w:szCs w:val="32"/>
        </w:rPr>
        <w:t>强化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前期对接，加快资金指标落地</w:t>
      </w:r>
    </w:p>
    <w:p w14:paraId="09E409D6">
      <w:pPr>
        <w:ind w:firstLine="755" w:firstLineChars="236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主动对接财政、主管部门，建立资金指标常态化对接机制。对年度预算项目、上级转移支付项目、专项补助项目实行清单化管理，逐项跟踪指标下达、额度锁定进度。对预计延迟下达的资金提前预警，及时沟通原因、争取尽快指标落地，从源头提升资金到位时效，杜绝因对接不及时导致资金滞留、到位滞后问题。</w:t>
      </w:r>
    </w:p>
    <w:p w14:paraId="3063A8B0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/>
          <w:sz w:val="32"/>
          <w:szCs w:val="32"/>
        </w:rPr>
        <w:t>二</w:t>
      </w:r>
      <w:r>
        <w:rPr>
          <w:rFonts w:ascii="仿宋" w:hAnsi="仿宋" w:eastAsia="仿宋"/>
          <w:sz w:val="32"/>
          <w:szCs w:val="32"/>
        </w:rPr>
        <w:t>）加强项目全周期管控</w:t>
      </w:r>
    </w:p>
    <w:p w14:paraId="11CA8FFC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完善前期筹备机制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ascii="仿宋" w:hAnsi="仿宋" w:eastAsia="仿宋"/>
          <w:sz w:val="32"/>
          <w:szCs w:val="32"/>
        </w:rPr>
        <w:t>项目申报前需完成立项、环评、用地预审等前期工作。对重点项目实行现场调度，完成现有项目的进度问题梳理。</w:t>
      </w:r>
    </w:p>
    <w:p w14:paraId="77829FA8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/>
          <w:sz w:val="32"/>
          <w:szCs w:val="32"/>
        </w:rPr>
        <w:t>三</w:t>
      </w:r>
      <w:r>
        <w:rPr>
          <w:rFonts w:ascii="仿宋" w:hAnsi="仿宋" w:eastAsia="仿宋"/>
          <w:sz w:val="32"/>
          <w:szCs w:val="32"/>
        </w:rPr>
        <w:t>）提升绩效目标达成度</w:t>
      </w:r>
    </w:p>
    <w:p w14:paraId="69D3966D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动态调整目标指标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ascii="仿宋" w:hAnsi="仿宋" w:eastAsia="仿宋"/>
          <w:sz w:val="32"/>
          <w:szCs w:val="32"/>
        </w:rPr>
        <w:t>对因政策变化或市场波动导致无法完成的指标，如部分产业项目产值目标，重新核定并报上级备案。强化效益跟踪评估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ascii="仿宋" w:hAnsi="仿宋" w:eastAsia="仿宋"/>
          <w:sz w:val="32"/>
          <w:szCs w:val="32"/>
        </w:rPr>
        <w:t>对已完工项目开展后评价。</w:t>
      </w:r>
    </w:p>
    <w:p w14:paraId="6BE64139">
      <w:pPr>
        <w:ind w:firstLine="758" w:firstLineChars="236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十一、绩效自评结果拟应用和公开情况</w:t>
      </w:r>
    </w:p>
    <w:p w14:paraId="6ACF4FF6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绩效自评结果将作为</w:t>
      </w:r>
      <w:r>
        <w:rPr>
          <w:rFonts w:hint="eastAsia" w:ascii="仿宋" w:hAnsi="仿宋" w:eastAsia="仿宋"/>
          <w:sz w:val="32"/>
          <w:szCs w:val="32"/>
          <w:lang w:eastAsia="zh-CN"/>
        </w:rPr>
        <w:t>下一年度</w:t>
      </w:r>
      <w:r>
        <w:rPr>
          <w:rFonts w:ascii="仿宋" w:hAnsi="仿宋" w:eastAsia="仿宋"/>
          <w:sz w:val="32"/>
          <w:szCs w:val="32"/>
        </w:rPr>
        <w:t>预算安排的重要依据，对自评得分90分以上的项目优先保障并上浮10%预算，得分70分以下的项目削减20%预算。同时，自评报告将通过市发改委官网公开，接受社会监督，具体公开时间待内部审议后确定。</w:t>
      </w:r>
    </w:p>
    <w:p w14:paraId="4CAE166E">
      <w:pPr>
        <w:ind w:firstLine="758" w:firstLineChars="236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十二、其他需要说明的问题</w:t>
      </w:r>
    </w:p>
    <w:p w14:paraId="059FBEF1">
      <w:pPr>
        <w:ind w:firstLine="755" w:firstLineChars="236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无</w:t>
      </w:r>
    </w:p>
    <w:p w14:paraId="5475F371">
      <w:pPr>
        <w:ind w:firstLine="708" w:firstLineChars="236"/>
        <w:rPr>
          <w:rFonts w:ascii="仿宋" w:hAnsi="仿宋" w:eastAsia="仿宋"/>
          <w:sz w:val="30"/>
          <w:szCs w:val="30"/>
        </w:rPr>
      </w:pPr>
    </w:p>
    <w:sectPr>
      <w:pgSz w:w="11906" w:h="16838"/>
      <w:pgMar w:top="1587" w:right="1587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563"/>
    <w:rsid w:val="00094820"/>
    <w:rsid w:val="000C62FD"/>
    <w:rsid w:val="000E0A43"/>
    <w:rsid w:val="00136CE3"/>
    <w:rsid w:val="00195563"/>
    <w:rsid w:val="001C0169"/>
    <w:rsid w:val="001C2109"/>
    <w:rsid w:val="001C47A2"/>
    <w:rsid w:val="00260725"/>
    <w:rsid w:val="002919A3"/>
    <w:rsid w:val="004357D7"/>
    <w:rsid w:val="00495FB3"/>
    <w:rsid w:val="00550B40"/>
    <w:rsid w:val="005E5C44"/>
    <w:rsid w:val="006B45A2"/>
    <w:rsid w:val="0074527C"/>
    <w:rsid w:val="007B39B8"/>
    <w:rsid w:val="007C7858"/>
    <w:rsid w:val="00822FAF"/>
    <w:rsid w:val="008F4297"/>
    <w:rsid w:val="009B71B2"/>
    <w:rsid w:val="00A21C90"/>
    <w:rsid w:val="00A9410E"/>
    <w:rsid w:val="00B34B37"/>
    <w:rsid w:val="00BE64A9"/>
    <w:rsid w:val="00C448EC"/>
    <w:rsid w:val="00D71E3C"/>
    <w:rsid w:val="00DA6924"/>
    <w:rsid w:val="00E52146"/>
    <w:rsid w:val="00E61F73"/>
    <w:rsid w:val="00EC3770"/>
    <w:rsid w:val="00EE7507"/>
    <w:rsid w:val="00F96273"/>
    <w:rsid w:val="00F96D18"/>
    <w:rsid w:val="00FF6A7F"/>
    <w:rsid w:val="025857DA"/>
    <w:rsid w:val="02FC6355"/>
    <w:rsid w:val="044E5464"/>
    <w:rsid w:val="04BF4664"/>
    <w:rsid w:val="07941E95"/>
    <w:rsid w:val="0ADB25DD"/>
    <w:rsid w:val="0C2B1A59"/>
    <w:rsid w:val="0C7451AE"/>
    <w:rsid w:val="0FBA55CD"/>
    <w:rsid w:val="118934A9"/>
    <w:rsid w:val="12D20E80"/>
    <w:rsid w:val="192A4630"/>
    <w:rsid w:val="19884D2F"/>
    <w:rsid w:val="1BCE12EF"/>
    <w:rsid w:val="1DB013FA"/>
    <w:rsid w:val="1F612F71"/>
    <w:rsid w:val="1FB47A59"/>
    <w:rsid w:val="224B176F"/>
    <w:rsid w:val="25EB42DB"/>
    <w:rsid w:val="265866DA"/>
    <w:rsid w:val="266F6CBA"/>
    <w:rsid w:val="26C03F07"/>
    <w:rsid w:val="26F15898"/>
    <w:rsid w:val="288F53F1"/>
    <w:rsid w:val="28AB14D8"/>
    <w:rsid w:val="2A3C5105"/>
    <w:rsid w:val="2D142369"/>
    <w:rsid w:val="2DEC299E"/>
    <w:rsid w:val="2E1343CF"/>
    <w:rsid w:val="33792F26"/>
    <w:rsid w:val="338A4E59"/>
    <w:rsid w:val="34F56F38"/>
    <w:rsid w:val="358955D4"/>
    <w:rsid w:val="3ED0437F"/>
    <w:rsid w:val="3F810C76"/>
    <w:rsid w:val="40D73786"/>
    <w:rsid w:val="41520451"/>
    <w:rsid w:val="431450D7"/>
    <w:rsid w:val="45603F46"/>
    <w:rsid w:val="466510E8"/>
    <w:rsid w:val="46785C65"/>
    <w:rsid w:val="4E133E73"/>
    <w:rsid w:val="4EEF633A"/>
    <w:rsid w:val="4F990BE7"/>
    <w:rsid w:val="51FE0D6E"/>
    <w:rsid w:val="53A70F92"/>
    <w:rsid w:val="540C51D3"/>
    <w:rsid w:val="563F54B2"/>
    <w:rsid w:val="5DB93B82"/>
    <w:rsid w:val="5DD6446E"/>
    <w:rsid w:val="5E714638"/>
    <w:rsid w:val="5E7951FB"/>
    <w:rsid w:val="60035826"/>
    <w:rsid w:val="60575AEE"/>
    <w:rsid w:val="619C44F2"/>
    <w:rsid w:val="624D417B"/>
    <w:rsid w:val="66481828"/>
    <w:rsid w:val="67C74228"/>
    <w:rsid w:val="692E547F"/>
    <w:rsid w:val="6F714CB1"/>
    <w:rsid w:val="6F8A4CBE"/>
    <w:rsid w:val="71A435BE"/>
    <w:rsid w:val="71AF12E6"/>
    <w:rsid w:val="746E722A"/>
    <w:rsid w:val="74BB69EC"/>
    <w:rsid w:val="76D0242A"/>
    <w:rsid w:val="79DF0BD6"/>
    <w:rsid w:val="7BD225A9"/>
    <w:rsid w:val="7BFF6F2A"/>
    <w:rsid w:val="7CEF7382"/>
    <w:rsid w:val="7D782ED3"/>
    <w:rsid w:val="7E59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黑体" w:hAnsi="黑体" w:eastAsia="黑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w w:val="100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link w:val="14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5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6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7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/>
      <w:jc w:val="left"/>
    </w:pPr>
    <w:rPr>
      <w:sz w:val="32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8">
    <w:name w:val="footer"/>
    <w:basedOn w:val="1"/>
    <w:link w:val="16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5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3">
    <w:name w:val="Strong"/>
    <w:basedOn w:val="12"/>
    <w:qFormat/>
    <w:uiPriority w:val="22"/>
    <w:rPr>
      <w:b/>
      <w:bCs/>
    </w:rPr>
  </w:style>
  <w:style w:type="character" w:customStyle="1" w:styleId="14">
    <w:name w:val="标题 1 Char"/>
    <w:basedOn w:val="12"/>
    <w:link w:val="4"/>
    <w:qFormat/>
    <w:uiPriority w:val="9"/>
    <w:rPr>
      <w:rFonts w:ascii="宋体" w:hAnsi="宋体" w:eastAsia="宋体" w:cs="宋体"/>
      <w:b/>
      <w:bCs/>
      <w:w w:val="100"/>
      <w:kern w:val="36"/>
      <w:sz w:val="48"/>
      <w:szCs w:val="48"/>
    </w:rPr>
  </w:style>
  <w:style w:type="character" w:customStyle="1" w:styleId="15">
    <w:name w:val="页眉 Char"/>
    <w:basedOn w:val="12"/>
    <w:link w:val="9"/>
    <w:semiHidden/>
    <w:qFormat/>
    <w:uiPriority w:val="99"/>
    <w:rPr>
      <w:rFonts w:asciiTheme="minorHAnsi" w:hAnsiTheme="minorHAnsi" w:eastAsiaTheme="minorEastAsia"/>
      <w:w w:val="100"/>
      <w:sz w:val="18"/>
      <w:szCs w:val="18"/>
    </w:rPr>
  </w:style>
  <w:style w:type="character" w:customStyle="1" w:styleId="16">
    <w:name w:val="页脚 Char"/>
    <w:basedOn w:val="12"/>
    <w:link w:val="8"/>
    <w:semiHidden/>
    <w:qFormat/>
    <w:uiPriority w:val="99"/>
    <w:rPr>
      <w:rFonts w:asciiTheme="minorHAnsi" w:hAnsiTheme="minorHAnsi" w:eastAsiaTheme="minorEastAsia"/>
      <w:w w:val="100"/>
      <w:sz w:val="18"/>
      <w:szCs w:val="18"/>
    </w:rPr>
  </w:style>
  <w:style w:type="character" w:customStyle="1" w:styleId="17">
    <w:name w:val="标题 2 Char"/>
    <w:basedOn w:val="12"/>
    <w:link w:val="5"/>
    <w:semiHidden/>
    <w:qFormat/>
    <w:uiPriority w:val="9"/>
    <w:rPr>
      <w:rFonts w:asciiTheme="majorHAnsi" w:hAnsiTheme="majorHAnsi" w:eastAsiaTheme="majorEastAsia" w:cstheme="majorBidi"/>
      <w:b/>
      <w:bCs/>
      <w:w w:val="100"/>
      <w:sz w:val="32"/>
      <w:szCs w:val="32"/>
    </w:rPr>
  </w:style>
  <w:style w:type="character" w:customStyle="1" w:styleId="18">
    <w:name w:val="标题 3 Char"/>
    <w:basedOn w:val="12"/>
    <w:link w:val="6"/>
    <w:semiHidden/>
    <w:qFormat/>
    <w:uiPriority w:val="9"/>
    <w:rPr>
      <w:rFonts w:asciiTheme="minorHAnsi" w:hAnsiTheme="minorHAnsi" w:eastAsiaTheme="minorEastAsia"/>
      <w:b/>
      <w:bCs/>
      <w:w w:val="100"/>
      <w:sz w:val="32"/>
      <w:szCs w:val="32"/>
    </w:rPr>
  </w:style>
  <w:style w:type="character" w:customStyle="1" w:styleId="19">
    <w:name w:val="标题 4 Char"/>
    <w:basedOn w:val="12"/>
    <w:link w:val="7"/>
    <w:semiHidden/>
    <w:qFormat/>
    <w:uiPriority w:val="9"/>
    <w:rPr>
      <w:rFonts w:asciiTheme="majorHAnsi" w:hAnsiTheme="majorHAnsi" w:eastAsiaTheme="majorEastAsia" w:cstheme="majorBidi"/>
      <w:b/>
      <w:bCs/>
      <w:w w:val="10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5989</Words>
  <Characters>6302</Characters>
  <Lines>50</Lines>
  <Paragraphs>14</Paragraphs>
  <TotalTime>2</TotalTime>
  <ScaleCrop>false</ScaleCrop>
  <LinksUpToDate>false</LinksUpToDate>
  <CharactersWithSpaces>6315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2025-06-10T17:35:00Z</dcterms:created>
  <dc:creator>Administrator</dc:creator>
  <cp:lastModifiedBy>阿菲</cp:lastModifiedBy>
  <dcterms:modified xsi:type="dcterms:W3CDTF">2026-06-15T03:24:51Z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eyJoZGlkIjoiOTAyMzE4NmNjMDMyOWRiNzdjMGFlZTJjMzVhYWI1ZGQiLCJ1c2VySWQiOiIyNTcwMjkxNjUifQ==</vt:lpwstr>
  </property>
  <property fmtid="{D5CDD505-2E9C-101B-9397-08002B2CF9AE}" pid="3" name="KSOProductBuildVer">
    <vt:lpwstr>2052-12.1.0.26375</vt:lpwstr>
  </property>
  <property fmtid="{D5CDD505-2E9C-101B-9397-08002B2CF9AE}" pid="4" name="ICV">
    <vt:lpwstr>B52641179B104C15ADF8FA33F97F441A_13</vt:lpwstr>
  </property>
</Properties>
</file>