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6D2FA">
      <w:pPr>
        <w:widowControl/>
        <w:spacing w:line="600" w:lineRule="exact"/>
        <w:ind w:firstLine="1120" w:firstLineChars="200"/>
        <w:jc w:val="center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-297180</wp:posOffset>
                </wp:positionV>
                <wp:extent cx="1523365" cy="517525"/>
                <wp:effectExtent l="0" t="0" r="635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9590" y="935990"/>
                          <a:ext cx="1523365" cy="517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FC84D">
                            <w:pPr>
                              <w:rPr>
                                <w:rFonts w:hint="eastAsia" w:ascii="楷体" w:hAnsi="楷体" w:eastAsia="楷体" w:cs="楷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30"/>
                                <w:szCs w:val="30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eastAsia" w:ascii="楷体" w:hAnsi="楷体" w:eastAsia="楷体" w:cs="楷体"/>
                                <w:sz w:val="30"/>
                                <w:szCs w:val="30"/>
                                <w:lang w:val="en-US" w:eastAsia="zh-CN"/>
                              </w:rPr>
                              <w:t>1：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6pt;margin-top:-23.4pt;height:40.75pt;width:119.95pt;z-index:251659264;mso-width-relative:page;mso-height-relative:page;" fillcolor="#FFFFFF [3201]" filled="t" stroked="f" coordsize="21600,21600" o:gfxdata="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cvAmUNYAAAAK&#10;AQAADwAAAAAAAAABACAAAAAiAAAAZHJzL2Rvd25yZXYueG1sUEsBAhQAFAAAAAgAh07iQEe/k8dX&#10;AgAAmgQAAA4AAAAAAAAAAQAgAAAAJ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49FC84D">
                      <w:pPr>
                        <w:rPr>
                          <w:rFonts w:hint="eastAsia" w:ascii="楷体" w:hAnsi="楷体" w:eastAsia="楷体" w:cs="楷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30"/>
                          <w:szCs w:val="30"/>
                          <w:lang w:eastAsia="zh-CN"/>
                        </w:rPr>
                        <w:t>附件</w:t>
                      </w:r>
                      <w:r>
                        <w:rPr>
                          <w:rFonts w:hint="eastAsia" w:ascii="楷体" w:hAnsi="楷体" w:eastAsia="楷体" w:cs="楷体"/>
                          <w:sz w:val="30"/>
                          <w:szCs w:val="30"/>
                          <w:lang w:val="en-US" w:eastAsia="zh-CN"/>
                        </w:rPr>
                        <w:t>1：</w:t>
                      </w:r>
                    </w:p>
                  </w:txbxContent>
                </v:textbox>
              </v:shape>
            </w:pict>
          </mc:Fallback>
        </mc:AlternateContent>
      </w:r>
    </w:p>
    <w:p w14:paraId="17C57912">
      <w:pPr>
        <w:pStyle w:val="17"/>
        <w:jc w:val="center"/>
        <w:rPr>
          <w:rFonts w:hint="eastAsia" w:ascii="仿宋" w:hAnsi="仿宋" w:eastAsia="仿宋" w:cs="方正小标宋简体"/>
          <w:b/>
          <w:bCs/>
          <w:kern w:val="0"/>
          <w:sz w:val="48"/>
          <w:szCs w:val="48"/>
        </w:rPr>
      </w:pPr>
      <w:r>
        <w:rPr>
          <w:rFonts w:hint="eastAsia" w:ascii="仿宋" w:hAnsi="仿宋" w:eastAsia="仿宋" w:cs="方正小标宋简体"/>
          <w:b/>
          <w:bCs/>
          <w:kern w:val="0"/>
          <w:sz w:val="48"/>
          <w:szCs w:val="48"/>
          <w:lang w:eastAsia="zh-CN"/>
        </w:rPr>
        <w:t>2025</w:t>
      </w:r>
      <w:r>
        <w:rPr>
          <w:rFonts w:hint="eastAsia" w:ascii="仿宋" w:hAnsi="仿宋" w:eastAsia="仿宋" w:cs="方正小标宋简体"/>
          <w:b/>
          <w:bCs/>
          <w:kern w:val="0"/>
          <w:sz w:val="48"/>
          <w:szCs w:val="48"/>
        </w:rPr>
        <w:t>年度湖南怀化国家农业科技园区</w:t>
      </w:r>
    </w:p>
    <w:p w14:paraId="24CB23E8">
      <w:pPr>
        <w:pStyle w:val="17"/>
        <w:jc w:val="center"/>
        <w:rPr>
          <w:sz w:val="32"/>
          <w:szCs w:val="32"/>
        </w:rPr>
      </w:pPr>
      <w:r>
        <w:rPr>
          <w:rFonts w:hint="eastAsia" w:ascii="仿宋" w:hAnsi="仿宋" w:eastAsia="仿宋" w:cs="方正小标宋简体"/>
          <w:b/>
          <w:bCs/>
          <w:kern w:val="0"/>
          <w:sz w:val="48"/>
          <w:szCs w:val="48"/>
        </w:rPr>
        <w:t>管理委员会部门决算</w:t>
      </w:r>
    </w:p>
    <w:p w14:paraId="793AD4FB">
      <w:pPr>
        <w:pStyle w:val="17"/>
        <w:spacing w:line="500" w:lineRule="exact"/>
        <w:jc w:val="both"/>
        <w:rPr>
          <w:b/>
          <w:sz w:val="36"/>
          <w:szCs w:val="28"/>
        </w:rPr>
      </w:pPr>
    </w:p>
    <w:p w14:paraId="39CCB519">
      <w:pPr>
        <w:widowControl/>
        <w:spacing w:line="600" w:lineRule="exact"/>
        <w:ind w:firstLine="640" w:firstLineChars="200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目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录</w:t>
      </w:r>
    </w:p>
    <w:p w14:paraId="1D068CCE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第一部分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湖南怀化国家农业科技园区管理委员会概况</w:t>
      </w:r>
    </w:p>
    <w:p w14:paraId="3C40C69D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一、部门职责</w:t>
      </w:r>
    </w:p>
    <w:p w14:paraId="6FFAD65F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二、机构设置</w:t>
      </w:r>
    </w:p>
    <w:p w14:paraId="5DD5EE13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第二部分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部门决算表</w:t>
      </w:r>
    </w:p>
    <w:p w14:paraId="0214DED1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一、收入支出决算总表</w:t>
      </w:r>
    </w:p>
    <w:p w14:paraId="33EEBE14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二、收入决算表</w:t>
      </w:r>
    </w:p>
    <w:p w14:paraId="020D099C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三、支出决算表</w:t>
      </w:r>
    </w:p>
    <w:p w14:paraId="3855BAF2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四、财政拨款收入支出决算总表</w:t>
      </w:r>
    </w:p>
    <w:p w14:paraId="0DC40459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五、一般公共预算财政拨款支出决算表</w:t>
      </w:r>
    </w:p>
    <w:p w14:paraId="11C86E7B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六、一般公共预算财政拨款基本支出决算明细表</w:t>
      </w:r>
    </w:p>
    <w:p w14:paraId="3F5BFD01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七、政府性基金预算财政拨款收入支出决算表</w:t>
      </w:r>
    </w:p>
    <w:p w14:paraId="4A62A600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八、国有资本经营预算财政拨款支出决算表</w:t>
      </w:r>
    </w:p>
    <w:p w14:paraId="7E534261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九、财政拨款“三公”经费支出决算表</w:t>
      </w:r>
    </w:p>
    <w:p w14:paraId="7EDEFFCC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第三部分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部门决算情况说明</w:t>
      </w:r>
    </w:p>
    <w:p w14:paraId="0162C8C8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一、收入支出决算总体情况说明</w:t>
      </w:r>
    </w:p>
    <w:p w14:paraId="0153C6BE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二、收入决算情况说明</w:t>
      </w:r>
    </w:p>
    <w:p w14:paraId="2AD2FE43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三、支出决算情况说明</w:t>
      </w:r>
    </w:p>
    <w:p w14:paraId="75D7924A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四、财政拨款收入支出决算总体情况说明</w:t>
      </w:r>
    </w:p>
    <w:p w14:paraId="4BB26B23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五、一般公共预算财政拨款支出决算情况说明</w:t>
      </w:r>
    </w:p>
    <w:p w14:paraId="117C41E8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六、一般公共预算财政拨款基本支出决算情况说明</w:t>
      </w:r>
    </w:p>
    <w:p w14:paraId="1E50A179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七、财政拨款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三公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经费支出决算情况说明</w:t>
      </w:r>
    </w:p>
    <w:p w14:paraId="2A8DEAAF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八、政府性基金预算收入支出决算情况</w:t>
      </w:r>
    </w:p>
    <w:p w14:paraId="39CF6206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九、</w:t>
      </w:r>
      <w:r>
        <w:rPr>
          <w:rFonts w:hint="eastAsia" w:ascii="仿宋" w:hAnsi="仿宋" w:eastAsia="仿宋" w:cs="仿宋"/>
          <w:sz w:val="32"/>
          <w:szCs w:val="32"/>
        </w:rPr>
        <w:t>国有资本经营预算收入支出决算情况</w:t>
      </w:r>
    </w:p>
    <w:p w14:paraId="6CCB867A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</w:t>
      </w:r>
      <w:r>
        <w:rPr>
          <w:rFonts w:hint="eastAsia" w:ascii="仿宋" w:hAnsi="仿宋" w:eastAsia="仿宋" w:cs="仿宋"/>
          <w:sz w:val="32"/>
          <w:szCs w:val="32"/>
        </w:rPr>
        <w:t>、关于机关运行经费支出说明</w:t>
      </w:r>
    </w:p>
    <w:p w14:paraId="3C42E13E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</w:rPr>
        <w:t>、一般性支出情况说明</w:t>
      </w:r>
    </w:p>
    <w:p w14:paraId="669A0EAA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、关于政府采购支出说明</w:t>
      </w:r>
    </w:p>
    <w:p w14:paraId="08C072BE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、关于国有资产占用情况说明</w:t>
      </w:r>
    </w:p>
    <w:p w14:paraId="62C2BC73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、关于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2025</w:t>
      </w:r>
      <w:r>
        <w:rPr>
          <w:rFonts w:hint="eastAsia" w:ascii="仿宋" w:hAnsi="仿宋" w:eastAsia="仿宋" w:cs="仿宋"/>
          <w:sz w:val="32"/>
          <w:szCs w:val="32"/>
        </w:rPr>
        <w:t>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</w:t>
      </w:r>
      <w:r>
        <w:rPr>
          <w:rFonts w:hint="eastAsia" w:ascii="仿宋" w:hAnsi="仿宋" w:eastAsia="仿宋" w:cs="仿宋"/>
          <w:sz w:val="32"/>
          <w:szCs w:val="32"/>
        </w:rPr>
        <w:t>绩效情况的说明</w:t>
      </w:r>
    </w:p>
    <w:p w14:paraId="428DD0AF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第四部分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名词解释</w:t>
      </w:r>
    </w:p>
    <w:p w14:paraId="0DAED9F7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Times New Roman"/>
          <w:b/>
          <w:bCs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第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</w:rPr>
        <w:t>部分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  <w:lang w:eastAsia="zh-CN"/>
        </w:rPr>
        <w:t>附件</w:t>
      </w:r>
    </w:p>
    <w:p w14:paraId="56979516">
      <w:pPr>
        <w:widowControl/>
        <w:spacing w:line="600" w:lineRule="exact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0068FAA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kern w:val="0"/>
          <w:sz w:val="44"/>
          <w:szCs w:val="44"/>
        </w:rPr>
        <w:t xml:space="preserve">第一部分 </w:t>
      </w:r>
    </w:p>
    <w:p w14:paraId="4A945FA6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</w:p>
    <w:p w14:paraId="4FCAE4F4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Times New Roman"/>
          <w:kern w:val="0"/>
          <w:sz w:val="44"/>
          <w:szCs w:val="44"/>
          <w:lang w:eastAsia="zh-CN"/>
        </w:rPr>
        <w:t>湖南怀化国家农业科技园区</w:t>
      </w:r>
    </w:p>
    <w:p w14:paraId="73C183F9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kern w:val="0"/>
          <w:sz w:val="44"/>
          <w:szCs w:val="44"/>
          <w:lang w:eastAsia="zh-CN"/>
        </w:rPr>
        <w:t>管理委员会</w:t>
      </w:r>
      <w:r>
        <w:rPr>
          <w:rFonts w:hint="eastAsia" w:ascii="黑体" w:hAnsi="黑体" w:eastAsia="黑体" w:cs="Times New Roman"/>
          <w:kern w:val="0"/>
          <w:sz w:val="44"/>
          <w:szCs w:val="44"/>
        </w:rPr>
        <w:t>概况</w:t>
      </w:r>
    </w:p>
    <w:p w14:paraId="1D6452F6">
      <w:pPr>
        <w:widowControl/>
        <w:spacing w:line="600" w:lineRule="exact"/>
        <w:jc w:val="left"/>
        <w:rPr>
          <w:rFonts w:hint="eastAsia" w:ascii="黑体" w:hAnsi="黑体" w:eastAsia="黑体" w:cs="仿宋"/>
          <w:sz w:val="32"/>
          <w:szCs w:val="32"/>
        </w:rPr>
      </w:pPr>
    </w:p>
    <w:p w14:paraId="66C8560C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仿宋"/>
          <w:sz w:val="32"/>
          <w:szCs w:val="32"/>
        </w:rPr>
        <w:t>部门职责</w:t>
      </w:r>
    </w:p>
    <w:p w14:paraId="350CB9CE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（一）负责贯彻执行党和国家关于农业科技园区的方针政策、法律法规和决策部署。</w:t>
      </w:r>
    </w:p>
    <w:p w14:paraId="22BC13F8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（二）负责研究拟订和组织实施怀化农科园重大发展战略、发展规划和工作计划。</w:t>
      </w:r>
    </w:p>
    <w:p w14:paraId="7066905B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（三）按照怀化市国土空间总体规划和产业发展规划要求及相关权限，统筹建设发展空间布局；负责拟订怀化农科园产业布局、产业政策、项目准入标准等重要事项并组织实施。</w:t>
      </w:r>
    </w:p>
    <w:p w14:paraId="79EC0C04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（四）负责怀化农科园招商引资工作，组织对外经济技术合作与交流。负责怀化农科园基础设施、公用事业、重大项目等建设管理相关工作。</w:t>
      </w:r>
    </w:p>
    <w:p w14:paraId="606D6322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（五）负责怀化农科园优化营商环境工作，根据权限依法承担有关行政审批工作，履行行政审批服务职责。负责构建怀化农科园创新创业服务体系，协助企业做好人才引进和服务工作。</w:t>
      </w:r>
    </w:p>
    <w:p w14:paraId="02FE1EB5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（六）负责怀化农科园的科技创新和高新技术产业管理及服务，开展有关科技创新和高新技术产业政策研究，构建技术创新服务体系；指导区内企业建立现代化企业制度，推进高新技术产业化、国际化。</w:t>
      </w:r>
    </w:p>
    <w:p w14:paraId="3B36F151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（七）负责怀化农科园党的建设和“两新”组织党建工作。</w:t>
      </w:r>
    </w:p>
    <w:p w14:paraId="55238E26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（八）根据有关要求和职责分工，承担怀化农科园综合管理、统计、审计、信息、安全生产监督管理、生态环境保护、财政收支管理及国有资产管理等工作。</w:t>
      </w:r>
    </w:p>
    <w:p w14:paraId="6ABEDDCB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（九）行使市委、市人民政府授予的其他职权，承办市委、市政府和有关部门交办的其他事项。</w:t>
      </w:r>
    </w:p>
    <w:p w14:paraId="101AFB03">
      <w:pPr>
        <w:widowControl/>
        <w:spacing w:line="600" w:lineRule="exac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二、机构设置及决算单位构成</w:t>
      </w:r>
    </w:p>
    <w:p w14:paraId="1BFE1EC9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一）内设机构设置。为湖南怀化国家农业科技园区管理委员会一级部门预算单位，内设机构包括：办公室（组织工作局）、科技与产业发展局（安全生产监督管理局）、招商合作局、开发建设局、财政局。怀化农科园党工委、管委会设置直属副科级公益一类非独立核算二级事业单位1个：湖南怀化国家农业科技园区创新创业服务中心（湖南怀化国家农业科技园区政务服务中心）</w:t>
      </w:r>
    </w:p>
    <w:p w14:paraId="7FF32FE2">
      <w:pPr>
        <w:widowControl/>
        <w:spacing w:line="600" w:lineRule="exact"/>
        <w:ind w:firstLine="640" w:firstLineChars="20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（二）决算单位构成。湖南怀化国家农业科技园区管理委员会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2025</w:t>
      </w:r>
      <w:r>
        <w:rPr>
          <w:rFonts w:hint="eastAsia" w:ascii="仿宋" w:hAnsi="仿宋" w:eastAsia="仿宋" w:cs="Times New Roman"/>
          <w:sz w:val="32"/>
          <w:szCs w:val="32"/>
        </w:rPr>
        <w:t>年部门决算汇总公开单位构成包括：湖南怀化国家农业科技园区管理委员会本级。</w:t>
      </w:r>
    </w:p>
    <w:p w14:paraId="343F1E7D">
      <w:pPr>
        <w:widowControl/>
        <w:spacing w:line="600" w:lineRule="exact"/>
        <w:jc w:val="left"/>
        <w:rPr>
          <w:rFonts w:hint="eastAsia" w:ascii="黑体" w:hAnsi="黑体" w:eastAsia="黑体" w:cs="Times New Roman"/>
          <w:kern w:val="0"/>
          <w:sz w:val="44"/>
          <w:szCs w:val="44"/>
        </w:rPr>
      </w:pPr>
    </w:p>
    <w:p w14:paraId="06A22D3F">
      <w:pPr>
        <w:pStyle w:val="2"/>
        <w:rPr>
          <w:rFonts w:hint="eastAsia"/>
        </w:rPr>
      </w:pPr>
    </w:p>
    <w:p w14:paraId="410BC47E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kern w:val="0"/>
          <w:sz w:val="44"/>
          <w:szCs w:val="44"/>
        </w:rPr>
        <w:t>第二部分</w:t>
      </w:r>
    </w:p>
    <w:p w14:paraId="3947E25D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</w:p>
    <w:p w14:paraId="5B42EE97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kern w:val="0"/>
          <w:sz w:val="44"/>
          <w:szCs w:val="44"/>
        </w:rPr>
        <w:t>部门决算表</w:t>
      </w:r>
    </w:p>
    <w:p w14:paraId="6C013E8E">
      <w:pPr>
        <w:pStyle w:val="2"/>
        <w:ind w:left="0" w:leftChars="0" w:firstLine="0" w:firstLineChars="0"/>
        <w:jc w:val="center"/>
        <w:rPr>
          <w:rFonts w:hint="eastAsia"/>
          <w:sz w:val="28"/>
          <w:szCs w:val="32"/>
          <w:lang w:eastAsia="zh-CN"/>
        </w:rPr>
      </w:pPr>
      <w:r>
        <w:rPr>
          <w:rFonts w:hint="eastAsia"/>
          <w:sz w:val="28"/>
          <w:szCs w:val="32"/>
          <w:lang w:val="en-US" w:eastAsia="zh-CN"/>
        </w:rPr>
        <w:t xml:space="preserve">  </w:t>
      </w:r>
      <w:r>
        <w:rPr>
          <w:rFonts w:hint="eastAsia"/>
          <w:sz w:val="28"/>
          <w:szCs w:val="32"/>
          <w:lang w:eastAsia="zh-CN"/>
        </w:rPr>
        <w:t>（</w:t>
      </w:r>
      <w:r>
        <w:rPr>
          <w:rFonts w:hint="eastAsia"/>
          <w:sz w:val="28"/>
          <w:szCs w:val="32"/>
          <w:lang w:val="en-US" w:eastAsia="zh-CN"/>
        </w:rPr>
        <w:t>详见附件1：公开附件</w:t>
      </w:r>
      <w:r>
        <w:rPr>
          <w:rFonts w:hint="eastAsia"/>
          <w:sz w:val="28"/>
          <w:szCs w:val="32"/>
          <w:lang w:eastAsia="zh-CN"/>
        </w:rPr>
        <w:t>）</w:t>
      </w:r>
    </w:p>
    <w:p w14:paraId="264D4B07">
      <w:pPr>
        <w:widowControl/>
        <w:spacing w:line="600" w:lineRule="exact"/>
        <w:ind w:firstLine="3520" w:firstLineChars="800"/>
        <w:jc w:val="both"/>
        <w:rPr>
          <w:rFonts w:hint="eastAsia" w:ascii="黑体" w:hAnsi="黑体" w:eastAsia="黑体" w:cs="Times New Roman"/>
          <w:kern w:val="0"/>
          <w:sz w:val="44"/>
          <w:szCs w:val="44"/>
        </w:rPr>
      </w:pPr>
    </w:p>
    <w:p w14:paraId="12E28785">
      <w:pPr>
        <w:pStyle w:val="2"/>
        <w:rPr>
          <w:rFonts w:hint="eastAsia"/>
        </w:rPr>
      </w:pPr>
    </w:p>
    <w:p w14:paraId="16A3E6F5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kern w:val="0"/>
          <w:sz w:val="44"/>
          <w:szCs w:val="44"/>
        </w:rPr>
        <w:t>第三部分</w:t>
      </w:r>
    </w:p>
    <w:p w14:paraId="44CAAA3A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</w:p>
    <w:p w14:paraId="0451D323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kern w:val="0"/>
          <w:sz w:val="44"/>
          <w:szCs w:val="44"/>
          <w:lang w:eastAsia="zh-CN"/>
        </w:rPr>
        <w:t>2025</w:t>
      </w:r>
      <w:r>
        <w:rPr>
          <w:rFonts w:hint="eastAsia" w:ascii="黑体" w:hAnsi="黑体" w:eastAsia="黑体" w:cs="Times New Roman"/>
          <w:kern w:val="0"/>
          <w:sz w:val="44"/>
          <w:szCs w:val="44"/>
        </w:rPr>
        <w:t>年度部门决算情况说明</w:t>
      </w:r>
    </w:p>
    <w:p w14:paraId="0D2916AF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一、收入支出决算总体情况说明</w:t>
      </w:r>
    </w:p>
    <w:p w14:paraId="127DB491">
      <w:pPr>
        <w:widowControl/>
        <w:spacing w:line="600" w:lineRule="exact"/>
        <w:ind w:firstLine="640" w:firstLineChars="200"/>
        <w:jc w:val="left"/>
        <w:rPr>
          <w:rFonts w:hint="eastAsia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2025年度收、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总计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587.86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万元，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2024年度收入合计569.64万元，与上年相比，增加18.22万元，增长3.20%，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主要本年度人员正常晋级，新增人员经费。</w:t>
      </w:r>
    </w:p>
    <w:p w14:paraId="63486EAF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二、收入决算情况说明</w:t>
      </w:r>
    </w:p>
    <w:p w14:paraId="59637CFF">
      <w:pPr>
        <w:widowControl/>
        <w:spacing w:line="60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2025年度收入合计587.86万元，其中：财政拨款收入587.86万元，占100%；上级补助收入0万元，占0%；事业收入0万元，占0%；经营收入0万元，占0%；附属单位上缴收入0万元，占0%；其他收入0万元，占0%。</w:t>
      </w:r>
    </w:p>
    <w:p w14:paraId="0A5274C8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三、支出决算情况说明</w:t>
      </w:r>
    </w:p>
    <w:p w14:paraId="0B0FC511">
      <w:pPr>
        <w:widowControl/>
        <w:spacing w:line="60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2025年度支出合计587.86万元，其中：基本支出421.46万元，占71.69%；项目支出166.40万元，占28.31%。</w:t>
      </w:r>
    </w:p>
    <w:p w14:paraId="162A85CE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四、财政拨款收入支出决算总体情况说明</w:t>
      </w:r>
    </w:p>
    <w:p w14:paraId="10422994">
      <w:pPr>
        <w:widowControl/>
        <w:spacing w:line="60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2025年度收、支总计587.86万元，2024年度收、支合计569.64万元，与上年相比，增加18.22万元，增长10.16%。其中：财政拨款收入587.86万元，占100%；其他收入0万元，占0%。决算数大于年初预算数的主要原因是：新增怀化现代作物分子设计育种产业园项目，新增项目经费166.40万元。</w:t>
      </w:r>
    </w:p>
    <w:p w14:paraId="19483478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五、一般公共预算财政拨款支出决算情况说明</w:t>
      </w:r>
    </w:p>
    <w:p w14:paraId="463AD6B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（一）一般公共预算财政拨款支出决算总体情况</w:t>
      </w:r>
    </w:p>
    <w:p w14:paraId="3D3F4945">
      <w:pPr>
        <w:widowControl/>
        <w:spacing w:line="60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2025年度收、支总计587.86万元，2024年度收、支合计569.64万元，与上年相比，增加18.22万元，增长3.20%。其中：财政拨款收入587.86万元，占100%；其他收入0万元，占0%。决算数大于年初预算数的主要原因是：新增怀化现代作物分子设计育种产业园项目，新增项目经费166.40万元。</w:t>
      </w:r>
    </w:p>
    <w:p w14:paraId="5181119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</w:rPr>
        <w:t>（二）一般公共预算财政拨款支出决算结构情况</w:t>
      </w:r>
    </w:p>
    <w:p w14:paraId="52E15F3E">
      <w:pPr>
        <w:widowControl/>
        <w:spacing w:line="600" w:lineRule="exact"/>
        <w:ind w:firstLine="640" w:firstLineChars="200"/>
        <w:jc w:val="left"/>
        <w:rPr>
          <w:rFonts w:hint="eastAsia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2025年度财政拨款支出587.86万元，主要用于以下方面：农林水支出（类）支出510.05万元，占86.77%；社会保障和就业（类）支出32.51万元，占5.53%;卫生健康（类）支出12.65万元，占2.15%；住房保障（类）支出32.65万元，占5.55%。</w:t>
      </w:r>
    </w:p>
    <w:p w14:paraId="7381DF1E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</w:rPr>
        <w:t>（三）一般公共预算财政拨款支出决算具体情况</w:t>
      </w:r>
    </w:p>
    <w:p w14:paraId="2510C7D3">
      <w:pPr>
        <w:widowControl/>
        <w:spacing w:line="60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2025年度财政拨款支出年初预算数为418.95万元，支出决算数为587.86万元，完成年初预算的140.32%，其中：</w:t>
      </w:r>
    </w:p>
    <w:p w14:paraId="008EE59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Times New Roman"/>
          <w:b/>
          <w:bCs/>
          <w:color w:val="auto"/>
          <w:sz w:val="32"/>
          <w:szCs w:val="32"/>
          <w:highlight w:val="none"/>
        </w:rPr>
        <w:t>1.农林水支出（类）农业农村（款）行政运行（项）。</w:t>
      </w:r>
    </w:p>
    <w:p w14:paraId="0EE74079">
      <w:pPr>
        <w:widowControl/>
        <w:spacing w:line="60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年初预算为349.26万元，支出决算为343.65万元，完成年初预算的98.39%，决算数小于年初预算数的主要原因是厉行节约，减少开支。人员正常晋级，新增人员经费67.38万元；支付工会经费16.27万元；支付差旅费13.09万元；支付电费10.70万元；支付引进人才2024-2025年度补贴10.80万元；支付伙食补助费7.54万元等。</w:t>
      </w:r>
    </w:p>
    <w:p w14:paraId="63D2541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2、社会保障和就业（类）行政事业单位养老支出（款）机关事业单位基本养老保险缴费支出（项）。</w:t>
      </w:r>
    </w:p>
    <w:p w14:paraId="090C74C8">
      <w:pPr>
        <w:widowControl/>
        <w:spacing w:line="60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年初预算为31.18万元，支出决算为32.51万元，完成年初预算的104.27%，决算数大于年初预算数的主要原因是：本年度因人员增加以及正常晋级，新增人员经费，使得行政事业单位基本养老保险缴费支出决算数大于预算数。</w:t>
      </w:r>
    </w:p>
    <w:p w14:paraId="7B125B9E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3、卫生健康（类）行政事业单位医疗（款）其他行政事业单位医疗支出（项）。</w:t>
      </w:r>
    </w:p>
    <w:p w14:paraId="6D0BBEFF">
      <w:pPr>
        <w:widowControl/>
        <w:spacing w:line="60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年初预算为11.89万元，支出决算为12.65万元，完成年初预算的106.39%，决算数大于年初预算数的主要原因是：决算数大于年初预算数的主要原因是：本年度因人员增加以及正常晋级，新增人员经费，使得其他行政事业单位医疗支出决算数大于预算数。</w:t>
      </w:r>
    </w:p>
    <w:p w14:paraId="3C7B1657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32"/>
          <w:szCs w:val="32"/>
          <w:highlight w:val="none"/>
          <w:lang w:val="en-US" w:eastAsia="zh-CN"/>
        </w:rPr>
        <w:t>4、住房保障（类）住房改革（款）住房公积金支出（项）。</w:t>
      </w:r>
    </w:p>
    <w:p w14:paraId="5B06B0C7">
      <w:pPr>
        <w:widowControl/>
        <w:spacing w:line="60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年初预算为26.62万元，支出决算为32.65万元，完成年初预算的122.65%，决算数大于年初预算数的主要原因是：本年度因人员增加以及正常晋级，新增人员经费，使得住房公积金支出决算数大于预算数。</w:t>
      </w:r>
    </w:p>
    <w:p w14:paraId="01D547BF">
      <w:pPr>
        <w:widowControl/>
        <w:spacing w:line="600" w:lineRule="exact"/>
        <w:ind w:firstLine="640" w:firstLineChars="200"/>
        <w:jc w:val="left"/>
        <w:rPr>
          <w:rFonts w:hint="eastAsia" w:ascii="黑体" w:hAnsi="黑体" w:eastAsia="黑体" w:cs="仿宋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仿宋"/>
          <w:color w:val="auto"/>
          <w:sz w:val="32"/>
          <w:szCs w:val="32"/>
          <w:highlight w:val="none"/>
        </w:rPr>
        <w:t>六、一般公共预算财政拨款基本支出决算情况说明</w:t>
      </w:r>
    </w:p>
    <w:p w14:paraId="72293627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2025年度财政拨款基本支出421.46万元，其中：</w:t>
      </w:r>
    </w:p>
    <w:p w14:paraId="63CAA708">
      <w:pPr>
        <w:widowControl/>
        <w:spacing w:line="60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人员经费367.79万元，占基本支出的87.27%,主要包括基本工资、津贴补贴、基本养老保险缴费、基本医疗保险缴费、其他社会保障缴费等；公用经费53.67万元，占基本支出的12.73%，主要包括办公费、印刷费、咨询费、手续费、差旅费、培训费、其他交通费用、其他商品和服务支出等、费用补贴等。</w:t>
      </w:r>
    </w:p>
    <w:p w14:paraId="71D6BCD6">
      <w:pPr>
        <w:pStyle w:val="1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仿宋"/>
          <w:color w:val="auto"/>
          <w:kern w:val="2"/>
          <w:sz w:val="32"/>
          <w:szCs w:val="32"/>
          <w:highlight w:val="none"/>
          <w:lang w:val="en-US" w:eastAsia="zh-CN" w:bidi="ar-SA"/>
        </w:rPr>
        <w:t>财政拨款三公经费支出决算情况说明</w:t>
      </w:r>
    </w:p>
    <w:p w14:paraId="679220CF">
      <w:pPr>
        <w:pStyle w:val="1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（一）“三公”经费财政拨款支出决算总体情况说明</w:t>
      </w:r>
    </w:p>
    <w:p w14:paraId="795D26CF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（1）“三公”经费支出情况。</w:t>
      </w:r>
    </w:p>
    <w:p w14:paraId="36C8E47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“三公”经费财政拨款支出预算控制数为0万元，支出决算为0万元，决算数与年初预算数持平，其中：</w:t>
      </w:r>
    </w:p>
    <w:p w14:paraId="456EF8CD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1、因公出国（境）费支出预算控制数为0万元，支出决算为0万元，决算数与年初预算数持平，主要原因按预算执行，与上年数持平，主要原因本年度未安排因公出国（境）。</w:t>
      </w:r>
    </w:p>
    <w:p w14:paraId="69F5971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2、公务接待费支出预算控制数为0万元，支出决算为0万元，决算数与年初预算数持平，主要原因按预算执行，与上年数持平，主要原因本年度未进行公务接待。</w:t>
      </w:r>
    </w:p>
    <w:p w14:paraId="3222372D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3、公务用车购置费及运行维护费支出预算控制数为0万元，支出决算为0万元，决算数与年初预算数持平主要原因按预算执行，与上年数持平，主要原因是厉行节约，减少开支。</w:t>
      </w:r>
    </w:p>
    <w:p w14:paraId="71FB4D9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（2）会议费支出情况。</w:t>
      </w:r>
    </w:p>
    <w:p w14:paraId="5CFC3BFD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会议费支出预算控制数为0万元，支出决算为0万元，决算数与年初预算数持平，主要原因按预算执行，与上年数持平，主要原因是厉行节约，减少开支。</w:t>
      </w:r>
    </w:p>
    <w:p w14:paraId="71C6184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（3）培训费支出情况。</w:t>
      </w:r>
    </w:p>
    <w:p w14:paraId="6591B36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培训费支出预算控制数为0万元，支出决算为0万元，决算数与年初预算数持平，主要原因按预算执行，与上年数持平，主要原因是厉行节约，减少开支。</w:t>
      </w:r>
    </w:p>
    <w:p w14:paraId="5C5C270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（4）重点经济分类支出中存在的问题及改进措施。</w:t>
      </w:r>
    </w:p>
    <w:p w14:paraId="37DC360E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无。</w:t>
      </w:r>
    </w:p>
    <w:p w14:paraId="01F5E1E6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（二）“三公”经费财政拨款支出决算具体情况说明</w:t>
      </w:r>
    </w:p>
    <w:p w14:paraId="660E4D5D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2025年度“三公”经费财政拨款支出决算中，公务接待费支出决算0万元，占0%,因公出国（境）费支出决算0万元，占0%,公务用车购置费及运行维护费支出决算0万元，占0%。其中：</w:t>
      </w:r>
    </w:p>
    <w:p w14:paraId="313299F1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1、因公出国（境）费支出决算为0万元，全年安排因公出国（境）团组0个，累计0人次。</w:t>
      </w:r>
    </w:p>
    <w:p w14:paraId="1ADE0CF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2、公务接待费支出决算为0万元，全年共接待来访团组0个、来宾0人次。</w:t>
      </w:r>
    </w:p>
    <w:p w14:paraId="6292F25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3、公务用车购置费及运行维护费支出决算为0万元，其中：公务用车购置费0万元，更新公务用车0辆。公务用车运行维护费0万元。截至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2025年12月31日，我单位开支财政拨款的公务用车保有量为0辆。</w:t>
      </w:r>
    </w:p>
    <w:p w14:paraId="575045F7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八、政府性基金预算收入支出决算情况</w:t>
      </w:r>
    </w:p>
    <w:p w14:paraId="53F732C5">
      <w:pPr>
        <w:pStyle w:val="17"/>
        <w:keepNext w:val="0"/>
        <w:keepLines w:val="0"/>
        <w:pageBreakBefore w:val="0"/>
        <w:widowControl w:val="0"/>
        <w:tabs>
          <w:tab w:val="center" w:pos="4513"/>
        </w:tabs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本单位无政府性基金收支。</w:t>
      </w:r>
    </w:p>
    <w:p w14:paraId="4671BD6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九、国有资本经营预算收入支出决算情况</w:t>
      </w:r>
    </w:p>
    <w:p w14:paraId="7D3D0B27">
      <w:pPr>
        <w:pStyle w:val="17"/>
        <w:keepNext w:val="0"/>
        <w:keepLines w:val="0"/>
        <w:pageBreakBefore w:val="0"/>
        <w:widowControl w:val="0"/>
        <w:tabs>
          <w:tab w:val="center" w:pos="4513"/>
        </w:tabs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本单位无国有资本经营收支。</w:t>
      </w:r>
    </w:p>
    <w:p w14:paraId="287F00B3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十、关于机关运行经费支出说明</w:t>
      </w:r>
    </w:p>
    <w:p w14:paraId="607E455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本部门2025年度机关运行经费支出0万元，我单位为公益一类事业单位，不属于行政单位和参照公务员法管理事业单位，故无机关运行经费支出。</w:t>
      </w:r>
    </w:p>
    <w:p w14:paraId="1B11216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十一、一般性支出情况说明</w:t>
      </w:r>
    </w:p>
    <w:p w14:paraId="4586EC3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2025年本部门开支会议费0万元，未召开会议；开支培训费1万元，用于2024年度、2025年度事业单位线上学习培训,以及2025年第52次技术经纪人培训班培训费。事业单位线上学习培训内容为公共科目以及专业科目，公共科目培训主题为习近平新时代中国特色社会主义思想，专业科目培训主题由各事业单位结合自身工作自行确定。技术经纪人培训班培训班主要培养技术经纪人，通过专家授课和理论、案例、实践结合的方式，帮助学员掌握技术转移与成果转化的关键环节；课程包括技术需求挖掘、技术交易撮合、知识产权应用、科技金融等核心业务，也涉及园区提质增效、大学生创新创业等内容；目标是提升学员服务科技成果转化和产业化的能力，推动科技成果在高新园区等载体落地转化。2025年本部门未举办节庆、晚会、论坛、赛事等活动。</w:t>
      </w:r>
    </w:p>
    <w:p w14:paraId="20322EC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十二、关于政府采购支出说明</w:t>
      </w:r>
    </w:p>
    <w:p w14:paraId="6A23049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本部门2025年度政府采购支出总额53.67万元，其中：政府采购货物支出53.67万元、政府采购工程支出0万元、政府采购服务支出0万元。授予中小企业合同金额53.67万元，占政府采购支出总额的100%，其中：授予小微企业合同金额0万元，占授予中小企业合同金额的0%。</w:t>
      </w:r>
    </w:p>
    <w:p w14:paraId="16A0402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、关于国有资产占用情况说明</w:t>
      </w:r>
    </w:p>
    <w:p w14:paraId="377C4CEE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截至2025年12月31日，本单位共有车辆0辆，其中，主要领导干部用车0辆，机要通信用车0辆、应急保障用车0辆、执法执勤用车0辆、特种专业技术用车0辆、其他用车0辆；单位价值50万元以上通用设备0台（套）；单位价值100万元以上专用设备0台（套）。</w:t>
      </w:r>
    </w:p>
    <w:p w14:paraId="46945E97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、关于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2025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年度</w:t>
      </w:r>
      <w:r>
        <w:rPr>
          <w:rFonts w:hint="eastAsia" w:hAnsi="黑体" w:cs="黑体"/>
          <w:b w:val="0"/>
          <w:bCs/>
          <w:color w:val="auto"/>
          <w:sz w:val="32"/>
          <w:szCs w:val="32"/>
          <w:lang w:eastAsia="zh-CN"/>
        </w:rPr>
        <w:t>预算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绩效情况的说明</w:t>
      </w:r>
    </w:p>
    <w:p w14:paraId="0A95ACFA">
      <w:pPr>
        <w:spacing w:line="560" w:lineRule="exact"/>
        <w:ind w:firstLine="640" w:firstLineChars="200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1、绩效管理工作开展情况</w:t>
      </w:r>
    </w:p>
    <w:p w14:paraId="356DEB8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本单位积极开展预算绩效管理工作，设定了绩效目标，对2025年部门整体运行及支出情况进行了自查自评，本单位顺利完成项目绩效目标评价和2025年整体支出绩效评价工作。</w:t>
      </w:r>
    </w:p>
    <w:p w14:paraId="1CEF5E79">
      <w:pPr>
        <w:spacing w:line="560" w:lineRule="exact"/>
        <w:ind w:firstLine="640" w:firstLineChars="200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2、当年预算执行及绩效管理中存在问题、原因及改进措施。</w:t>
      </w:r>
    </w:p>
    <w:p w14:paraId="619FA85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zh-TW" w:eastAsia="zh-TW"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预算绩效管理工作有待加强。预算绩效管理工作虽有所推进，但仍存短板，一是绩效目标编制不规范。绩效目标的规划不够精确且量化不足，过分侧重于定性评价，数量化的明确指标稀缺，加之部门整体支出的自评水平尚待提高。二是绩效管理理念有待进一步增强。强化绩效管理理念，需明确战略目标，优化管理流程，加强职工沟通，注重结果反馈，形成持续改进的文化。</w:t>
      </w:r>
    </w:p>
    <w:p w14:paraId="6C745D34">
      <w:pPr>
        <w:pStyle w:val="17"/>
        <w:jc w:val="center"/>
        <w:rPr>
          <w:sz w:val="72"/>
          <w:szCs w:val="72"/>
        </w:rPr>
      </w:pPr>
    </w:p>
    <w:p w14:paraId="18F5E238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kern w:val="0"/>
          <w:sz w:val="44"/>
          <w:szCs w:val="44"/>
        </w:rPr>
        <w:t>第四部分</w:t>
      </w:r>
    </w:p>
    <w:p w14:paraId="5833E670">
      <w:pPr>
        <w:pStyle w:val="2"/>
        <w:rPr>
          <w:rFonts w:hint="eastAsia"/>
        </w:rPr>
      </w:pPr>
    </w:p>
    <w:p w14:paraId="5DCFD1DB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kern w:val="0"/>
          <w:sz w:val="44"/>
          <w:szCs w:val="44"/>
        </w:rPr>
        <w:t>名词解释</w:t>
      </w:r>
    </w:p>
    <w:p w14:paraId="27D7FDDC">
      <w:pPr>
        <w:pStyle w:val="17"/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291B3FC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pacing w:val="10"/>
          <w:kern w:val="2"/>
          <w:sz w:val="32"/>
          <w:szCs w:val="32"/>
          <w:lang w:val="zh-TW" w:eastAsia="zh-TW" w:bidi="ar-SA"/>
        </w:rPr>
      </w:pP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一、机关运行经费：</w:t>
      </w:r>
      <w:r>
        <w:rPr>
          <w:rFonts w:hint="eastAsia" w:ascii="仿宋" w:hAnsi="仿宋" w:eastAsia="仿宋" w:cs="仿宋"/>
          <w:color w:val="auto"/>
          <w:spacing w:val="10"/>
          <w:kern w:val="2"/>
          <w:sz w:val="32"/>
          <w:szCs w:val="32"/>
          <w:lang w:val="zh-TW" w:eastAsia="zh-TW" w:bidi="ar-SA"/>
        </w:rPr>
        <w:t>为保障行政单位（包括参照公务员法管理的事业单位）运行，用一般公共预算拨款安排用于购买货物和服务的各项资金，包括办公及印刷费、邮电费、差旅费、会议费、福利费、日常维修费、办公用房水电费、办公用房取暖费、办公用房物业管理费、公务用车运行维护费以及其他费用。</w:t>
      </w:r>
    </w:p>
    <w:p w14:paraId="34DAF44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二、“三公”经费：</w:t>
      </w:r>
      <w:r>
        <w:rPr>
          <w:rFonts w:hint="eastAsia" w:ascii="仿宋" w:hAnsi="仿宋" w:eastAsia="仿宋" w:cs="仿宋"/>
          <w:color w:val="auto"/>
          <w:spacing w:val="10"/>
          <w:kern w:val="2"/>
          <w:sz w:val="32"/>
          <w:szCs w:val="32"/>
          <w:lang w:val="zh-TW" w:eastAsia="zh-TW" w:bidi="ar-SA"/>
        </w:rPr>
        <w:t>纳入财政预算管理的“三公”经费，是指用一般公共预算拨款安排的公务接待费、公务用车购置及运行维护费和因公出国（境）费。其中，公务接待费反映单位按规定开支的各类公务接待支出；公务用车购置及运行费反映单位公务用车车辆购置支出（含车辆购置税），以及燃料费、维修费、保险费等支出；因公出国（境）费反映单位公务出国（境）的国际旅费、国外城市间交通费、食宿费等支出。</w:t>
      </w:r>
    </w:p>
    <w:p w14:paraId="4E659AA9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</w:p>
    <w:p w14:paraId="78CFEC0D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kern w:val="0"/>
          <w:sz w:val="44"/>
          <w:szCs w:val="44"/>
        </w:rPr>
        <w:t>第</w:t>
      </w:r>
      <w:r>
        <w:rPr>
          <w:rFonts w:hint="eastAsia" w:ascii="黑体" w:hAnsi="黑体" w:eastAsia="黑体" w:cs="Times New Roman"/>
          <w:kern w:val="0"/>
          <w:sz w:val="44"/>
          <w:szCs w:val="44"/>
          <w:lang w:eastAsia="zh-CN"/>
        </w:rPr>
        <w:t>五</w:t>
      </w:r>
      <w:r>
        <w:rPr>
          <w:rFonts w:hint="eastAsia" w:ascii="黑体" w:hAnsi="黑体" w:eastAsia="黑体" w:cs="Times New Roman"/>
          <w:kern w:val="0"/>
          <w:sz w:val="44"/>
          <w:szCs w:val="44"/>
        </w:rPr>
        <w:t>部分</w:t>
      </w:r>
    </w:p>
    <w:p w14:paraId="0A22B69A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</w:rPr>
      </w:pPr>
    </w:p>
    <w:p w14:paraId="10449343">
      <w:pPr>
        <w:widowControl/>
        <w:spacing w:line="600" w:lineRule="exact"/>
        <w:ind w:firstLine="880" w:firstLineChars="200"/>
        <w:jc w:val="center"/>
        <w:rPr>
          <w:rFonts w:hint="eastAsia" w:ascii="黑体" w:hAnsi="黑体" w:eastAsia="黑体" w:cs="Times New Roman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Times New Roman"/>
          <w:kern w:val="0"/>
          <w:sz w:val="44"/>
          <w:szCs w:val="44"/>
          <w:lang w:eastAsia="zh-CN"/>
        </w:rPr>
        <w:t>附</w:t>
      </w:r>
      <w:r>
        <w:rPr>
          <w:rFonts w:hint="eastAsia" w:ascii="黑体" w:hAnsi="黑体" w:eastAsia="黑体" w:cs="Times New Roman"/>
          <w:kern w:val="0"/>
          <w:sz w:val="44"/>
          <w:szCs w:val="44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kern w:val="0"/>
          <w:sz w:val="44"/>
          <w:szCs w:val="44"/>
          <w:lang w:eastAsia="zh-CN"/>
        </w:rPr>
        <w:t>件</w:t>
      </w:r>
    </w:p>
    <w:p w14:paraId="3D2CCB9B">
      <w:pPr>
        <w:pStyle w:val="17"/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E37628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left"/>
        <w:textAlignment w:val="auto"/>
        <w:rPr>
          <w:rStyle w:val="14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single"/>
          <w:lang w:val="en-US" w:eastAsia="zh-CN"/>
        </w:rPr>
        <w:t>附件1：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single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single"/>
          <w:lang w:val="en-US" w:eastAsia="zh-CN"/>
        </w:rPr>
        <w:instrText xml:space="preserve"> HYPERLINK "湖南怀化国家农业科技园区管理委员会(1).XLS" </w:instrTex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single"/>
          <w:lang w:val="en-US" w:eastAsia="zh-CN"/>
        </w:rPr>
        <w:fldChar w:fldCharType="separate"/>
      </w:r>
      <w:r>
        <w:rPr>
          <w:rStyle w:val="14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湖南怀化国家农业科技园区管理委员会2025年决算公开表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u w:val="single"/>
          <w:lang w:val="en-US" w:eastAsia="zh-CN"/>
        </w:rPr>
        <w:fldChar w:fldCharType="end"/>
      </w:r>
    </w:p>
    <w:p w14:paraId="1C482C51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instrText xml:space="preserve"> HYPERLINK "2024年绩效评价报告.doc" </w:instrTex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fldChar w:fldCharType="separate"/>
      </w:r>
      <w:r>
        <w:rPr>
          <w:rStyle w:val="14"/>
          <w:rFonts w:hint="eastAsia" w:ascii="Times New Roman" w:hAnsi="Times New Roman" w:eastAsia="仿宋_GB2312"/>
          <w:sz w:val="32"/>
          <w:szCs w:val="32"/>
          <w:lang w:val="en-US" w:eastAsia="zh-CN"/>
        </w:rPr>
        <w:t>附件2：湖南怀化国家农业科技园区管理委员会2025年部门整体支出绩效评价报告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fldChar w:fldCharType="end"/>
      </w:r>
    </w:p>
    <w:sectPr>
      <w:pgSz w:w="11906" w:h="16838"/>
      <w:pgMar w:top="1803" w:right="1440" w:bottom="1803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F8D963"/>
    <w:multiLevelType w:val="singleLevel"/>
    <w:tmpl w:val="76F8D963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xNjIxZDhmMTAwMWJlZWQyN2ZjMDVmZjJkNjUwMGEifQ=="/>
  </w:docVars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61ED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28448AE"/>
    <w:rsid w:val="028832B4"/>
    <w:rsid w:val="03CB0448"/>
    <w:rsid w:val="05703E7C"/>
    <w:rsid w:val="05D11A97"/>
    <w:rsid w:val="08174DCE"/>
    <w:rsid w:val="0A447D68"/>
    <w:rsid w:val="0B6A42C7"/>
    <w:rsid w:val="0BFF003E"/>
    <w:rsid w:val="0C4B4C3A"/>
    <w:rsid w:val="0D4D3563"/>
    <w:rsid w:val="0E8C2BEA"/>
    <w:rsid w:val="103F5AD3"/>
    <w:rsid w:val="11BC2E42"/>
    <w:rsid w:val="11CD7A3C"/>
    <w:rsid w:val="13C034F7"/>
    <w:rsid w:val="14A14FAE"/>
    <w:rsid w:val="158C14E9"/>
    <w:rsid w:val="15F93A4F"/>
    <w:rsid w:val="17F93AF7"/>
    <w:rsid w:val="186715DB"/>
    <w:rsid w:val="187E50BF"/>
    <w:rsid w:val="189D42EF"/>
    <w:rsid w:val="196F62FD"/>
    <w:rsid w:val="19800165"/>
    <w:rsid w:val="19F759A6"/>
    <w:rsid w:val="1C3654FC"/>
    <w:rsid w:val="1D4247B4"/>
    <w:rsid w:val="1D97DEFF"/>
    <w:rsid w:val="1DFF72E5"/>
    <w:rsid w:val="1EFC6F07"/>
    <w:rsid w:val="1FBE3BA7"/>
    <w:rsid w:val="22347324"/>
    <w:rsid w:val="23135718"/>
    <w:rsid w:val="238B30B1"/>
    <w:rsid w:val="243548F6"/>
    <w:rsid w:val="24400708"/>
    <w:rsid w:val="268F59CF"/>
    <w:rsid w:val="26A02DDC"/>
    <w:rsid w:val="26F45F22"/>
    <w:rsid w:val="297B3BC8"/>
    <w:rsid w:val="2A4C6531"/>
    <w:rsid w:val="2C2D7F09"/>
    <w:rsid w:val="2D6F4E90"/>
    <w:rsid w:val="2E904EC2"/>
    <w:rsid w:val="2EEE1C8B"/>
    <w:rsid w:val="2FDF85B8"/>
    <w:rsid w:val="2FFFEE04"/>
    <w:rsid w:val="30134B5A"/>
    <w:rsid w:val="32123D31"/>
    <w:rsid w:val="34336FAF"/>
    <w:rsid w:val="34DF85B0"/>
    <w:rsid w:val="35B5357D"/>
    <w:rsid w:val="376B75FE"/>
    <w:rsid w:val="39862EF1"/>
    <w:rsid w:val="39947487"/>
    <w:rsid w:val="3A0B5FB6"/>
    <w:rsid w:val="3B8F36BC"/>
    <w:rsid w:val="3C345451"/>
    <w:rsid w:val="3C9B0B10"/>
    <w:rsid w:val="3DAF5FC2"/>
    <w:rsid w:val="3DDB2309"/>
    <w:rsid w:val="3EC94364"/>
    <w:rsid w:val="3EDA7CAE"/>
    <w:rsid w:val="3F0100E9"/>
    <w:rsid w:val="40612FAD"/>
    <w:rsid w:val="414A56C0"/>
    <w:rsid w:val="44372678"/>
    <w:rsid w:val="45B27966"/>
    <w:rsid w:val="4606574C"/>
    <w:rsid w:val="4677642B"/>
    <w:rsid w:val="47060671"/>
    <w:rsid w:val="485F04C9"/>
    <w:rsid w:val="48EE0D82"/>
    <w:rsid w:val="4910286C"/>
    <w:rsid w:val="491FF225"/>
    <w:rsid w:val="49320E3E"/>
    <w:rsid w:val="49A74393"/>
    <w:rsid w:val="4A39756E"/>
    <w:rsid w:val="4A560724"/>
    <w:rsid w:val="4B3E507F"/>
    <w:rsid w:val="4B562725"/>
    <w:rsid w:val="4E0F4D20"/>
    <w:rsid w:val="4E8B1908"/>
    <w:rsid w:val="4F841C44"/>
    <w:rsid w:val="4F925019"/>
    <w:rsid w:val="4FFD214C"/>
    <w:rsid w:val="513656C9"/>
    <w:rsid w:val="515406D7"/>
    <w:rsid w:val="515C0243"/>
    <w:rsid w:val="51BC686B"/>
    <w:rsid w:val="565405AF"/>
    <w:rsid w:val="56781A69"/>
    <w:rsid w:val="574003AA"/>
    <w:rsid w:val="5777D4F5"/>
    <w:rsid w:val="57D76009"/>
    <w:rsid w:val="59CB7611"/>
    <w:rsid w:val="59DD8326"/>
    <w:rsid w:val="5A3B1DC0"/>
    <w:rsid w:val="5BF117E5"/>
    <w:rsid w:val="5C407366"/>
    <w:rsid w:val="5DEF592A"/>
    <w:rsid w:val="5FC6BB1E"/>
    <w:rsid w:val="5FF720F1"/>
    <w:rsid w:val="6344466B"/>
    <w:rsid w:val="63DF6A68"/>
    <w:rsid w:val="657038D9"/>
    <w:rsid w:val="67FF5C0B"/>
    <w:rsid w:val="68120A4B"/>
    <w:rsid w:val="6878332B"/>
    <w:rsid w:val="69AB74E8"/>
    <w:rsid w:val="69FA2AEA"/>
    <w:rsid w:val="6A6A5BF7"/>
    <w:rsid w:val="6B321631"/>
    <w:rsid w:val="6B9D4CFC"/>
    <w:rsid w:val="6CE93F71"/>
    <w:rsid w:val="6EFC0924"/>
    <w:rsid w:val="6FB74722"/>
    <w:rsid w:val="6FEF8B7E"/>
    <w:rsid w:val="703A60CC"/>
    <w:rsid w:val="705D0EFE"/>
    <w:rsid w:val="706D1298"/>
    <w:rsid w:val="711B191E"/>
    <w:rsid w:val="713E0BD9"/>
    <w:rsid w:val="71A6591B"/>
    <w:rsid w:val="72A22A1E"/>
    <w:rsid w:val="73431253"/>
    <w:rsid w:val="737D59BA"/>
    <w:rsid w:val="739545B0"/>
    <w:rsid w:val="747D06DD"/>
    <w:rsid w:val="749018A2"/>
    <w:rsid w:val="74EC2851"/>
    <w:rsid w:val="758136EA"/>
    <w:rsid w:val="76FA1255"/>
    <w:rsid w:val="775952B2"/>
    <w:rsid w:val="77C37683"/>
    <w:rsid w:val="788F15E9"/>
    <w:rsid w:val="78CD185E"/>
    <w:rsid w:val="799B65F3"/>
    <w:rsid w:val="79E4560A"/>
    <w:rsid w:val="79FF515B"/>
    <w:rsid w:val="7A9C0DCE"/>
    <w:rsid w:val="7CAC26B0"/>
    <w:rsid w:val="7D5416FA"/>
    <w:rsid w:val="7D6F00D9"/>
    <w:rsid w:val="7DC27B63"/>
    <w:rsid w:val="7DDA0503"/>
    <w:rsid w:val="7E525E1A"/>
    <w:rsid w:val="7E9E1962"/>
    <w:rsid w:val="7E9F11B4"/>
    <w:rsid w:val="7EAE51E2"/>
    <w:rsid w:val="7EDC02B0"/>
    <w:rsid w:val="7F323EA9"/>
    <w:rsid w:val="7F37EC1E"/>
    <w:rsid w:val="7F7DCD9D"/>
    <w:rsid w:val="7F970A6F"/>
    <w:rsid w:val="7FC1FFF3"/>
    <w:rsid w:val="7FC69637"/>
    <w:rsid w:val="7FDF8620"/>
    <w:rsid w:val="7FFB242F"/>
    <w:rsid w:val="7FFDB408"/>
    <w:rsid w:val="7FFE4EEB"/>
    <w:rsid w:val="95FB2B98"/>
    <w:rsid w:val="9A639BC2"/>
    <w:rsid w:val="9FF7D786"/>
    <w:rsid w:val="ABBFB23D"/>
    <w:rsid w:val="C3B4DA5A"/>
    <w:rsid w:val="CBFF70E0"/>
    <w:rsid w:val="CFF50B82"/>
    <w:rsid w:val="CFFFAD89"/>
    <w:rsid w:val="DBF32C75"/>
    <w:rsid w:val="DFFE359E"/>
    <w:rsid w:val="DFFE4FFD"/>
    <w:rsid w:val="EEABED75"/>
    <w:rsid w:val="F56FDF51"/>
    <w:rsid w:val="F6B69F17"/>
    <w:rsid w:val="F77F1D61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CF21CB"/>
    <w:rsid w:val="FF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0"/>
    <w:pPr>
      <w:ind w:firstLine="100" w:firstLineChars="100"/>
    </w:pPr>
  </w:style>
  <w:style w:type="paragraph" w:customStyle="1" w:styleId="3">
    <w:name w:val="BodyText"/>
    <w:basedOn w:val="1"/>
    <w:qFormat/>
    <w:uiPriority w:val="0"/>
    <w:pPr>
      <w:spacing w:after="120"/>
    </w:pPr>
  </w:style>
  <w:style w:type="paragraph" w:styleId="4">
    <w:name w:val="Body Text Indent"/>
    <w:basedOn w:val="1"/>
    <w:next w:val="5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next w:val="5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0">
    <w:name w:val="Normal (Web)"/>
    <w:qFormat/>
    <w:uiPriority w:val="0"/>
    <w:pPr>
      <w:widowControl w:val="0"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character" w:styleId="13">
    <w:name w:val="FollowedHyperlink"/>
    <w:basedOn w:val="12"/>
    <w:semiHidden/>
    <w:unhideWhenUsed/>
    <w:qFormat/>
    <w:uiPriority w:val="99"/>
    <w:rPr>
      <w:color w:val="800080"/>
      <w:u w:val="single"/>
    </w:rPr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sz w:val="18"/>
      <w:szCs w:val="18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Char"/>
    <w:basedOn w:val="12"/>
    <w:link w:val="6"/>
    <w:semiHidden/>
    <w:qFormat/>
    <w:uiPriority w:val="99"/>
    <w:rPr>
      <w:sz w:val="18"/>
      <w:szCs w:val="18"/>
    </w:rPr>
  </w:style>
  <w:style w:type="character" w:customStyle="1" w:styleId="20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1348</Words>
  <Characters>1384</Characters>
  <Lines>63</Lines>
  <Paragraphs>18</Paragraphs>
  <TotalTime>0</TotalTime>
  <ScaleCrop>false</ScaleCrop>
  <LinksUpToDate>false</LinksUpToDate>
  <CharactersWithSpaces>1394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2020-07-08T10:32:00Z</dcterms:created>
  <dc:creator>李航 null</dc:creator>
  <cp:lastModifiedBy>A梦</cp:lastModifiedBy>
  <cp:lastPrinted>2024-09-09T16:18:00Z</cp:lastPrinted>
  <dcterms:modified xsi:type="dcterms:W3CDTF">2026-10-10T10:40:31Z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6EEB0F58B41A4E5F87DDECD4FB80729C_13</vt:lpwstr>
  </property>
  <property fmtid="{D5CDD505-2E9C-101B-9397-08002B2CF9AE}" pid="4" name="KSOTemplateDocerSaveRecord">
    <vt:lpwstr>eyJoZGlkIjoiYTYxNjIxZDhmMTAwMWJlZWQyN2ZjMDVmZjJkNjUwMGEiLCJ1c2VySWQiOiIyNDM1MDQ0ODYifQ==</vt:lpwstr>
  </property>
</Properties>
</file>