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D2FA">
      <w:pPr>
        <w:widowControl/>
        <w:spacing w:line="600" w:lineRule="exact"/>
        <w:ind w:firstLine="1120" w:firstLineChars="200"/>
        <w:jc w:val="center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-297180</wp:posOffset>
                </wp:positionV>
                <wp:extent cx="1523365" cy="517525"/>
                <wp:effectExtent l="0" t="0" r="635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9590" y="935990"/>
                          <a:ext cx="152336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FC84D">
                            <w:pP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6pt;margin-top:-23.4pt;height:40.75pt;width:119.95pt;z-index:251659264;mso-width-relative:page;mso-height-relative:page;" fillcolor="#FFFFFF [3201]" filled="t" stroked="f" coordsize="21600,21600" o:gfxdata="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vAmUNYAAAAK&#10;AQAADwAAAAAAAAABACAAAAAiAAAAZHJzL2Rvd25yZXYueG1sUEsBAhQAFAAAAAgAh07iQEe/k8dX&#10;AgAAmg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49FC84D">
                      <w:pP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val="en-US" w:eastAsia="zh-CN"/>
                        </w:rPr>
                        <w:t>1：</w:t>
                      </w:r>
                    </w:p>
                  </w:txbxContent>
                </v:textbox>
              </v:shape>
            </w:pict>
          </mc:Fallback>
        </mc:AlternateContent>
      </w:r>
    </w:p>
    <w:p w14:paraId="17C57912">
      <w:pPr>
        <w:pStyle w:val="17"/>
        <w:jc w:val="center"/>
        <w:rPr>
          <w:rFonts w:hint="eastAsia" w:ascii="仿宋" w:hAnsi="仿宋" w:eastAsia="仿宋" w:cs="方正小标宋简体"/>
          <w:b/>
          <w:bCs/>
          <w:kern w:val="0"/>
          <w:sz w:val="48"/>
          <w:szCs w:val="48"/>
        </w:rPr>
      </w:pPr>
      <w:r>
        <w:rPr>
          <w:rFonts w:hint="eastAsia" w:ascii="仿宋" w:hAnsi="仿宋" w:eastAsia="仿宋" w:cs="方正小标宋简体"/>
          <w:b/>
          <w:bCs/>
          <w:kern w:val="0"/>
          <w:sz w:val="48"/>
          <w:szCs w:val="48"/>
        </w:rPr>
        <w:t>202</w:t>
      </w:r>
      <w:r>
        <w:rPr>
          <w:rFonts w:hint="eastAsia" w:ascii="仿宋" w:hAnsi="仿宋" w:eastAsia="仿宋" w:cs="方正小标宋简体"/>
          <w:b/>
          <w:bCs/>
          <w:kern w:val="0"/>
          <w:sz w:val="48"/>
          <w:szCs w:val="48"/>
          <w:lang w:val="en-US" w:eastAsia="zh-CN"/>
        </w:rPr>
        <w:t>4</w:t>
      </w:r>
      <w:r>
        <w:rPr>
          <w:rFonts w:hint="eastAsia" w:ascii="仿宋" w:hAnsi="仿宋" w:eastAsia="仿宋" w:cs="方正小标宋简体"/>
          <w:b/>
          <w:bCs/>
          <w:kern w:val="0"/>
          <w:sz w:val="48"/>
          <w:szCs w:val="48"/>
        </w:rPr>
        <w:t>年度湖南怀化国家农业科技园区</w:t>
      </w:r>
    </w:p>
    <w:p w14:paraId="24CB23E8">
      <w:pPr>
        <w:pStyle w:val="17"/>
        <w:jc w:val="center"/>
        <w:rPr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kern w:val="0"/>
          <w:sz w:val="48"/>
          <w:szCs w:val="48"/>
        </w:rPr>
        <w:t>管理委员会部门决算</w:t>
      </w:r>
    </w:p>
    <w:p w14:paraId="793AD4FB">
      <w:pPr>
        <w:pStyle w:val="17"/>
        <w:spacing w:line="500" w:lineRule="exact"/>
        <w:jc w:val="both"/>
        <w:rPr>
          <w:b/>
          <w:sz w:val="36"/>
          <w:szCs w:val="28"/>
        </w:rPr>
      </w:pPr>
    </w:p>
    <w:p w14:paraId="39CCB519">
      <w:pPr>
        <w:widowControl/>
        <w:spacing w:line="600" w:lineRule="exact"/>
        <w:ind w:firstLine="640" w:firstLineChars="200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目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录</w:t>
      </w:r>
    </w:p>
    <w:p w14:paraId="1D068CCE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湖南怀化国家农业科技园区管理委员会概况</w:t>
      </w:r>
    </w:p>
    <w:p w14:paraId="3C40C69D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一、部门职责</w:t>
      </w:r>
    </w:p>
    <w:p w14:paraId="6FFAD65F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二、机构设置</w:t>
      </w:r>
    </w:p>
    <w:p w14:paraId="5DD5EE13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第二部分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部门决算表</w:t>
      </w:r>
    </w:p>
    <w:p w14:paraId="0214DED1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一、收入支出决算总表</w:t>
      </w:r>
    </w:p>
    <w:p w14:paraId="33EEBE14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二、收入决算表</w:t>
      </w:r>
    </w:p>
    <w:p w14:paraId="020D099C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三、支出决算表</w:t>
      </w:r>
    </w:p>
    <w:p w14:paraId="3855BAF2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四、财政拨款收入支出决算总表</w:t>
      </w:r>
    </w:p>
    <w:p w14:paraId="0DC40459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五、一般公共预算财政拨款支出决算表</w:t>
      </w:r>
    </w:p>
    <w:p w14:paraId="11C86E7B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六、一般公共预算财政拨款基本支出决算明细表</w:t>
      </w:r>
    </w:p>
    <w:p w14:paraId="3F5BFD01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七、政府性基金预算财政拨款收入支出决算表</w:t>
      </w:r>
    </w:p>
    <w:p w14:paraId="4A62A600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八、国有资本经营预算财政拨款支出决算表</w:t>
      </w:r>
    </w:p>
    <w:p w14:paraId="7E534261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九、财政拨款“三公”经费支出决算表</w:t>
      </w:r>
    </w:p>
    <w:p w14:paraId="7EDEFFCC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第三部分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部门决算情况说明</w:t>
      </w:r>
    </w:p>
    <w:p w14:paraId="0162C8C8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一、收入支出决算总体情况说明</w:t>
      </w:r>
    </w:p>
    <w:p w14:paraId="0153C6BE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二、收入决算情况说明</w:t>
      </w:r>
    </w:p>
    <w:p w14:paraId="2AD2FE43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三、支出决算情况说明</w:t>
      </w:r>
    </w:p>
    <w:p w14:paraId="75D7924A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四、财政拨款收入支出决算总体情况说明</w:t>
      </w:r>
    </w:p>
    <w:p w14:paraId="4BB26B23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五、一般公共预算财政拨款支出决算情况说明</w:t>
      </w:r>
    </w:p>
    <w:p w14:paraId="117C41E8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六、一般公共预算财政拨款基本支出决算情况说明</w:t>
      </w:r>
    </w:p>
    <w:p w14:paraId="1E50A179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七、财政拨款三公经费支出决算情况说明</w:t>
      </w:r>
    </w:p>
    <w:p w14:paraId="2A8DEAAF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八、政府性基金预算收入支出决算情况</w:t>
      </w:r>
    </w:p>
    <w:p w14:paraId="39CF6206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</w:t>
      </w:r>
      <w:r>
        <w:rPr>
          <w:rFonts w:hint="eastAsia" w:ascii="仿宋" w:hAnsi="仿宋" w:eastAsia="仿宋" w:cs="仿宋"/>
          <w:sz w:val="32"/>
          <w:szCs w:val="32"/>
        </w:rPr>
        <w:t>国有资本经营预算收入支出决算情况</w:t>
      </w:r>
    </w:p>
    <w:p w14:paraId="6CCB867A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sz w:val="32"/>
          <w:szCs w:val="32"/>
        </w:rPr>
        <w:t>、关于机关运行经费支出说明</w:t>
      </w:r>
    </w:p>
    <w:p w14:paraId="3C42E13E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、一般性支出情况说明</w:t>
      </w:r>
    </w:p>
    <w:p w14:paraId="669A0EAA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、关于政府采购支出说明</w:t>
      </w:r>
    </w:p>
    <w:p w14:paraId="08C072BE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、关于国有资产占用情况说明</w:t>
      </w:r>
    </w:p>
    <w:p w14:paraId="62C2BC73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、关于</w:t>
      </w:r>
      <w:r>
        <w:rPr>
          <w:rFonts w:hint="default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</w:rPr>
        <w:t>绩效情况的说明</w:t>
      </w:r>
    </w:p>
    <w:p w14:paraId="428DD0AF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第四部分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名词解释</w:t>
      </w:r>
    </w:p>
    <w:p w14:paraId="0DAED9F7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第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部分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  <w:lang w:eastAsia="zh-CN"/>
        </w:rPr>
        <w:t>附件</w:t>
      </w:r>
    </w:p>
    <w:p w14:paraId="56979516">
      <w:pPr>
        <w:widowControl/>
        <w:spacing w:line="600" w:lineRule="exact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 w14:paraId="70068FAA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 xml:space="preserve">第一部分 </w:t>
      </w:r>
    </w:p>
    <w:p w14:paraId="4A945FA6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4FCAE4F4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  <w:t>湖南怀化国家农业科技园区</w:t>
      </w:r>
    </w:p>
    <w:p w14:paraId="73C183F9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  <w:t>管理委员会</w:t>
      </w:r>
      <w:r>
        <w:rPr>
          <w:rFonts w:hint="eastAsia" w:ascii="黑体" w:hAnsi="黑体" w:eastAsia="黑体" w:cs="Times New Roman"/>
          <w:kern w:val="0"/>
          <w:sz w:val="44"/>
          <w:szCs w:val="44"/>
        </w:rPr>
        <w:t>概况</w:t>
      </w:r>
    </w:p>
    <w:p w14:paraId="1D6452F6">
      <w:pPr>
        <w:widowControl/>
        <w:spacing w:line="600" w:lineRule="exact"/>
        <w:jc w:val="left"/>
        <w:rPr>
          <w:rFonts w:hint="eastAsia" w:ascii="黑体" w:hAnsi="黑体" w:eastAsia="黑体" w:cs="仿宋"/>
          <w:sz w:val="32"/>
          <w:szCs w:val="32"/>
        </w:rPr>
      </w:pPr>
    </w:p>
    <w:p w14:paraId="66C8560C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仿宋"/>
          <w:sz w:val="32"/>
          <w:szCs w:val="32"/>
        </w:rPr>
        <w:t>部门职责</w:t>
      </w:r>
    </w:p>
    <w:p w14:paraId="350CB9CE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（一）负责贯彻执行党和国家关于农业科技园区的方针政策、法律法规和决策部署。</w:t>
      </w:r>
    </w:p>
    <w:p w14:paraId="22BC13F8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（二）负责研究拟订和组织实施怀化农科园重大发展战略、发展规划和工作计划。</w:t>
      </w:r>
    </w:p>
    <w:p w14:paraId="7066905B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（三）按照怀化市国土空间总体规划和产业发展规划要求及相关权限，统筹建设发展空间布局；负责拟订怀化农科园产业布局、产业政策、项目准入标准等重要事项并组织实施。</w:t>
      </w:r>
    </w:p>
    <w:p w14:paraId="79EC0C04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（四）负责怀化农科园招商引资工作，组织对外经济技术合作与交流。负责怀化农科园基础设施、公用事业、重大项目等建设管理相关工作。</w:t>
      </w:r>
    </w:p>
    <w:p w14:paraId="606D6322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（五）负责怀化农科园优化营商环境工作，根据权限依法承担有关行政审批工作，履行行政审批服务职责。负责构建怀化农科园创新创业服务体系，协助企业做好人才引进和服务工作。</w:t>
      </w:r>
    </w:p>
    <w:p w14:paraId="02FE1EB5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（六）负责怀化农科园的科技创新和高新技术产业管理及服务，开展有关科技创新和高新技术产业政策研究，构建技术创新服务体系；指导区内企业建立现代化企业制度，推进高新技术产业化、国际化。</w:t>
      </w:r>
    </w:p>
    <w:p w14:paraId="3B36F151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（七）负责怀化农科园党的建设和“两新”组织党建工作。</w:t>
      </w:r>
    </w:p>
    <w:p w14:paraId="55238E26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（八）根据有关要求和职责分工，承担怀化农科园综合管理、统计、审计、信息、安全生产监督管理、生态环境保护、财政收支管理及国有资产管理等工作。</w:t>
      </w:r>
    </w:p>
    <w:p w14:paraId="6ABEDDCB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（九）行使市委、市人民政府授予的其他职权，承办市委、市政府和有关部门交办的其他事项。</w:t>
      </w:r>
    </w:p>
    <w:p w14:paraId="101AFB03"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 w14:paraId="1BFE1EC9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一）内设机构设置。为湖南怀化国家农业科技园区管理委员会一级部门预算单位，内设机构包括：办公室（组织工作局）、科技与产业发展局（安全生产监督管理局）、招商合作局、开发建设局、财政局。怀化农科园党工委、管委会设置直属副科级公益一类非独立核算二级事业单位1个：湖南怀化国家农业科技园区创新创业服务中心（湖南怀化国家农业科技园区政务服务中心）</w:t>
      </w:r>
    </w:p>
    <w:p w14:paraId="7FF32FE2"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（二）决算单位构成。湖南怀化国家农业科技园区管理委员会202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年部门决算汇总公开单位构成包括：湖南怀化国家农业科技园区管理委员会本级。</w:t>
      </w:r>
    </w:p>
    <w:p w14:paraId="343F1E7D">
      <w:pPr>
        <w:widowControl/>
        <w:spacing w:line="600" w:lineRule="exact"/>
        <w:jc w:val="left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06A22D3F">
      <w:pPr>
        <w:pStyle w:val="2"/>
        <w:rPr>
          <w:rFonts w:hint="eastAsia"/>
        </w:rPr>
      </w:pPr>
    </w:p>
    <w:p w14:paraId="410BC47E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第二部分</w:t>
      </w:r>
    </w:p>
    <w:p w14:paraId="3947E25D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5B42EE97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部门决算表</w:t>
      </w:r>
    </w:p>
    <w:p w14:paraId="6C013E8E">
      <w:pPr>
        <w:pStyle w:val="2"/>
        <w:ind w:left="0" w:leftChars="0" w:firstLine="0" w:firstLineChars="0"/>
        <w:jc w:val="center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</w:t>
      </w:r>
      <w:r>
        <w:rPr>
          <w:rFonts w:hint="eastAsia"/>
          <w:sz w:val="28"/>
          <w:szCs w:val="32"/>
          <w:lang w:eastAsia="zh-CN"/>
        </w:rPr>
        <w:t>（</w:t>
      </w:r>
      <w:r>
        <w:rPr>
          <w:rFonts w:hint="eastAsia"/>
          <w:sz w:val="28"/>
          <w:szCs w:val="32"/>
          <w:lang w:val="en-US" w:eastAsia="zh-CN"/>
        </w:rPr>
        <w:t>详见附件1：公开附件</w:t>
      </w:r>
      <w:r>
        <w:rPr>
          <w:rFonts w:hint="eastAsia"/>
          <w:sz w:val="28"/>
          <w:szCs w:val="32"/>
          <w:lang w:eastAsia="zh-CN"/>
        </w:rPr>
        <w:t>）</w:t>
      </w:r>
    </w:p>
    <w:p w14:paraId="264D4B07">
      <w:pPr>
        <w:widowControl/>
        <w:spacing w:line="600" w:lineRule="exact"/>
        <w:ind w:firstLine="3520" w:firstLineChars="800"/>
        <w:jc w:val="both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12E28785">
      <w:pPr>
        <w:pStyle w:val="2"/>
        <w:rPr>
          <w:rFonts w:hint="eastAsia"/>
        </w:rPr>
      </w:pPr>
    </w:p>
    <w:p w14:paraId="16A3E6F5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第三部分</w:t>
      </w:r>
    </w:p>
    <w:p w14:paraId="44CAAA3A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0451D323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  <w:t>2024</w:t>
      </w:r>
      <w:r>
        <w:rPr>
          <w:rFonts w:hint="eastAsia" w:ascii="黑体" w:hAnsi="黑体" w:eastAsia="黑体" w:cs="Times New Roman"/>
          <w:kern w:val="0"/>
          <w:sz w:val="44"/>
          <w:szCs w:val="44"/>
        </w:rPr>
        <w:t>年度部门决算情况说明</w:t>
      </w:r>
    </w:p>
    <w:p w14:paraId="0D2916AF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一、收入支出决算总体情况说明</w:t>
      </w:r>
    </w:p>
    <w:p w14:paraId="6B6D08CE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2024年度收、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总计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569.64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万元，2023年度收、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合计374.03万元，与上年相比，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增加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195.61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万元，增长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52.30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%，主要是因为人员增加以及正常晋级，新增人员经费130.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78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万元；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支付园区总体规划编制第三笔经费共计27.71万元；完成小叶黄精种子种苗繁育基地项目第二、第三阶段验收并拨付资金70万元。</w:t>
      </w:r>
    </w:p>
    <w:p w14:paraId="63486EAF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二、收入决算情况说明</w:t>
      </w:r>
    </w:p>
    <w:p w14:paraId="59637CFF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2024年度收入合计569.64万元，其中：财政拨款收入569.64万元，占100%；上级补助收入0万元，占0%；事业收入0万元，占0%；经营收入0万元，占0%；附属单位上缴收入0万元，占0%；其他收入0万元，占0%。</w:t>
      </w:r>
    </w:p>
    <w:p w14:paraId="0A5274C8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三、支出决算情况说明</w:t>
      </w:r>
    </w:p>
    <w:p w14:paraId="26C297C0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2024年度支出合计569.64万元，其中：基本支出499.64万元，占87.71%；项目支出70万元，占12.29%。</w:t>
      </w:r>
    </w:p>
    <w:p w14:paraId="162A85CE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四、财政拨款收入支出决算总体情况说明</w:t>
      </w:r>
    </w:p>
    <w:p w14:paraId="33A07441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2024年度收、支总计569.64万元，2023年度收、支合计374.03万元，与上年相比，增加195.61万元，增长52.30%，主要是因为人员增加以及正常晋级，新增人员经费130.80万元；支付园区总体规划编制第三笔经费共计27.71万元；完成小叶黄精种子种苗繁育基地项目第二、第三阶段验收并拨付资金70万元。</w:t>
      </w:r>
    </w:p>
    <w:p w14:paraId="19483478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五、一般公共预算财政拨款支出决算情况说明</w:t>
      </w:r>
    </w:p>
    <w:p w14:paraId="463AD6B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（一）一般公共预算财政拨款支出决算总体情况</w:t>
      </w:r>
    </w:p>
    <w:p w14:paraId="47516FC4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2024年度收、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总计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569.64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万元，2023年度收、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合计374.03万元，与上年相比，增加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195.61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万元，增长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52.30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%，主要是因为人员增加以及正常晋级，新增人员经费130.80万元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；支付园区总体规划编制第三笔经费共计27.71万元；完成小叶黄精种子种苗繁育基地项目第二、第三阶段验收并拨付资金70万元。</w:t>
      </w:r>
    </w:p>
    <w:p w14:paraId="3D3F4945">
      <w:pPr>
        <w:pStyle w:val="2"/>
        <w:rPr>
          <w:rFonts w:hint="eastAsia"/>
        </w:rPr>
      </w:pPr>
    </w:p>
    <w:p w14:paraId="5181119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（二）一般公共预算财政拨款支出决算结构情况</w:t>
      </w:r>
    </w:p>
    <w:p w14:paraId="7A2E7D6B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2024年度财政拨款支出569.64万元，主要用于以下方面：农林水支出（类）支出506.24万元，占88.87%；社会保障和就业（类）支出28.86万元，占5.07%;卫生健康（类）支出11.22万元，占1.97%；住房保障（类）支出23.32万元，占4.09%。</w:t>
      </w:r>
    </w:p>
    <w:p w14:paraId="7381DF1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highlight w:val="none"/>
        </w:rPr>
        <w:t>（三）一般公共预算财政拨款支出决算具体情况</w:t>
      </w:r>
    </w:p>
    <w:p w14:paraId="2510C7D3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2024年度财政拨款支出年初预算数为192.82万元，支出决算数为569.64万元，完成年初预算的195.43%，其中：</w:t>
      </w:r>
    </w:p>
    <w:p w14:paraId="008EE59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  <w:t>1.农林水支出（类）农业农村（款）行政运行（项）。</w:t>
      </w:r>
    </w:p>
    <w:p w14:paraId="271FB076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年初预算为147.32万元，支出决算为506.24万元，完成年初预算的243.63%，决算数大于年初预算数的主要原因是人员增加以及正常晋级，新增人员经费；支付怀化国家农业科技园区科技创新创业综合服务平台建设费79.80万元：支付工会经费21.96万元；支付网络通讯费13.05万元；支付物业费13.45万元；支付差旅费12.24万元;支付空调设备费用8.99万元；支付引进人才2023-2024年度补贴9.20万元；支付伙食补助费7.89万元等。</w:t>
      </w:r>
    </w:p>
    <w:p w14:paraId="63D2541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2、社会保障和就业（类）行政事业单位养老支出（款）机关事业单位基本养老保险缴费支出（项）。</w:t>
      </w:r>
    </w:p>
    <w:p w14:paraId="090C74C8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年初预算为20.08万元，支出决算为28.86万元，完成年初预算的143.72%，决算数大于年初预算数的主要原因是：本年度因人员增加以及正常晋级，新增人员经费，使得行政事业单位基本养老保险缴费支出决算数大于预算数。</w:t>
      </w:r>
    </w:p>
    <w:p w14:paraId="7B125B9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3、卫生健康（类）行政事业单位医疗（款）其他行政事业单位医疗支出（项）。</w:t>
      </w:r>
    </w:p>
    <w:p w14:paraId="6D0BBEFF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年初预算为8.32万元，支出决算为11.22万元，完成年初预算的134.85%，决算数大于年初预算数的主要原因是：决算数大于年初预算数的主要原因是：本年度因人员增加以及正常晋级，新增人员经费，使得其他行政事业单位医疗支出决算数大于预算数。</w:t>
      </w:r>
    </w:p>
    <w:p w14:paraId="3C7B165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2"/>
          <w:szCs w:val="32"/>
          <w:highlight w:val="none"/>
          <w:lang w:val="en-US" w:eastAsia="zh-CN"/>
        </w:rPr>
        <w:t>4、住房保障（类）住房改革（款）住房公积金支出（项）。</w:t>
      </w:r>
    </w:p>
    <w:p w14:paraId="5B06B0C7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年初预算为17.10万元，支出决算为23.32万元，完成年初预算的136.37%，决算数大于年初预算数的主要原因是：本年度因人员增加以及正常晋级，新增人员经费，使得住房公积金支出决算数大于预算数。</w:t>
      </w:r>
    </w:p>
    <w:p w14:paraId="01D547BF">
      <w:pPr>
        <w:widowControl/>
        <w:spacing w:line="600" w:lineRule="exact"/>
        <w:ind w:firstLine="640" w:firstLineChars="200"/>
        <w:jc w:val="left"/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六、一般公共预算财政拨款基本支出决算情况说明</w:t>
      </w:r>
    </w:p>
    <w:p w14:paraId="7229362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2024年度财政拨款基本支出569.64万元，其中：</w:t>
      </w:r>
    </w:p>
    <w:p w14:paraId="63CAA708">
      <w:pPr>
        <w:widowControl/>
        <w:spacing w:line="60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人员经费296.37万元，占基本支出的52.02%,主要包括基本工资、津贴补贴、基本养老保险缴费、基本医疗保险缴费、其他社会保障缴费等；公用经费203.27万元，占基本支出的35.68%，主要包括办公费、印刷费、咨询费、手续费、差旅费、培训费、其他交通费用、其他商品和服务支出等、费用补贴等。</w:t>
      </w:r>
    </w:p>
    <w:p w14:paraId="71D6BCD6">
      <w:pPr>
        <w:pStyle w:val="1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仿宋"/>
          <w:color w:val="auto"/>
          <w:kern w:val="2"/>
          <w:sz w:val="32"/>
          <w:szCs w:val="32"/>
          <w:highlight w:val="none"/>
          <w:lang w:val="en-US" w:eastAsia="zh-CN" w:bidi="ar-SA"/>
        </w:rPr>
        <w:t>财政拨款三公经费支出决算情况说明</w:t>
      </w:r>
    </w:p>
    <w:p w14:paraId="679220CF"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（一）“三公”经费财政拨款支出决算总体情况说明</w:t>
      </w:r>
    </w:p>
    <w:p w14:paraId="795D26CF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（1）“三公”经费指出情况。</w:t>
      </w:r>
    </w:p>
    <w:p w14:paraId="36C8E47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“三公”经费财政拨款支出预算控制数为0万元，支出决算为0万元，决算数与年初预算数持平，其中：</w:t>
      </w:r>
    </w:p>
    <w:p w14:paraId="456EF8C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1、因公出国（境）费支出预算控制数为0万元，支出决算为0万元，决算数与年初预算数持平，主要原因按预算执行，与上年数持平，主要原因本年度未安排因公出国（境）。</w:t>
      </w:r>
    </w:p>
    <w:p w14:paraId="69F5971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2、公务接待费支出预算控制数为0万元，支出决算为0万元，决算数与年初预算数持平，主要原因按预算执行，与上年数持平，主要原因本年度未进行公务接待。</w:t>
      </w:r>
    </w:p>
    <w:p w14:paraId="3222372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3、公务用车购置费及运行维护费支出预算控制数为0万元，支出决算为0万元，决算数与年初预算数持平主要原因按预算执行，与上年数持平，主要原因是厉行节约，减少开支。</w:t>
      </w:r>
    </w:p>
    <w:p w14:paraId="71FB4D9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（2）会议费支出情况。</w:t>
      </w:r>
    </w:p>
    <w:p w14:paraId="5CFC3BF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会议费支出预算控制数为0万元，支出决算为0万元，决算数与年初预算数持平，主要原因按预算执行，与上年数持平，主要原因是厉行节约，减少开支。</w:t>
      </w:r>
    </w:p>
    <w:p w14:paraId="71C6184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（3）培训费支出情况。</w:t>
      </w:r>
    </w:p>
    <w:p w14:paraId="6591B368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培训费支出预算控制数为0万元，支出决算为0万元，决算数与年初预算数持平，主要原因按预算执行，与上年数持平，主要原因是厉行节约，减少开支。</w:t>
      </w:r>
    </w:p>
    <w:p w14:paraId="5C5C270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（4）重点经济分类支出中存在的问题及改进措施。</w:t>
      </w:r>
    </w:p>
    <w:p w14:paraId="37DC360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无。</w:t>
      </w:r>
    </w:p>
    <w:p w14:paraId="01F5E1E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（二）“三公”经费财政拨款支出决算具体情况说明</w:t>
      </w:r>
    </w:p>
    <w:p w14:paraId="660E4D5D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2024年度“三公”经费财政拨款支出决算中，公务接待费支出决算0万元，占0%,因公出国（境）费支出决算0万元，占0%,公务用车购置费及运行维护费支出决算0万元，占0%。其中：</w:t>
      </w:r>
    </w:p>
    <w:p w14:paraId="313299F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1、因公出国（境）费支出决算为0万元，全年安排因公出国（境）团组0个，累计0人次。</w:t>
      </w:r>
    </w:p>
    <w:p w14:paraId="1ADE0CF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2、公务接待费支出决算为0万元，全年共接待来访团组0个、来宾0人次。</w:t>
      </w:r>
    </w:p>
    <w:p w14:paraId="6292F25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3、公务用车购置费及运行维护费支出决算为0万元，其中：公务用车购置费0万元，更新公务用车0辆。公务用车运行维护费0万元。截止2024年12月31日，我单位开支财政拨款的公务用车保有量为0辆。</w:t>
      </w:r>
    </w:p>
    <w:p w14:paraId="575045F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八、政府性基金预算收入支出决算情况</w:t>
      </w:r>
    </w:p>
    <w:p w14:paraId="53F732C5">
      <w:pPr>
        <w:pStyle w:val="17"/>
        <w:keepNext w:val="0"/>
        <w:keepLines w:val="0"/>
        <w:pageBreakBefore w:val="0"/>
        <w:widowControl w:val="0"/>
        <w:tabs>
          <w:tab w:val="center" w:pos="4513"/>
        </w:tabs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本单位无政府性基金收支。</w:t>
      </w:r>
    </w:p>
    <w:p w14:paraId="4671BD6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九、国有资本经营预算收入支出决算情况</w:t>
      </w:r>
    </w:p>
    <w:p w14:paraId="7D3D0B27">
      <w:pPr>
        <w:pStyle w:val="17"/>
        <w:keepNext w:val="0"/>
        <w:keepLines w:val="0"/>
        <w:pageBreakBefore w:val="0"/>
        <w:widowControl w:val="0"/>
        <w:tabs>
          <w:tab w:val="center" w:pos="4513"/>
        </w:tabs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本单位无国有资本经营收支。</w:t>
      </w:r>
    </w:p>
    <w:p w14:paraId="287F00B3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十、关于机关运行经费支出说明</w:t>
      </w:r>
    </w:p>
    <w:p w14:paraId="607E455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本部门2024年度机关运行经费支出0万元，我单位为公益一类事业单位，不属于行政单位和参照公务员法管理事业单位，故无机关运行经费支出。</w:t>
      </w:r>
    </w:p>
    <w:p w14:paraId="1B11216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十一、一般性支出情况说明</w:t>
      </w:r>
    </w:p>
    <w:p w14:paraId="4586EC3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2024年本部门开支会议费0万元，未召开会议；开支培训费0万元，用于2024年度事业单位线上学习培训，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highlight w:val="none"/>
          <w:lang w:val="en-US" w:eastAsia="zh-CN" w:bidi="ar-SA"/>
        </w:rPr>
        <w:t>人数0人，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内容为公共科目以及专业科目。公共科目培训主题为习近平新时代中国特色社会主义思想，专业科目培训主题由各事业单位结合自身工作自行确定；2024年本部门未举办节庆、晚会、论坛、赛事等活动。</w:t>
      </w:r>
    </w:p>
    <w:p w14:paraId="20322EC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十二、关于政府采购支出说明</w:t>
      </w:r>
    </w:p>
    <w:p w14:paraId="6A23049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本部门2024年度政府采购支出总额169.90万元，其中：政府采购货物支出121.88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万元、政府采购工程支出0万元、政府采购服务支出48.02万元。授予中小企业合同金额169.90万元，占政府采购支出总额的100%，其中：授予小微企业合同金额0万元，占授予中小企业合同金额的0%。</w:t>
      </w:r>
    </w:p>
    <w:p w14:paraId="16A0402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 w14:paraId="377C4CEE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截至2024年12月31日，本单位共有车辆0辆，其中，主要领导干部用车0辆，机要通信用车0辆、应急保障用车0辆、执法执勤用车0辆、特种专业技术用车0辆、其他用车0辆；单位价值50万元以上通用设备0台（套）；单位价值100万元以上专用设备0台（套）。</w:t>
      </w:r>
    </w:p>
    <w:p w14:paraId="46945E97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 w14:paraId="0A95ACFA">
      <w:pPr>
        <w:spacing w:line="560" w:lineRule="exact"/>
        <w:ind w:firstLine="640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1、绩效管理工作开展情况</w:t>
      </w:r>
    </w:p>
    <w:p w14:paraId="356DEB8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本单位积极开展预算绩效管理工作，设定了绩效目标，对2024年部门整体运行及支出情况进行了自查自评，本单位顺利完成项目绩效目标评价和2024年整体支出绩效评价工作。</w:t>
      </w:r>
    </w:p>
    <w:p w14:paraId="1CEF5E79">
      <w:pPr>
        <w:spacing w:line="560" w:lineRule="exact"/>
        <w:ind w:firstLine="640" w:firstLineChars="200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2、当年预算执行及绩效管理中存在问题、原因及改进措施。</w:t>
      </w:r>
    </w:p>
    <w:p w14:paraId="619FA85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zh-TW" w:eastAsia="zh-TW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预算绩效管理工作有待加强。预算绩效管理工作虽有所推进，但仍存短板，一是绩效目标编制不规范。绩效目标的规划不够精确且量化不足，过分侧重于定性评价，数量化的明确指标稀缺，加之部门整体支出的自评水平尚待提高。二是绩效管理理念有待进一步增强。强化绩效管理理念，需明确战略目标，优化管理流程，加强职工沟通，注重结果反馈，形成持续改进的文化。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zh-TW" w:eastAsia="zh-TW" w:bidi="ar-SA"/>
        </w:rPr>
        <w:t>。</w:t>
      </w:r>
    </w:p>
    <w:p w14:paraId="6C745D34">
      <w:pPr>
        <w:pStyle w:val="17"/>
        <w:jc w:val="center"/>
        <w:rPr>
          <w:sz w:val="72"/>
          <w:szCs w:val="72"/>
        </w:rPr>
      </w:pPr>
    </w:p>
    <w:p w14:paraId="18F5E238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第四部分</w:t>
      </w:r>
    </w:p>
    <w:p w14:paraId="5833E670">
      <w:pPr>
        <w:pStyle w:val="2"/>
        <w:rPr>
          <w:rFonts w:hint="eastAsia"/>
        </w:rPr>
      </w:pPr>
    </w:p>
    <w:p w14:paraId="5DCFD1DB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名词解释</w:t>
      </w:r>
    </w:p>
    <w:p w14:paraId="27D7FDDC">
      <w:pPr>
        <w:pStyle w:val="17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91B3FC9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10"/>
          <w:kern w:val="2"/>
          <w:sz w:val="32"/>
          <w:szCs w:val="32"/>
          <w:lang w:val="zh-TW" w:eastAsia="zh-TW" w:bidi="ar-SA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一、机关运行经费：</w:t>
      </w:r>
      <w:r>
        <w:rPr>
          <w:rFonts w:hint="eastAsia" w:ascii="仿宋" w:hAnsi="仿宋" w:eastAsia="仿宋" w:cs="仿宋"/>
          <w:color w:val="auto"/>
          <w:spacing w:val="10"/>
          <w:kern w:val="2"/>
          <w:sz w:val="32"/>
          <w:szCs w:val="32"/>
          <w:lang w:val="zh-TW" w:eastAsia="zh-TW" w:bidi="ar-SA"/>
        </w:rPr>
        <w:t>为保障行政单位（包括参照公务员法管理的事业单位）运行，用一般公共预算拨款安排用于购买货物和服务的各项资金，包括办公及印刷费、邮电费、差旅费、会议费、福利费、日常维修费、办公用房水电费、办公用房取暖费、办公用房物业管理费、公务用车运行维护费以及其他费用。</w:t>
      </w:r>
    </w:p>
    <w:p w14:paraId="34DAF44A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二、“三公”经费：</w:t>
      </w:r>
      <w:r>
        <w:rPr>
          <w:rFonts w:hint="eastAsia" w:ascii="仿宋" w:hAnsi="仿宋" w:eastAsia="仿宋" w:cs="仿宋"/>
          <w:color w:val="auto"/>
          <w:spacing w:val="10"/>
          <w:kern w:val="2"/>
          <w:sz w:val="32"/>
          <w:szCs w:val="32"/>
          <w:lang w:val="zh-TW" w:eastAsia="zh-TW" w:bidi="ar-SA"/>
        </w:rPr>
        <w:t>纳入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4E659AA9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78CFEC0D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</w:rPr>
        <w:t>第</w:t>
      </w:r>
      <w:r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  <w:t>五</w:t>
      </w:r>
      <w:r>
        <w:rPr>
          <w:rFonts w:hint="eastAsia" w:ascii="黑体" w:hAnsi="黑体" w:eastAsia="黑体" w:cs="Times New Roman"/>
          <w:kern w:val="0"/>
          <w:sz w:val="44"/>
          <w:szCs w:val="44"/>
        </w:rPr>
        <w:t>部分</w:t>
      </w:r>
    </w:p>
    <w:p w14:paraId="0A22B69A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</w:rPr>
      </w:pPr>
    </w:p>
    <w:p w14:paraId="10449343">
      <w:pPr>
        <w:widowControl/>
        <w:spacing w:line="600" w:lineRule="exact"/>
        <w:ind w:firstLine="880" w:firstLineChars="200"/>
        <w:jc w:val="center"/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  <w:t>附</w:t>
      </w:r>
      <w:r>
        <w:rPr>
          <w:rFonts w:hint="eastAsia" w:ascii="黑体" w:hAnsi="黑体" w:eastAsia="黑体" w:cs="Times New Roman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kern w:val="0"/>
          <w:sz w:val="44"/>
          <w:szCs w:val="44"/>
          <w:lang w:eastAsia="zh-CN"/>
        </w:rPr>
        <w:t>件</w:t>
      </w:r>
    </w:p>
    <w:p w14:paraId="3D2CCB9B">
      <w:pPr>
        <w:pStyle w:val="17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E376285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Style w:val="14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u w:val="single"/>
          <w:lang w:val="en-US" w:eastAsia="zh-CN"/>
        </w:rPr>
        <w:t>附件1：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u w:val="single"/>
          <w:lang w:val="en-US" w:eastAsia="zh-CN"/>
        </w:rPr>
        <w:instrText xml:space="preserve"> HYPERLINK "湖南怀化国家农业科技园区管理委员会(1).XLS" </w:instrTex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14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湖南怀化国家农业科技园区管理委员会2024年决算公开表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u w:val="single"/>
          <w:lang w:val="en-US" w:eastAsia="zh-CN"/>
        </w:rPr>
        <w:fldChar w:fldCharType="end"/>
      </w:r>
    </w:p>
    <w:p w14:paraId="1C482C51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instrText xml:space="preserve"> HYPERLINK "2024年绩效评价报告.doc" </w:instrTex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fldChar w:fldCharType="separate"/>
      </w:r>
      <w:r>
        <w:rPr>
          <w:rStyle w:val="14"/>
          <w:rFonts w:hint="eastAsia" w:ascii="Times New Roman" w:hAnsi="Times New Roman" w:eastAsia="仿宋_GB2312"/>
          <w:sz w:val="32"/>
          <w:szCs w:val="32"/>
          <w:lang w:val="en-US" w:eastAsia="zh-CN"/>
        </w:rPr>
        <w:t>附件2：湖南怀化国家农业科技园区管理委员会2024年部门整体支出绩效评价报告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fldChar w:fldCharType="end"/>
      </w:r>
    </w:p>
    <w:sectPr>
      <w:pgSz w:w="11906" w:h="16838"/>
      <w:pgMar w:top="1803" w:right="1440" w:bottom="1803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8D963"/>
    <w:multiLevelType w:val="singleLevel"/>
    <w:tmpl w:val="76F8D96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NjIxZDhmMTAwMWJlZWQyN2ZjMDVmZjJkNjUwMGEifQ==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61ED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703E7C"/>
    <w:rsid w:val="08174DCE"/>
    <w:rsid w:val="103F5AD3"/>
    <w:rsid w:val="11CD7A3C"/>
    <w:rsid w:val="15F93A4F"/>
    <w:rsid w:val="17F93AF7"/>
    <w:rsid w:val="186715DB"/>
    <w:rsid w:val="196F62FD"/>
    <w:rsid w:val="19F759A6"/>
    <w:rsid w:val="1C3654FC"/>
    <w:rsid w:val="1D97DEFF"/>
    <w:rsid w:val="1DFF72E5"/>
    <w:rsid w:val="1EFC6F07"/>
    <w:rsid w:val="1FBE3BA7"/>
    <w:rsid w:val="238B30B1"/>
    <w:rsid w:val="26A02DDC"/>
    <w:rsid w:val="297B3BC8"/>
    <w:rsid w:val="2D6F4E90"/>
    <w:rsid w:val="2E904EC2"/>
    <w:rsid w:val="2FDF85B8"/>
    <w:rsid w:val="2FFFEE04"/>
    <w:rsid w:val="30134B5A"/>
    <w:rsid w:val="32123D31"/>
    <w:rsid w:val="34DF85B0"/>
    <w:rsid w:val="35B5357D"/>
    <w:rsid w:val="376B75FE"/>
    <w:rsid w:val="39862EF1"/>
    <w:rsid w:val="3A0B5FB6"/>
    <w:rsid w:val="3B8F36BC"/>
    <w:rsid w:val="3C9B0B10"/>
    <w:rsid w:val="3EC94364"/>
    <w:rsid w:val="3F0100E9"/>
    <w:rsid w:val="414A56C0"/>
    <w:rsid w:val="4606574C"/>
    <w:rsid w:val="47060671"/>
    <w:rsid w:val="48EE0D82"/>
    <w:rsid w:val="491FF225"/>
    <w:rsid w:val="49320E3E"/>
    <w:rsid w:val="49A74393"/>
    <w:rsid w:val="4A39756E"/>
    <w:rsid w:val="4E0F4D20"/>
    <w:rsid w:val="4E8B1908"/>
    <w:rsid w:val="4F841C44"/>
    <w:rsid w:val="4FFD214C"/>
    <w:rsid w:val="515406D7"/>
    <w:rsid w:val="515C0243"/>
    <w:rsid w:val="51BC686B"/>
    <w:rsid w:val="574003AA"/>
    <w:rsid w:val="5777D4F5"/>
    <w:rsid w:val="57D76009"/>
    <w:rsid w:val="59DD8326"/>
    <w:rsid w:val="5A3B1DC0"/>
    <w:rsid w:val="5DEF592A"/>
    <w:rsid w:val="5FC6BB1E"/>
    <w:rsid w:val="5FF720F1"/>
    <w:rsid w:val="63DF6A68"/>
    <w:rsid w:val="657038D9"/>
    <w:rsid w:val="67FF5C0B"/>
    <w:rsid w:val="6878332B"/>
    <w:rsid w:val="6A6A5BF7"/>
    <w:rsid w:val="6B321631"/>
    <w:rsid w:val="6B9D4CFC"/>
    <w:rsid w:val="6CE93F71"/>
    <w:rsid w:val="6EFC0924"/>
    <w:rsid w:val="6FB74722"/>
    <w:rsid w:val="6FEF8B7E"/>
    <w:rsid w:val="703A60CC"/>
    <w:rsid w:val="706D1298"/>
    <w:rsid w:val="71A6591B"/>
    <w:rsid w:val="72A22A1E"/>
    <w:rsid w:val="737D59BA"/>
    <w:rsid w:val="747D06DD"/>
    <w:rsid w:val="749018A2"/>
    <w:rsid w:val="758136EA"/>
    <w:rsid w:val="76FA1255"/>
    <w:rsid w:val="775952B2"/>
    <w:rsid w:val="77C37683"/>
    <w:rsid w:val="788F15E9"/>
    <w:rsid w:val="78CD185E"/>
    <w:rsid w:val="799B65F3"/>
    <w:rsid w:val="79E4560A"/>
    <w:rsid w:val="79FF515B"/>
    <w:rsid w:val="7A9C0DCE"/>
    <w:rsid w:val="7CAC26B0"/>
    <w:rsid w:val="7D5416FA"/>
    <w:rsid w:val="7E9E1962"/>
    <w:rsid w:val="7E9F11B4"/>
    <w:rsid w:val="7F323EA9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ind w:firstLine="100" w:firstLineChars="100"/>
    </w:pPr>
  </w:style>
  <w:style w:type="paragraph" w:customStyle="1" w:styleId="3">
    <w:name w:val="Body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4795</Words>
  <Characters>5220</Characters>
  <Lines>63</Lines>
  <Paragraphs>18</Paragraphs>
  <TotalTime>27</TotalTime>
  <ScaleCrop>false</ScaleCrop>
  <LinksUpToDate>false</LinksUpToDate>
  <CharactersWithSpaces>5232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u</cp:lastModifiedBy>
  <cp:lastPrinted>2024-09-09T08:18:00Z</cp:lastPrinted>
  <dcterms:modified xsi:type="dcterms:W3CDTF">2025-09-19T01:31:40Z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6EEB0F58B41A4E5F87DDECD4FB80729C_13</vt:lpwstr>
  </property>
  <property fmtid="{D5CDD505-2E9C-101B-9397-08002B2CF9AE}" pid="4" name="KSOTemplateDocerSaveRecord">
    <vt:lpwstr>eyJoZGlkIjoiYTYxNjIxZDhmMTAwMWJlZWQyN2ZjMDVmZjJkNjUwMGEiLCJ1c2VySWQiOiIyNDM1MDQ0ODYifQ==</vt:lpwstr>
  </property>
</Properties>
</file>