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EF64A">
      <w:pPr>
        <w:pStyle w:val="13"/>
        <w:shd w:val="clear"/>
        <w:jc w:val="both"/>
        <w:rPr>
          <w:rFonts w:hint="eastAsia" w:hAnsi="黑体" w:eastAsia="黑体"/>
          <w:i w:val="0"/>
          <w:iCs w:val="0"/>
          <w:sz w:val="36"/>
          <w:szCs w:val="36"/>
          <w:lang w:eastAsia="zh-CN"/>
        </w:rPr>
      </w:pPr>
      <w:r>
        <w:rPr>
          <w:rFonts w:hint="eastAsia" w:hAnsi="黑体"/>
          <w:i w:val="0"/>
          <w:iCs w:val="0"/>
          <w:sz w:val="36"/>
          <w:szCs w:val="36"/>
        </w:rPr>
        <w:t>附件</w:t>
      </w:r>
      <w:r>
        <w:rPr>
          <w:rFonts w:hint="eastAsia" w:hAnsi="黑体"/>
          <w:i w:val="0"/>
          <w:iCs w:val="0"/>
          <w:sz w:val="36"/>
          <w:szCs w:val="36"/>
          <w:lang w:val="en-US" w:eastAsia="zh-CN"/>
        </w:rPr>
        <w:t>2</w:t>
      </w:r>
    </w:p>
    <w:p w14:paraId="50448040">
      <w:pPr>
        <w:pStyle w:val="13"/>
        <w:shd w:val="clear"/>
        <w:jc w:val="center"/>
        <w:rPr>
          <w:rFonts w:ascii="Times New Roman" w:hAnsi="Times New Roman" w:cs="Times New Roman"/>
          <w:i w:val="0"/>
          <w:iCs w:val="0"/>
          <w:sz w:val="56"/>
          <w:szCs w:val="56"/>
        </w:rPr>
      </w:pPr>
    </w:p>
    <w:p w14:paraId="2D9825B3">
      <w:pPr>
        <w:pStyle w:val="13"/>
        <w:shd w:val="clear"/>
        <w:jc w:val="center"/>
        <w:rPr>
          <w:rFonts w:ascii="Times New Roman" w:hAnsi="Times New Roman" w:cs="Times New Roman"/>
          <w:i w:val="0"/>
          <w:iCs w:val="0"/>
          <w:sz w:val="84"/>
          <w:szCs w:val="84"/>
        </w:rPr>
      </w:pPr>
    </w:p>
    <w:p w14:paraId="358430BB">
      <w:pPr>
        <w:pStyle w:val="13"/>
        <w:shd w:val="clear"/>
        <w:jc w:val="center"/>
        <w:rPr>
          <w:rFonts w:ascii="Times New Roman" w:hAnsi="Times New Roman" w:cs="Times New Roman"/>
          <w:i w:val="0"/>
          <w:iCs w:val="0"/>
          <w:sz w:val="84"/>
          <w:szCs w:val="84"/>
        </w:rPr>
      </w:pPr>
    </w:p>
    <w:p w14:paraId="0FD36DC7">
      <w:pPr>
        <w:pStyle w:val="13"/>
        <w:shd w:val="clear"/>
        <w:jc w:val="center"/>
        <w:rPr>
          <w:rFonts w:ascii="Times New Roman" w:hAnsi="Times New Roman" w:eastAsia="方正小标宋简体" w:cs="Times New Roman"/>
          <w:i w:val="0"/>
          <w:iCs w:val="0"/>
          <w:sz w:val="60"/>
          <w:szCs w:val="60"/>
        </w:rPr>
      </w:pPr>
      <w:r>
        <w:rPr>
          <w:rFonts w:ascii="Times New Roman" w:hAnsi="Times New Roman" w:eastAsia="方正小标宋简体" w:cs="Times New Roman"/>
          <w:i w:val="0"/>
          <w:iCs w:val="0"/>
          <w:sz w:val="60"/>
          <w:szCs w:val="60"/>
        </w:rPr>
        <w:t>202</w:t>
      </w:r>
      <w:r>
        <w:rPr>
          <w:rFonts w:hint="eastAsia" w:ascii="Times New Roman" w:hAnsi="Times New Roman" w:eastAsia="方正小标宋简体" w:cs="Times New Roman"/>
          <w:i w:val="0"/>
          <w:iCs w:val="0"/>
          <w:sz w:val="60"/>
          <w:szCs w:val="60"/>
          <w:lang w:val="en-US" w:eastAsia="zh-CN"/>
        </w:rPr>
        <w:t>5</w:t>
      </w:r>
      <w:r>
        <w:rPr>
          <w:rFonts w:ascii="Times New Roman" w:hAnsi="Times New Roman" w:eastAsia="方正小标宋简体" w:cs="Times New Roman"/>
          <w:i w:val="0"/>
          <w:iCs w:val="0"/>
          <w:sz w:val="60"/>
          <w:szCs w:val="60"/>
        </w:rPr>
        <w:t>年度</w:t>
      </w:r>
    </w:p>
    <w:p w14:paraId="2CDC8CF2">
      <w:pPr>
        <w:pStyle w:val="13"/>
        <w:shd w:val="clear"/>
        <w:jc w:val="center"/>
        <w:rPr>
          <w:rFonts w:ascii="Times New Roman" w:hAnsi="Times New Roman" w:eastAsia="方正小标宋简体" w:cs="Times New Roman"/>
          <w:i w:val="0"/>
          <w:iCs w:val="0"/>
          <w:sz w:val="60"/>
          <w:szCs w:val="60"/>
        </w:rPr>
      </w:pPr>
      <w:r>
        <w:rPr>
          <w:rFonts w:hint="eastAsia" w:ascii="Times New Roman" w:hAnsi="Times New Roman" w:eastAsia="方正小标宋简体" w:cs="Times New Roman"/>
          <w:i w:val="0"/>
          <w:iCs w:val="0"/>
          <w:sz w:val="60"/>
          <w:szCs w:val="60"/>
          <w:lang w:eastAsia="zh-CN"/>
        </w:rPr>
        <w:t>怀化市医疗保障局</w:t>
      </w:r>
      <w:r>
        <w:rPr>
          <w:rFonts w:ascii="Times New Roman" w:hAnsi="Times New Roman" w:eastAsia="方正小标宋简体" w:cs="Times New Roman"/>
          <w:i w:val="0"/>
          <w:iCs w:val="0"/>
          <w:sz w:val="60"/>
          <w:szCs w:val="60"/>
        </w:rPr>
        <w:t>部门决算</w:t>
      </w:r>
    </w:p>
    <w:p w14:paraId="563DA264">
      <w:pPr>
        <w:pStyle w:val="13"/>
        <w:shd w:val="clear"/>
        <w:jc w:val="center"/>
        <w:rPr>
          <w:rFonts w:ascii="Times New Roman" w:hAnsi="Times New Roman" w:cs="Times New Roman"/>
          <w:i w:val="0"/>
          <w:iCs w:val="0"/>
          <w:sz w:val="32"/>
          <w:szCs w:val="32"/>
        </w:rPr>
      </w:pPr>
    </w:p>
    <w:p w14:paraId="4E224A2E">
      <w:pPr>
        <w:pStyle w:val="13"/>
        <w:shd w:val="clear"/>
        <w:jc w:val="center"/>
        <w:rPr>
          <w:rFonts w:ascii="Times New Roman" w:hAnsi="Times New Roman" w:cs="Times New Roman"/>
          <w:i w:val="0"/>
          <w:iCs w:val="0"/>
          <w:sz w:val="32"/>
          <w:szCs w:val="32"/>
        </w:rPr>
      </w:pPr>
    </w:p>
    <w:p w14:paraId="7A310D1C">
      <w:pPr>
        <w:pStyle w:val="13"/>
        <w:shd w:val="clear"/>
        <w:spacing w:line="540" w:lineRule="exact"/>
        <w:jc w:val="center"/>
        <w:rPr>
          <w:rFonts w:ascii="Times New Roman" w:hAnsi="Times New Roman" w:cs="Times New Roman"/>
          <w:i w:val="0"/>
          <w:iCs w:val="0"/>
          <w:sz w:val="56"/>
          <w:szCs w:val="56"/>
        </w:rPr>
      </w:pPr>
    </w:p>
    <w:p w14:paraId="098898DE">
      <w:pPr>
        <w:shd w:val="clear"/>
        <w:rPr>
          <w:rFonts w:ascii="Times New Roman" w:hAnsi="Times New Roman" w:cs="Times New Roman"/>
          <w:b/>
          <w:i w:val="0"/>
          <w:iCs w:val="0"/>
          <w:sz w:val="36"/>
          <w:szCs w:val="28"/>
        </w:rPr>
        <w:sectPr>
          <w:pgSz w:w="11906" w:h="16838"/>
          <w:pgMar w:top="1701" w:right="1701" w:bottom="1701" w:left="1701" w:header="851" w:footer="992" w:gutter="0"/>
          <w:cols w:space="425" w:num="1"/>
          <w:docGrid w:type="lines" w:linePitch="312" w:charSpace="0"/>
        </w:sectPr>
      </w:pPr>
    </w:p>
    <w:p w14:paraId="1B4957DF">
      <w:pPr>
        <w:pStyle w:val="13"/>
        <w:shd w:val="clear"/>
        <w:spacing w:line="600" w:lineRule="exact"/>
        <w:jc w:val="both"/>
        <w:rPr>
          <w:rFonts w:ascii="Times New Roman" w:hAnsi="Times New Roman" w:cs="Times New Roman"/>
          <w:b/>
          <w:i w:val="0"/>
          <w:iCs w:val="0"/>
          <w:sz w:val="36"/>
          <w:szCs w:val="28"/>
        </w:rPr>
        <w:sectPr>
          <w:footerReference r:id="rId3" w:type="default"/>
          <w:pgSz w:w="11906" w:h="16838"/>
          <w:pgMar w:top="1701" w:right="1701" w:bottom="1701" w:left="1701" w:header="851" w:footer="992" w:gutter="0"/>
          <w:pgNumType w:start="1"/>
          <w:cols w:space="425" w:num="1"/>
          <w:docGrid w:type="lines" w:linePitch="312" w:charSpace="0"/>
        </w:sectPr>
      </w:pPr>
    </w:p>
    <w:p w14:paraId="7F839E2F">
      <w:pPr>
        <w:pStyle w:val="13"/>
        <w:shd w:val="clear"/>
        <w:spacing w:line="600" w:lineRule="exact"/>
        <w:jc w:val="center"/>
        <w:rPr>
          <w:rFonts w:ascii="Times New Roman" w:hAnsi="Times New Roman" w:cs="Times New Roman"/>
          <w:bCs/>
          <w:i w:val="0"/>
          <w:iCs w:val="0"/>
          <w:sz w:val="44"/>
          <w:szCs w:val="36"/>
        </w:rPr>
      </w:pPr>
      <w:r>
        <w:rPr>
          <w:rFonts w:ascii="Times New Roman" w:hAnsi="Times New Roman" w:cs="Times New Roman"/>
          <w:bCs/>
          <w:i w:val="0"/>
          <w:iCs w:val="0"/>
          <w:sz w:val="44"/>
          <w:szCs w:val="36"/>
        </w:rPr>
        <w:t>目  录</w:t>
      </w:r>
    </w:p>
    <w:p w14:paraId="237EDF07">
      <w:pPr>
        <w:pStyle w:val="13"/>
        <w:shd w:val="clear"/>
        <w:spacing w:line="600" w:lineRule="exact"/>
        <w:jc w:val="center"/>
        <w:rPr>
          <w:rFonts w:ascii="Times New Roman" w:hAnsi="Times New Roman" w:cs="Times New Roman"/>
          <w:b/>
          <w:i w:val="0"/>
          <w:iCs w:val="0"/>
          <w:sz w:val="36"/>
          <w:szCs w:val="28"/>
        </w:rPr>
      </w:pPr>
    </w:p>
    <w:p w14:paraId="29E9C014">
      <w:pPr>
        <w:pStyle w:val="13"/>
        <w:shd w:val="clear"/>
        <w:spacing w:after="156" w:afterLines="50" w:line="600" w:lineRule="exact"/>
        <w:rPr>
          <w:rFonts w:ascii="Times New Roman" w:hAnsi="Times New Roman" w:cs="Times New Roman"/>
          <w:bCs/>
          <w:i w:val="0"/>
          <w:iCs w:val="0"/>
          <w:sz w:val="32"/>
          <w:szCs w:val="32"/>
        </w:rPr>
      </w:pPr>
      <w:r>
        <w:rPr>
          <w:rFonts w:ascii="Times New Roman" w:hAnsi="Times New Roman" w:cs="Times New Roman"/>
          <w:bCs/>
          <w:i w:val="0"/>
          <w:iCs w:val="0"/>
          <w:sz w:val="32"/>
          <w:szCs w:val="32"/>
        </w:rPr>
        <w:t xml:space="preserve">第一部分 </w:t>
      </w:r>
      <w:r>
        <w:rPr>
          <w:rFonts w:hint="eastAsia" w:ascii="Times New Roman" w:hAnsi="Times New Roman" w:cs="Times New Roman"/>
          <w:bCs/>
          <w:i w:val="0"/>
          <w:iCs w:val="0"/>
          <w:sz w:val="32"/>
          <w:szCs w:val="32"/>
          <w:lang w:eastAsia="zh-CN"/>
        </w:rPr>
        <w:t>怀化市医疗保障局</w:t>
      </w:r>
      <w:r>
        <w:rPr>
          <w:rFonts w:ascii="Times New Roman" w:hAnsi="Times New Roman" w:cs="Times New Roman"/>
          <w:bCs/>
          <w:i w:val="0"/>
          <w:iCs w:val="0"/>
          <w:sz w:val="32"/>
          <w:szCs w:val="32"/>
        </w:rPr>
        <w:t>概况</w:t>
      </w:r>
    </w:p>
    <w:p w14:paraId="7CC7E1F4">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一、部门职责</w:t>
      </w:r>
    </w:p>
    <w:p w14:paraId="32DDD6D7">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二、机构设置及决算单位构成</w:t>
      </w:r>
    </w:p>
    <w:p w14:paraId="6043A1A5">
      <w:pPr>
        <w:pStyle w:val="13"/>
        <w:shd w:val="clear"/>
        <w:spacing w:before="156" w:beforeLines="50" w:after="156" w:afterLines="50" w:line="600" w:lineRule="exact"/>
        <w:rPr>
          <w:rFonts w:ascii="Times New Roman" w:hAnsi="Times New Roman" w:cs="Times New Roman"/>
          <w:bCs/>
          <w:i w:val="0"/>
          <w:iCs w:val="0"/>
          <w:sz w:val="32"/>
          <w:szCs w:val="32"/>
        </w:rPr>
      </w:pPr>
      <w:r>
        <w:rPr>
          <w:rFonts w:ascii="Times New Roman" w:hAnsi="Times New Roman" w:cs="Times New Roman"/>
          <w:bCs/>
          <w:i w:val="0"/>
          <w:iCs w:val="0"/>
          <w:sz w:val="32"/>
          <w:szCs w:val="32"/>
        </w:rPr>
        <w:t>第二部分 部门决算表</w:t>
      </w:r>
    </w:p>
    <w:p w14:paraId="7BD34D27">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一、收入支出决算总表</w:t>
      </w:r>
    </w:p>
    <w:p w14:paraId="0D8E1731">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二、收入决算表</w:t>
      </w:r>
    </w:p>
    <w:p w14:paraId="58AA2013">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三、支出决算表</w:t>
      </w:r>
    </w:p>
    <w:p w14:paraId="05596EA0">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四、财政拨款收入支出决算总表</w:t>
      </w:r>
    </w:p>
    <w:p w14:paraId="5704844B">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五、一般公共预算财政拨款支出决算表</w:t>
      </w:r>
    </w:p>
    <w:p w14:paraId="79678D9B">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六、一般公共预算财政拨款基本支出决算明细表</w:t>
      </w:r>
    </w:p>
    <w:p w14:paraId="0EFE7723">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七、政府性基金预算财政拨款收入支出决算表</w:t>
      </w:r>
    </w:p>
    <w:p w14:paraId="5DB0AA5B">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八、国有资本经营预算财政拨款支出决算表</w:t>
      </w:r>
    </w:p>
    <w:p w14:paraId="7D15A2BB">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九、财政拨款“三公”经费支出决算表</w:t>
      </w:r>
    </w:p>
    <w:p w14:paraId="1A86A4E3">
      <w:pPr>
        <w:pStyle w:val="13"/>
        <w:shd w:val="clear"/>
        <w:spacing w:before="156" w:beforeLines="50" w:after="156" w:afterLines="50" w:line="600" w:lineRule="exact"/>
        <w:rPr>
          <w:rFonts w:ascii="Times New Roman" w:hAnsi="Times New Roman" w:cs="Times New Roman"/>
          <w:bCs/>
          <w:i w:val="0"/>
          <w:iCs w:val="0"/>
          <w:sz w:val="32"/>
          <w:szCs w:val="32"/>
        </w:rPr>
      </w:pPr>
      <w:r>
        <w:rPr>
          <w:rFonts w:ascii="Times New Roman" w:hAnsi="Times New Roman" w:cs="Times New Roman"/>
          <w:bCs/>
          <w:i w:val="0"/>
          <w:iCs w:val="0"/>
          <w:sz w:val="32"/>
          <w:szCs w:val="32"/>
        </w:rPr>
        <w:t>第三部分 部门决算情况说明</w:t>
      </w:r>
    </w:p>
    <w:p w14:paraId="2AB4CBA9">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一、收入支出决算总体情况说明</w:t>
      </w:r>
    </w:p>
    <w:p w14:paraId="24E195E7">
      <w:pPr>
        <w:shd w:val="clear"/>
        <w:spacing w:line="600" w:lineRule="exact"/>
        <w:jc w:val="lef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二、收入决算情况说明</w:t>
      </w:r>
    </w:p>
    <w:p w14:paraId="4991366F">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三、支出决算情况说明</w:t>
      </w:r>
    </w:p>
    <w:p w14:paraId="17A197EF">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四、财政拨款收入支出决算总体情况说明</w:t>
      </w:r>
    </w:p>
    <w:p w14:paraId="35EE773B">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五、一般公共预算财政拨款支出决算情况说明</w:t>
      </w:r>
    </w:p>
    <w:p w14:paraId="7E7C2CB1">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sectPr>
          <w:footerReference r:id="rId4" w:type="default"/>
          <w:pgSz w:w="11906" w:h="16838"/>
          <w:pgMar w:top="1701" w:right="1701" w:bottom="1701" w:left="1701" w:header="851" w:footer="992" w:gutter="0"/>
          <w:pgNumType w:start="1"/>
          <w:cols w:space="425" w:num="1"/>
          <w:docGrid w:type="lines" w:linePitch="312" w:charSpace="0"/>
        </w:sectPr>
      </w:pPr>
    </w:p>
    <w:p w14:paraId="5D8B8A38">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六、一般公共预算财政拨款基本支出决算情况说明</w:t>
      </w:r>
    </w:p>
    <w:p w14:paraId="248EB81F">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七、财政拨款“三公”经费支出决算情况说明</w:t>
      </w:r>
    </w:p>
    <w:p w14:paraId="746A0D12">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八、政府性基金预算收入支出决算情况</w:t>
      </w:r>
    </w:p>
    <w:p w14:paraId="4F7E6C56">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hint="eastAsia" w:ascii="Times New Roman" w:hAnsi="Times New Roman" w:eastAsia="仿宋_GB2312" w:cs="Times New Roman"/>
          <w:i w:val="0"/>
          <w:iCs w:val="0"/>
          <w:color w:val="000000"/>
          <w:kern w:val="0"/>
          <w:sz w:val="32"/>
          <w:szCs w:val="32"/>
          <w:lang w:val="en-US" w:eastAsia="zh-CN"/>
        </w:rPr>
        <w:t>九、</w:t>
      </w:r>
      <w:r>
        <w:rPr>
          <w:rFonts w:hint="eastAsia" w:ascii="Times New Roman" w:hAnsi="Times New Roman" w:eastAsia="仿宋_GB2312" w:cs="Times New Roman"/>
          <w:i w:val="0"/>
          <w:iCs w:val="0"/>
          <w:color w:val="000000"/>
          <w:kern w:val="0"/>
          <w:sz w:val="32"/>
          <w:szCs w:val="32"/>
        </w:rPr>
        <w:t>国有资本经营预算收入支出决算情况说明</w:t>
      </w:r>
    </w:p>
    <w:p w14:paraId="446D8064">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hint="eastAsia" w:ascii="Times New Roman" w:hAnsi="Times New Roman" w:eastAsia="仿宋_GB2312" w:cs="Times New Roman"/>
          <w:i w:val="0"/>
          <w:iCs w:val="0"/>
          <w:color w:val="000000"/>
          <w:kern w:val="0"/>
          <w:sz w:val="32"/>
          <w:szCs w:val="32"/>
          <w:lang w:eastAsia="zh-CN"/>
        </w:rPr>
        <w:t>十</w:t>
      </w:r>
      <w:r>
        <w:rPr>
          <w:rFonts w:ascii="Times New Roman" w:hAnsi="Times New Roman" w:eastAsia="仿宋_GB2312" w:cs="Times New Roman"/>
          <w:i w:val="0"/>
          <w:iCs w:val="0"/>
          <w:color w:val="000000"/>
          <w:kern w:val="0"/>
          <w:sz w:val="32"/>
          <w:szCs w:val="32"/>
        </w:rPr>
        <w:t>、关于机关运行经费支出说明</w:t>
      </w:r>
    </w:p>
    <w:p w14:paraId="609A221D">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十</w:t>
      </w:r>
      <w:r>
        <w:rPr>
          <w:rFonts w:hint="eastAsia" w:ascii="Times New Roman" w:hAnsi="Times New Roman" w:eastAsia="仿宋_GB2312" w:cs="Times New Roman"/>
          <w:i w:val="0"/>
          <w:iCs w:val="0"/>
          <w:color w:val="000000"/>
          <w:kern w:val="0"/>
          <w:sz w:val="32"/>
          <w:szCs w:val="32"/>
          <w:lang w:eastAsia="zh-CN"/>
        </w:rPr>
        <w:t>一</w:t>
      </w:r>
      <w:r>
        <w:rPr>
          <w:rFonts w:ascii="Times New Roman" w:hAnsi="Times New Roman" w:eastAsia="仿宋_GB2312" w:cs="Times New Roman"/>
          <w:i w:val="0"/>
          <w:iCs w:val="0"/>
          <w:color w:val="000000"/>
          <w:kern w:val="0"/>
          <w:sz w:val="32"/>
          <w:szCs w:val="32"/>
        </w:rPr>
        <w:t>、一般性支出情况说明</w:t>
      </w:r>
    </w:p>
    <w:p w14:paraId="73CF7F93">
      <w:pPr>
        <w:shd w:val="clear"/>
        <w:autoSpaceDE w:val="0"/>
        <w:autoSpaceDN w:val="0"/>
        <w:adjustRightInd w:val="0"/>
        <w:spacing w:line="600" w:lineRule="exact"/>
        <w:jc w:val="left"/>
        <w:rPr>
          <w:rFonts w:ascii="Times New Roman" w:hAnsi="Times New Roman" w:eastAsia="仿宋_GB2312" w:cs="Times New Roman"/>
          <w:i w:val="0"/>
          <w:iCs w:val="0"/>
          <w:color w:val="000000"/>
          <w:kern w:val="0"/>
          <w:sz w:val="32"/>
          <w:szCs w:val="32"/>
        </w:rPr>
      </w:pPr>
      <w:r>
        <w:rPr>
          <w:rFonts w:ascii="Times New Roman" w:hAnsi="Times New Roman" w:eastAsia="仿宋_GB2312" w:cs="Times New Roman"/>
          <w:i w:val="0"/>
          <w:iCs w:val="0"/>
          <w:color w:val="000000"/>
          <w:kern w:val="0"/>
          <w:sz w:val="32"/>
          <w:szCs w:val="32"/>
        </w:rPr>
        <w:t>十</w:t>
      </w:r>
      <w:r>
        <w:rPr>
          <w:rFonts w:hint="eastAsia" w:ascii="Times New Roman" w:hAnsi="Times New Roman" w:eastAsia="仿宋_GB2312" w:cs="Times New Roman"/>
          <w:i w:val="0"/>
          <w:iCs w:val="0"/>
          <w:color w:val="000000"/>
          <w:kern w:val="0"/>
          <w:sz w:val="32"/>
          <w:szCs w:val="32"/>
          <w:lang w:eastAsia="zh-CN"/>
        </w:rPr>
        <w:t>二</w:t>
      </w:r>
      <w:r>
        <w:rPr>
          <w:rFonts w:ascii="Times New Roman" w:hAnsi="Times New Roman" w:eastAsia="仿宋_GB2312" w:cs="Times New Roman"/>
          <w:i w:val="0"/>
          <w:iCs w:val="0"/>
          <w:color w:val="000000"/>
          <w:kern w:val="0"/>
          <w:sz w:val="32"/>
          <w:szCs w:val="32"/>
        </w:rPr>
        <w:t>、关于政府采购支出说明</w:t>
      </w:r>
    </w:p>
    <w:p w14:paraId="044917DC">
      <w:pPr>
        <w:shd w:val="clear"/>
        <w:autoSpaceDE w:val="0"/>
        <w:autoSpaceDN w:val="0"/>
        <w:adjustRightInd w:val="0"/>
        <w:spacing w:line="600" w:lineRule="exact"/>
        <w:jc w:val="left"/>
        <w:rPr>
          <w:rFonts w:ascii="Times New Roman" w:hAnsi="Times New Roman" w:eastAsia="仿宋_GB2312" w:cs="Times New Roman"/>
          <w:i w:val="0"/>
          <w:iCs w:val="0"/>
          <w:sz w:val="32"/>
          <w:szCs w:val="32"/>
        </w:rPr>
      </w:pPr>
      <w:r>
        <w:rPr>
          <w:rFonts w:ascii="Times New Roman" w:hAnsi="Times New Roman" w:eastAsia="仿宋_GB2312" w:cs="Times New Roman"/>
          <w:i w:val="0"/>
          <w:iCs w:val="0"/>
          <w:color w:val="000000"/>
          <w:kern w:val="0"/>
          <w:sz w:val="32"/>
          <w:szCs w:val="32"/>
        </w:rPr>
        <w:t>十</w:t>
      </w:r>
      <w:r>
        <w:rPr>
          <w:rFonts w:hint="eastAsia" w:ascii="Times New Roman" w:hAnsi="Times New Roman" w:eastAsia="仿宋_GB2312" w:cs="Times New Roman"/>
          <w:i w:val="0"/>
          <w:iCs w:val="0"/>
          <w:color w:val="000000"/>
          <w:kern w:val="0"/>
          <w:sz w:val="32"/>
          <w:szCs w:val="32"/>
          <w:lang w:eastAsia="zh-CN"/>
        </w:rPr>
        <w:t>三</w:t>
      </w:r>
      <w:r>
        <w:rPr>
          <w:rFonts w:ascii="Times New Roman" w:hAnsi="Times New Roman" w:eastAsia="仿宋_GB2312" w:cs="Times New Roman"/>
          <w:i w:val="0"/>
          <w:iCs w:val="0"/>
          <w:color w:val="000000"/>
          <w:kern w:val="0"/>
          <w:sz w:val="32"/>
          <w:szCs w:val="32"/>
        </w:rPr>
        <w:t>、关于国有资产占用</w:t>
      </w:r>
      <w:r>
        <w:rPr>
          <w:rFonts w:ascii="Times New Roman" w:hAnsi="Times New Roman" w:eastAsia="仿宋_GB2312" w:cs="Times New Roman"/>
          <w:i w:val="0"/>
          <w:iCs w:val="0"/>
          <w:sz w:val="32"/>
          <w:szCs w:val="32"/>
        </w:rPr>
        <w:t>情况说明</w:t>
      </w:r>
    </w:p>
    <w:p w14:paraId="2F8F70AC">
      <w:pPr>
        <w:pStyle w:val="13"/>
        <w:shd w:val="clear"/>
        <w:spacing w:line="600" w:lineRule="exact"/>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十</w:t>
      </w:r>
      <w:r>
        <w:rPr>
          <w:rFonts w:hint="eastAsia" w:ascii="Times New Roman" w:hAnsi="Times New Roman" w:eastAsia="仿宋_GB2312" w:cs="Times New Roman"/>
          <w:i w:val="0"/>
          <w:iCs w:val="0"/>
          <w:sz w:val="32"/>
          <w:szCs w:val="32"/>
          <w:lang w:eastAsia="zh-CN"/>
        </w:rPr>
        <w:t>四</w:t>
      </w:r>
      <w:r>
        <w:rPr>
          <w:rFonts w:ascii="Times New Roman" w:hAnsi="Times New Roman" w:eastAsia="仿宋_GB2312" w:cs="Times New Roman"/>
          <w:i w:val="0"/>
          <w:iCs w:val="0"/>
          <w:sz w:val="32"/>
          <w:szCs w:val="32"/>
        </w:rPr>
        <w:t>、关于202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年度预算绩效管理情况的说明</w:t>
      </w:r>
    </w:p>
    <w:p w14:paraId="3F59592F">
      <w:pPr>
        <w:pStyle w:val="13"/>
        <w:shd w:val="clear"/>
        <w:spacing w:before="156" w:beforeLines="50" w:after="156" w:afterLines="50" w:line="600" w:lineRule="exact"/>
        <w:rPr>
          <w:rFonts w:ascii="Times New Roman" w:hAnsi="Times New Roman" w:cs="Times New Roman"/>
          <w:bCs/>
          <w:i w:val="0"/>
          <w:iCs w:val="0"/>
          <w:sz w:val="32"/>
          <w:szCs w:val="32"/>
        </w:rPr>
      </w:pPr>
      <w:r>
        <w:rPr>
          <w:rFonts w:ascii="Times New Roman" w:hAnsi="Times New Roman" w:cs="Times New Roman"/>
          <w:bCs/>
          <w:i w:val="0"/>
          <w:iCs w:val="0"/>
          <w:sz w:val="32"/>
          <w:szCs w:val="32"/>
        </w:rPr>
        <w:t>第四部分 名词解释</w:t>
      </w:r>
    </w:p>
    <w:p w14:paraId="0621B55B">
      <w:pPr>
        <w:pStyle w:val="13"/>
        <w:shd w:val="clear"/>
        <w:spacing w:before="156" w:beforeLines="50" w:after="156" w:afterLines="50" w:line="600" w:lineRule="exact"/>
        <w:rPr>
          <w:rFonts w:ascii="Times New Roman" w:hAnsi="Times New Roman" w:cs="Times New Roman"/>
          <w:bCs/>
          <w:i w:val="0"/>
          <w:iCs w:val="0"/>
          <w:sz w:val="32"/>
          <w:szCs w:val="32"/>
        </w:rPr>
      </w:pPr>
      <w:r>
        <w:rPr>
          <w:rFonts w:ascii="Times New Roman" w:hAnsi="Times New Roman" w:cs="Times New Roman"/>
          <w:bCs/>
          <w:i w:val="0"/>
          <w:iCs w:val="0"/>
          <w:sz w:val="32"/>
          <w:szCs w:val="32"/>
        </w:rPr>
        <w:t>第五部分 附件</w:t>
      </w:r>
    </w:p>
    <w:p w14:paraId="5FAEEA48">
      <w:pPr>
        <w:pStyle w:val="13"/>
        <w:shd w:val="clear"/>
        <w:spacing w:line="600" w:lineRule="exact"/>
        <w:rPr>
          <w:rFonts w:ascii="Times New Roman" w:hAnsi="Times New Roman" w:cs="Times New Roman"/>
          <w:bCs/>
          <w:i w:val="0"/>
          <w:iCs w:val="0"/>
          <w:sz w:val="28"/>
          <w:szCs w:val="28"/>
        </w:rPr>
      </w:pPr>
    </w:p>
    <w:p w14:paraId="3E044FF8">
      <w:pPr>
        <w:shd w:val="clear"/>
        <w:jc w:val="center"/>
        <w:rPr>
          <w:rFonts w:ascii="Times New Roman" w:hAnsi="Times New Roman" w:cs="Times New Roman"/>
          <w:i w:val="0"/>
          <w:iCs w:val="0"/>
          <w:sz w:val="72"/>
          <w:szCs w:val="72"/>
        </w:rPr>
      </w:pPr>
    </w:p>
    <w:p w14:paraId="3204986E">
      <w:pPr>
        <w:shd w:val="clear"/>
        <w:jc w:val="center"/>
        <w:rPr>
          <w:rFonts w:ascii="Times New Roman" w:hAnsi="Times New Roman" w:cs="Times New Roman"/>
          <w:i w:val="0"/>
          <w:iCs w:val="0"/>
          <w:sz w:val="72"/>
          <w:szCs w:val="72"/>
        </w:rPr>
      </w:pPr>
    </w:p>
    <w:p w14:paraId="7C57C2AB">
      <w:pPr>
        <w:shd w:val="clear"/>
        <w:jc w:val="center"/>
        <w:rPr>
          <w:rFonts w:ascii="Times New Roman" w:hAnsi="Times New Roman" w:cs="Times New Roman"/>
          <w:i w:val="0"/>
          <w:iCs w:val="0"/>
          <w:sz w:val="72"/>
          <w:szCs w:val="72"/>
        </w:rPr>
      </w:pPr>
    </w:p>
    <w:p w14:paraId="2081E3D1">
      <w:pPr>
        <w:pStyle w:val="7"/>
        <w:shd w:val="clear"/>
        <w:rPr>
          <w:rFonts w:ascii="Times New Roman" w:hAnsi="Times New Roman" w:cs="Times New Roman"/>
          <w:i w:val="0"/>
          <w:iCs w:val="0"/>
        </w:rPr>
        <w:sectPr>
          <w:footerReference r:id="rId5" w:type="default"/>
          <w:pgSz w:w="11906" w:h="16838"/>
          <w:pgMar w:top="1701" w:right="1701" w:bottom="1701" w:left="1701" w:header="851" w:footer="992" w:gutter="0"/>
          <w:pgNumType w:start="1"/>
          <w:cols w:space="425" w:num="1"/>
          <w:docGrid w:type="lines" w:linePitch="312" w:charSpace="0"/>
        </w:sectPr>
      </w:pPr>
    </w:p>
    <w:p w14:paraId="45471376">
      <w:pPr>
        <w:pStyle w:val="13"/>
        <w:shd w:val="clear"/>
        <w:spacing w:line="360" w:lineRule="auto"/>
        <w:jc w:val="center"/>
        <w:rPr>
          <w:rFonts w:ascii="Times New Roman" w:hAnsi="Times New Roman" w:eastAsia="方正小标宋_GBK" w:cs="Times New Roman"/>
          <w:i w:val="0"/>
          <w:iCs w:val="0"/>
          <w:sz w:val="52"/>
          <w:szCs w:val="52"/>
        </w:rPr>
      </w:pPr>
      <w:r>
        <w:rPr>
          <w:rFonts w:ascii="Times New Roman" w:hAnsi="Times New Roman" w:eastAsia="方正小标宋_GBK" w:cs="Times New Roman"/>
          <w:i w:val="0"/>
          <w:iCs w:val="0"/>
          <w:sz w:val="52"/>
          <w:szCs w:val="52"/>
        </w:rPr>
        <w:t>第一部分</w:t>
      </w:r>
    </w:p>
    <w:p w14:paraId="0EA5C380">
      <w:pPr>
        <w:pStyle w:val="13"/>
        <w:shd w:val="clear"/>
        <w:spacing w:line="360" w:lineRule="auto"/>
        <w:jc w:val="center"/>
        <w:rPr>
          <w:rFonts w:ascii="Times New Roman" w:hAnsi="Times New Roman" w:eastAsia="方正小标宋_GBK" w:cs="Times New Roman"/>
          <w:i w:val="0"/>
          <w:iCs w:val="0"/>
          <w:sz w:val="52"/>
          <w:szCs w:val="52"/>
        </w:rPr>
      </w:pPr>
      <w:r>
        <w:rPr>
          <w:rFonts w:hint="eastAsia" w:ascii="Times New Roman" w:hAnsi="Times New Roman" w:eastAsia="方正小标宋_GBK" w:cs="Times New Roman"/>
          <w:i w:val="0"/>
          <w:iCs w:val="0"/>
          <w:sz w:val="52"/>
          <w:szCs w:val="52"/>
          <w:lang w:eastAsia="zh-CN"/>
        </w:rPr>
        <w:t>怀化市医疗保障局</w:t>
      </w:r>
      <w:r>
        <w:rPr>
          <w:rFonts w:ascii="Times New Roman" w:hAnsi="Times New Roman" w:eastAsia="方正小标宋_GBK" w:cs="Times New Roman"/>
          <w:i w:val="0"/>
          <w:iCs w:val="0"/>
          <w:sz w:val="52"/>
          <w:szCs w:val="52"/>
        </w:rPr>
        <w:t>概况</w:t>
      </w:r>
    </w:p>
    <w:p w14:paraId="110AFC82">
      <w:pPr>
        <w:pStyle w:val="3"/>
        <w:shd w:val="clear"/>
        <w:ind w:left="0" w:leftChars="0" w:firstLine="0" w:firstLineChars="0"/>
        <w:rPr>
          <w:rFonts w:ascii="Times New Roman" w:hAnsi="Times New Roman" w:cs="Times New Roman"/>
          <w:i w:val="0"/>
          <w:iCs w:val="0"/>
        </w:rPr>
      </w:pPr>
    </w:p>
    <w:p w14:paraId="3065EC26">
      <w:pPr>
        <w:pStyle w:val="14"/>
        <w:keepNext w:val="0"/>
        <w:keepLines w:val="0"/>
        <w:pageBreakBefore w:val="0"/>
        <w:widowControl w:val="0"/>
        <w:shd w:val="clear"/>
        <w:kinsoku/>
        <w:wordWrap/>
        <w:overflowPunct/>
        <w:topLinePunct w:val="0"/>
        <w:autoSpaceDE/>
        <w:autoSpaceDN/>
        <w:bidi w:val="0"/>
        <w:adjustRightInd/>
        <w:snapToGrid/>
        <w:spacing w:line="620" w:lineRule="exact"/>
        <w:ind w:firstLine="640" w:firstLineChars="200"/>
        <w:jc w:val="both"/>
        <w:textAlignment w:val="auto"/>
        <w:rPr>
          <w:rFonts w:ascii="Times New Roman" w:hAnsi="Times New Roman" w:eastAsia="黑体" w:cs="Times New Roman"/>
          <w:i w:val="0"/>
          <w:iCs w:val="0"/>
          <w:sz w:val="32"/>
          <w:szCs w:val="32"/>
        </w:rPr>
      </w:pPr>
      <w:r>
        <w:rPr>
          <w:rFonts w:hint="eastAsia" w:ascii="Times New Roman" w:hAnsi="Times New Roman" w:eastAsia="黑体" w:cs="Times New Roman"/>
          <w:i w:val="0"/>
          <w:iCs w:val="0"/>
          <w:sz w:val="32"/>
          <w:szCs w:val="32"/>
        </w:rPr>
        <w:t>一、</w:t>
      </w:r>
      <w:r>
        <w:rPr>
          <w:rFonts w:ascii="Times New Roman" w:hAnsi="Times New Roman" w:eastAsia="黑体" w:cs="Times New Roman"/>
          <w:i w:val="0"/>
          <w:iCs w:val="0"/>
          <w:sz w:val="32"/>
          <w:szCs w:val="32"/>
        </w:rPr>
        <w:t>部门职责</w:t>
      </w:r>
    </w:p>
    <w:p w14:paraId="69F03BB7">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ascii="Times New Roman" w:hAnsi="Times New Roman" w:eastAsia="仿宋_GB2312" w:cs="Calibri"/>
          <w:i w:val="0"/>
          <w:iCs w:val="0"/>
          <w:sz w:val="32"/>
          <w:szCs w:val="32"/>
        </w:rPr>
      </w:pPr>
      <w:r>
        <w:rPr>
          <w:rFonts w:ascii="Times New Roman" w:hAnsi="Times New Roman" w:eastAsia="仿宋_GB2312" w:cs="仿宋"/>
          <w:i w:val="0"/>
          <w:iCs w:val="0"/>
          <w:sz w:val="32"/>
          <w:szCs w:val="32"/>
        </w:rPr>
        <w:t>怀化市医疗保障局贯彻落实党中央关于医疗保障工作的方针政策和决策部署，全面落实省委、市委关于医疗保障工作的部署要求，在履行职责过程中坚持和加强党对医疗保障工作的集中统一领导。主要职责是：</w:t>
      </w:r>
    </w:p>
    <w:p w14:paraId="404AED9D">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Times New Roman" w:hAnsi="Times New Roman" w:eastAsia="仿宋_GB2312" w:cs="Calibri"/>
          <w:i w:val="0"/>
          <w:iCs w:val="0"/>
          <w:sz w:val="32"/>
          <w:szCs w:val="32"/>
        </w:rPr>
      </w:pPr>
      <w:r>
        <w:rPr>
          <w:rFonts w:hint="eastAsia" w:ascii="Times New Roman" w:hAnsi="Times New Roman" w:eastAsia="仿宋_GB2312" w:cs="仿宋"/>
          <w:i w:val="0"/>
          <w:iCs w:val="0"/>
          <w:sz w:val="32"/>
          <w:szCs w:val="32"/>
        </w:rPr>
        <w:t>（一）拟订全市医疗保险、生育保险、医疗救助等医疗保障制度的规范性文件、规划和标准，并组织实施。</w:t>
      </w:r>
    </w:p>
    <w:p w14:paraId="1701D6BE">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Times New Roman" w:hAnsi="Times New Roman" w:eastAsia="仿宋_GB2312" w:cs="Calibri"/>
          <w:i w:val="0"/>
          <w:iCs w:val="0"/>
          <w:sz w:val="32"/>
          <w:szCs w:val="32"/>
        </w:rPr>
      </w:pPr>
      <w:r>
        <w:rPr>
          <w:rFonts w:hint="eastAsia" w:ascii="Times New Roman" w:hAnsi="Times New Roman" w:eastAsia="仿宋_GB2312" w:cs="仿宋"/>
          <w:i w:val="0"/>
          <w:iCs w:val="0"/>
          <w:sz w:val="32"/>
          <w:szCs w:val="32"/>
        </w:rPr>
        <w:t>（二）组织制定并实施全市医疗保障基金监督管理办法，监督管理相关医疗保障基金，建立健全医疗保障基金安全防控机制，推进医疗保障基金支付方式改革。</w:t>
      </w:r>
    </w:p>
    <w:p w14:paraId="6A72AE1D">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Times New Roman" w:hAnsi="Times New Roman" w:eastAsia="仿宋_GB2312" w:cs="Calibri"/>
          <w:i w:val="0"/>
          <w:iCs w:val="0"/>
          <w:sz w:val="32"/>
          <w:szCs w:val="32"/>
        </w:rPr>
      </w:pPr>
      <w:r>
        <w:rPr>
          <w:rFonts w:hint="eastAsia" w:ascii="Times New Roman" w:hAnsi="Times New Roman" w:eastAsia="仿宋_GB2312" w:cs="仿宋"/>
          <w:i w:val="0"/>
          <w:iCs w:val="0"/>
          <w:sz w:val="32"/>
          <w:szCs w:val="32"/>
        </w:rPr>
        <w:t>（三）组织制定全市医疗保障筹资和待遇实施办法，完善动态调整和区域调剂平衡机制，统筹城乡医疗保障待遇标准，建立健全与筹资水平相适应的待遇调整机制，组织拟订并实施长期护理保险制度改革方案。</w:t>
      </w:r>
    </w:p>
    <w:p w14:paraId="00E62900">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Times New Roman" w:hAnsi="Times New Roman" w:eastAsia="仿宋_GB2312" w:cs="Calibri"/>
          <w:i w:val="0"/>
          <w:iCs w:val="0"/>
          <w:sz w:val="32"/>
          <w:szCs w:val="32"/>
        </w:rPr>
      </w:pPr>
      <w:r>
        <w:rPr>
          <w:rFonts w:hint="eastAsia" w:ascii="Times New Roman" w:hAnsi="Times New Roman" w:eastAsia="仿宋_GB2312" w:cs="仿宋"/>
          <w:i w:val="0"/>
          <w:iCs w:val="0"/>
          <w:sz w:val="32"/>
          <w:szCs w:val="32"/>
        </w:rPr>
        <w:t>（四）组织制定全市城乡统一的药品、医用耗材、医疗服务项目、医疗服务设施等医保目录和支付标准，建立动态调整机制，制定医保目录准入谈判规则并</w:t>
      </w:r>
      <w:bookmarkStart w:id="3" w:name="_GoBack"/>
      <w:bookmarkEnd w:id="3"/>
      <w:r>
        <w:rPr>
          <w:rFonts w:hint="eastAsia" w:ascii="Times New Roman" w:hAnsi="Times New Roman" w:eastAsia="仿宋_GB2312" w:cs="仿宋"/>
          <w:i w:val="0"/>
          <w:iCs w:val="0"/>
          <w:sz w:val="32"/>
          <w:szCs w:val="32"/>
        </w:rPr>
        <w:t>组织实施。</w:t>
      </w:r>
    </w:p>
    <w:p w14:paraId="6FCFDC0D">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Times New Roman" w:hAnsi="Times New Roman" w:eastAsia="仿宋_GB2312" w:cs="Calibri"/>
          <w:i w:val="0"/>
          <w:iCs w:val="0"/>
          <w:sz w:val="32"/>
          <w:szCs w:val="32"/>
        </w:rPr>
      </w:pPr>
      <w:r>
        <w:rPr>
          <w:rFonts w:hint="eastAsia" w:ascii="Times New Roman" w:hAnsi="Times New Roman" w:eastAsia="仿宋_GB2312" w:cs="仿宋"/>
          <w:i w:val="0"/>
          <w:iCs w:val="0"/>
          <w:sz w:val="32"/>
          <w:szCs w:val="32"/>
        </w:rPr>
        <w:t>（五）组织制定全市药品、医用耗材价格和医疗服务项目、医疗服务设施收费等实施办法，建立医保支付医药服务价格合理确定和动态调整机制，推动建立市场主导的社会医药服务价格形成机制，建立价格信息监测和信息发布制度。</w:t>
      </w:r>
    </w:p>
    <w:p w14:paraId="64C3648F">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Times New Roman" w:hAnsi="Times New Roman" w:eastAsia="仿宋_GB2312" w:cs="Calibri"/>
          <w:i w:val="0"/>
          <w:iCs w:val="0"/>
          <w:sz w:val="32"/>
          <w:szCs w:val="32"/>
        </w:rPr>
      </w:pPr>
      <w:r>
        <w:rPr>
          <w:rFonts w:hint="eastAsia" w:ascii="Times New Roman" w:hAnsi="Times New Roman" w:eastAsia="仿宋_GB2312" w:cs="仿宋"/>
          <w:i w:val="0"/>
          <w:iCs w:val="0"/>
          <w:sz w:val="32"/>
          <w:szCs w:val="32"/>
        </w:rPr>
        <w:t>（六）制定全市药品、医用耗材的招标采购办法并监督实施，指导药品、医用耗材招标采购平台建设。</w:t>
      </w:r>
    </w:p>
    <w:p w14:paraId="35F70960">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Times New Roman" w:hAnsi="Times New Roman" w:eastAsia="仿宋_GB2312" w:cs="Calibri"/>
          <w:i w:val="0"/>
          <w:iCs w:val="0"/>
          <w:sz w:val="32"/>
          <w:szCs w:val="32"/>
        </w:rPr>
      </w:pPr>
      <w:r>
        <w:rPr>
          <w:rFonts w:hint="eastAsia" w:ascii="Times New Roman" w:hAnsi="Times New Roman" w:eastAsia="仿宋_GB2312" w:cs="仿宋"/>
          <w:i w:val="0"/>
          <w:iCs w:val="0"/>
          <w:sz w:val="32"/>
          <w:szCs w:val="32"/>
        </w:rPr>
        <w:t>（七）制定全市定点医药机构协议和支付管理办法并组织实施，建立健全医疗保障信用评价体系和信息披露制度，监督管理纳入医保范围内的医疗服务行为和医疗费用，依法查处医疗保障领域违法违规行为。</w:t>
      </w:r>
    </w:p>
    <w:p w14:paraId="1D84204E">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Times New Roman" w:hAnsi="Times New Roman" w:eastAsia="仿宋_GB2312" w:cs="Calibri"/>
          <w:i w:val="0"/>
          <w:iCs w:val="0"/>
          <w:sz w:val="32"/>
          <w:szCs w:val="32"/>
        </w:rPr>
      </w:pPr>
      <w:r>
        <w:rPr>
          <w:rFonts w:hint="eastAsia" w:ascii="Times New Roman" w:hAnsi="Times New Roman" w:eastAsia="仿宋_GB2312" w:cs="仿宋"/>
          <w:i w:val="0"/>
          <w:iCs w:val="0"/>
          <w:sz w:val="32"/>
          <w:szCs w:val="32"/>
        </w:rPr>
        <w:t>（八）负责全市医疗保障经办管理、公共服务体系和信息化建设。指导、监督全市医疗保险、大病保险(含职工大病互助)、生育保险、医疗救助等医疗保障经办业务工作。组织制定和完善异地就医管理和费用结算办法。建立健全医疗保障关系转移接续制度。开展医疗保障领域国内外合作交流。</w:t>
      </w:r>
    </w:p>
    <w:p w14:paraId="5F9AF002">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Times New Roman" w:hAnsi="Times New Roman" w:eastAsia="仿宋_GB2312" w:cs="Calibri"/>
          <w:i w:val="0"/>
          <w:iCs w:val="0"/>
          <w:sz w:val="32"/>
          <w:szCs w:val="32"/>
        </w:rPr>
      </w:pPr>
      <w:r>
        <w:rPr>
          <w:rFonts w:hint="eastAsia" w:ascii="Times New Roman" w:hAnsi="Times New Roman" w:eastAsia="仿宋_GB2312" w:cs="仿宋"/>
          <w:i w:val="0"/>
          <w:iCs w:val="0"/>
          <w:sz w:val="32"/>
          <w:szCs w:val="32"/>
        </w:rPr>
        <w:t>（九）职能转变。市医保局</w:t>
      </w:r>
      <w:r>
        <w:rPr>
          <w:rFonts w:hint="eastAsia" w:ascii="Times New Roman" w:hAnsi="Times New Roman" w:eastAsia="仿宋_GB2312" w:cs="仿宋"/>
          <w:i w:val="0"/>
          <w:iCs w:val="0"/>
          <w:sz w:val="32"/>
          <w:szCs w:val="32"/>
          <w:lang w:eastAsia="zh-CN"/>
        </w:rPr>
        <w:t>已统</w:t>
      </w:r>
      <w:r>
        <w:rPr>
          <w:rFonts w:hint="eastAsia" w:ascii="Times New Roman" w:hAnsi="Times New Roman" w:eastAsia="仿宋_GB2312" w:cs="仿宋"/>
          <w:i w:val="0"/>
          <w:iCs w:val="0"/>
          <w:sz w:val="32"/>
          <w:szCs w:val="32"/>
        </w:rPr>
        <w:t>一城乡居民基本医疗保险制度和大病保险制度</w:t>
      </w:r>
      <w:r>
        <w:rPr>
          <w:rFonts w:hint="eastAsia" w:ascii="Times New Roman" w:hAnsi="Times New Roman" w:eastAsia="仿宋_GB2312" w:cs="仿宋"/>
          <w:i w:val="0"/>
          <w:iCs w:val="0"/>
          <w:sz w:val="32"/>
          <w:szCs w:val="32"/>
          <w:lang w:eastAsia="zh-CN"/>
        </w:rPr>
        <w:t>、</w:t>
      </w:r>
      <w:r>
        <w:rPr>
          <w:rFonts w:hint="eastAsia" w:ascii="Times New Roman" w:hAnsi="Times New Roman" w:eastAsia="仿宋_GB2312" w:cs="仿宋"/>
          <w:i w:val="0"/>
          <w:iCs w:val="0"/>
          <w:sz w:val="32"/>
          <w:szCs w:val="32"/>
        </w:rPr>
        <w:t>完善</w:t>
      </w:r>
      <w:r>
        <w:rPr>
          <w:rFonts w:hint="eastAsia" w:ascii="Times New Roman" w:hAnsi="Times New Roman" w:eastAsia="仿宋_GB2312" w:cs="仿宋"/>
          <w:i w:val="0"/>
          <w:iCs w:val="0"/>
          <w:sz w:val="32"/>
          <w:szCs w:val="32"/>
          <w:lang w:eastAsia="zh-CN"/>
        </w:rPr>
        <w:t>了</w:t>
      </w:r>
      <w:r>
        <w:rPr>
          <w:rFonts w:hint="eastAsia" w:ascii="Times New Roman" w:hAnsi="Times New Roman" w:eastAsia="仿宋_GB2312" w:cs="仿宋"/>
          <w:i w:val="0"/>
          <w:iCs w:val="0"/>
          <w:sz w:val="32"/>
          <w:szCs w:val="32"/>
        </w:rPr>
        <w:t>城乡居民医疗救助制度，</w:t>
      </w:r>
      <w:r>
        <w:rPr>
          <w:rFonts w:hint="eastAsia" w:ascii="Times New Roman" w:hAnsi="Times New Roman" w:eastAsia="仿宋_GB2312" w:cs="仿宋"/>
          <w:i w:val="0"/>
          <w:iCs w:val="0"/>
          <w:sz w:val="32"/>
          <w:szCs w:val="32"/>
          <w:lang w:eastAsia="zh-CN"/>
        </w:rPr>
        <w:t>已</w:t>
      </w:r>
      <w:r>
        <w:rPr>
          <w:rFonts w:hint="eastAsia" w:ascii="Times New Roman" w:hAnsi="Times New Roman" w:eastAsia="仿宋_GB2312" w:cs="仿宋"/>
          <w:i w:val="0"/>
          <w:iCs w:val="0"/>
          <w:sz w:val="32"/>
          <w:szCs w:val="32"/>
        </w:rPr>
        <w:t>建立健全覆盖全民、城乡统筹的多层次医疗保障体系，不断提高医疗保障水平，确保医保资金合理使用、安全可控，推进医疗、医保、医药“三医联动”改革，更好保障人民群众就医需求、减轻医药费用负担。</w:t>
      </w:r>
    </w:p>
    <w:p w14:paraId="1BE830F9">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Times New Roman" w:hAnsi="Times New Roman" w:eastAsia="仿宋_GB2312" w:cs="Calibri"/>
          <w:i w:val="0"/>
          <w:iCs w:val="0"/>
          <w:sz w:val="32"/>
          <w:szCs w:val="32"/>
        </w:rPr>
      </w:pPr>
      <w:r>
        <w:rPr>
          <w:rFonts w:hint="eastAsia" w:ascii="Times New Roman" w:hAnsi="Times New Roman" w:eastAsia="仿宋_GB2312" w:cs="仿宋"/>
          <w:i w:val="0"/>
          <w:iCs w:val="0"/>
          <w:sz w:val="32"/>
          <w:szCs w:val="32"/>
        </w:rPr>
        <w:t>（十）与市卫生健康委等部门在医疗、医保、医药等方面加强制度、政策衔接，建立沟通协商机制，协同推进改革，提高医疗资源使用效率和医疗保障水平。</w:t>
      </w:r>
    </w:p>
    <w:p w14:paraId="516B9965">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ascii="Times New Roman" w:hAnsi="Times New Roman" w:eastAsia="仿宋_GB2312" w:cs="Times New Roman"/>
          <w:i w:val="0"/>
          <w:iCs w:val="0"/>
          <w:sz w:val="32"/>
          <w:szCs w:val="32"/>
        </w:rPr>
      </w:pPr>
      <w:r>
        <w:rPr>
          <w:rFonts w:hint="eastAsia" w:ascii="Times New Roman" w:hAnsi="Times New Roman" w:eastAsia="仿宋_GB2312" w:cs="仿宋"/>
          <w:i w:val="0"/>
          <w:iCs w:val="0"/>
          <w:sz w:val="32"/>
          <w:szCs w:val="32"/>
        </w:rPr>
        <w:t>（十一）完成市委、市政府交办的其他任务。</w:t>
      </w:r>
    </w:p>
    <w:p w14:paraId="6BC6C269">
      <w:pPr>
        <w:keepNext w:val="0"/>
        <w:keepLines w:val="0"/>
        <w:pageBreakBefore w:val="0"/>
        <w:widowControl w:val="0"/>
        <w:shd w:val="clear"/>
        <w:kinsoku/>
        <w:wordWrap/>
        <w:overflowPunct/>
        <w:topLinePunct w:val="0"/>
        <w:autoSpaceDE/>
        <w:autoSpaceDN/>
        <w:bidi w:val="0"/>
        <w:adjustRightInd/>
        <w:snapToGrid/>
        <w:spacing w:line="620" w:lineRule="exact"/>
        <w:ind w:firstLine="640" w:firstLineChars="200"/>
        <w:jc w:val="both"/>
        <w:textAlignment w:val="auto"/>
        <w:rPr>
          <w:rFonts w:ascii="Times New Roman" w:hAnsi="Times New Roman" w:eastAsia="黑体" w:cs="Times New Roman"/>
          <w:bCs/>
          <w:i w:val="0"/>
          <w:iCs w:val="0"/>
          <w:kern w:val="0"/>
          <w:sz w:val="32"/>
          <w:szCs w:val="32"/>
        </w:rPr>
      </w:pPr>
      <w:r>
        <w:rPr>
          <w:rFonts w:ascii="Times New Roman" w:hAnsi="Times New Roman" w:eastAsia="黑体" w:cs="Times New Roman"/>
          <w:bCs/>
          <w:i w:val="0"/>
          <w:iCs w:val="0"/>
          <w:kern w:val="0"/>
          <w:sz w:val="32"/>
          <w:szCs w:val="32"/>
        </w:rPr>
        <w:t>二、机构设置及决算单位构成</w:t>
      </w:r>
    </w:p>
    <w:p w14:paraId="71BBA16C">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ascii="Times New Roman" w:hAnsi="Times New Roman" w:eastAsia="仿宋_GB2312" w:cs="Calibri"/>
          <w:i w:val="0"/>
          <w:iCs w:val="0"/>
          <w:sz w:val="32"/>
          <w:szCs w:val="32"/>
        </w:rPr>
      </w:pPr>
      <w:r>
        <w:rPr>
          <w:rFonts w:ascii="Times New Roman" w:hAnsi="Times New Roman" w:eastAsia="仿宋_GB2312" w:cs="Times New Roman"/>
          <w:bCs/>
          <w:i w:val="0"/>
          <w:iCs w:val="0"/>
          <w:kern w:val="0"/>
          <w:sz w:val="32"/>
          <w:szCs w:val="32"/>
        </w:rPr>
        <w:t>（一）内设机构设置。</w:t>
      </w:r>
      <w:r>
        <w:rPr>
          <w:rFonts w:hint="eastAsia" w:ascii="Times New Roman" w:hAnsi="Times New Roman" w:eastAsia="仿宋_GB2312" w:cs="仿宋"/>
          <w:i w:val="0"/>
          <w:iCs w:val="0"/>
          <w:sz w:val="32"/>
          <w:szCs w:val="32"/>
        </w:rPr>
        <w:t>怀化市医疗保障局作为一级部门预算单位，内设科室为：办公室、规划财务和法规科、待遇保障科、医药服务和定价采购科、基金监管科，基金核查和结算中心（医疗保障局设立的非独立核算正科级事业单位）。怀化市医疗保障事务中心作为二级部门预算单位，内设科室为：综合部、财务审核部、待遇保障服务部、异地结算和稽核事务部、医药招采事务部、协议管理和价格监测部。</w:t>
      </w:r>
    </w:p>
    <w:p w14:paraId="7309954D">
      <w:pPr>
        <w:pStyle w:val="8"/>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ascii="Times New Roman" w:hAnsi="Times New Roman" w:eastAsia="仿宋_GB2312" w:cs="Times New Roman"/>
          <w:i w:val="0"/>
          <w:iCs w:val="0"/>
          <w:sz w:val="28"/>
          <w:szCs w:val="32"/>
        </w:rPr>
      </w:pPr>
      <w:r>
        <w:rPr>
          <w:rFonts w:ascii="Times New Roman" w:hAnsi="Times New Roman" w:eastAsia="仿宋_GB2312" w:cs="Times New Roman"/>
          <w:bCs/>
          <w:i w:val="0"/>
          <w:iCs w:val="0"/>
          <w:kern w:val="0"/>
          <w:sz w:val="32"/>
          <w:szCs w:val="32"/>
        </w:rPr>
        <w:t>（二）决算单位构成。</w:t>
      </w:r>
      <w:r>
        <w:rPr>
          <w:rFonts w:hint="eastAsia" w:ascii="Times New Roman" w:hAnsi="Times New Roman" w:eastAsia="仿宋_GB2312" w:cs="仿宋"/>
          <w:i w:val="0"/>
          <w:iCs w:val="0"/>
          <w:sz w:val="32"/>
          <w:szCs w:val="32"/>
        </w:rPr>
        <w:t>本报告中纳入202</w:t>
      </w:r>
      <w:r>
        <w:rPr>
          <w:rFonts w:hint="eastAsia" w:ascii="Times New Roman" w:hAnsi="Times New Roman" w:eastAsia="仿宋_GB2312" w:cs="仿宋"/>
          <w:i w:val="0"/>
          <w:iCs w:val="0"/>
          <w:sz w:val="32"/>
          <w:szCs w:val="32"/>
          <w:lang w:val="en-US" w:eastAsia="zh-CN"/>
        </w:rPr>
        <w:t>5</w:t>
      </w:r>
      <w:r>
        <w:rPr>
          <w:rFonts w:hint="eastAsia" w:ascii="Times New Roman" w:hAnsi="Times New Roman" w:eastAsia="仿宋_GB2312" w:cs="仿宋"/>
          <w:i w:val="0"/>
          <w:iCs w:val="0"/>
          <w:sz w:val="32"/>
          <w:szCs w:val="32"/>
        </w:rPr>
        <w:t>年部门决算编制范围的只有怀化市医疗保障局本级。</w:t>
      </w:r>
    </w:p>
    <w:p w14:paraId="60111F81">
      <w:pPr>
        <w:shd w:val="clear"/>
        <w:jc w:val="center"/>
        <w:rPr>
          <w:rFonts w:ascii="Times New Roman" w:hAnsi="Times New Roman" w:eastAsia="黑体" w:cs="Times New Roman"/>
          <w:i w:val="0"/>
          <w:iCs w:val="0"/>
          <w:sz w:val="28"/>
          <w:szCs w:val="28"/>
        </w:rPr>
      </w:pPr>
    </w:p>
    <w:p w14:paraId="72277204">
      <w:pPr>
        <w:pStyle w:val="7"/>
        <w:shd w:val="clear"/>
        <w:rPr>
          <w:rFonts w:ascii="Times New Roman" w:hAnsi="Times New Roman" w:cs="Times New Roman"/>
          <w:i w:val="0"/>
          <w:iCs w:val="0"/>
        </w:rPr>
        <w:sectPr>
          <w:footerReference r:id="rId6" w:type="default"/>
          <w:pgSz w:w="11906" w:h="16838"/>
          <w:pgMar w:top="1701" w:right="1701" w:bottom="1701" w:left="1701" w:header="851" w:footer="992" w:gutter="0"/>
          <w:pgNumType w:start="1"/>
          <w:cols w:space="425" w:num="1"/>
          <w:docGrid w:type="lines" w:linePitch="312" w:charSpace="0"/>
        </w:sectPr>
      </w:pPr>
    </w:p>
    <w:p w14:paraId="6D1CFE0C">
      <w:pPr>
        <w:pStyle w:val="13"/>
        <w:keepNext w:val="0"/>
        <w:keepLines w:val="0"/>
        <w:pageBreakBefore w:val="0"/>
        <w:widowControl w:val="0"/>
        <w:shd w:val="clear"/>
        <w:kinsoku/>
        <w:wordWrap/>
        <w:overflowPunct/>
        <w:topLinePunct w:val="0"/>
        <w:autoSpaceDE w:val="0"/>
        <w:autoSpaceDN w:val="0"/>
        <w:bidi w:val="0"/>
        <w:adjustRightInd w:val="0"/>
        <w:snapToGrid/>
        <w:spacing w:line="600" w:lineRule="exact"/>
        <w:jc w:val="center"/>
        <w:textAlignment w:val="auto"/>
        <w:rPr>
          <w:rFonts w:ascii="Times New Roman" w:hAnsi="Times New Roman" w:eastAsia="方正小标宋_GBK" w:cs="Times New Roman"/>
          <w:i w:val="0"/>
          <w:iCs w:val="0"/>
          <w:sz w:val="52"/>
          <w:szCs w:val="52"/>
        </w:rPr>
      </w:pPr>
      <w:r>
        <w:rPr>
          <w:rFonts w:ascii="Times New Roman" w:hAnsi="Times New Roman" w:eastAsia="方正小标宋_GBK" w:cs="Times New Roman"/>
          <w:i w:val="0"/>
          <w:iCs w:val="0"/>
          <w:sz w:val="52"/>
          <w:szCs w:val="52"/>
        </w:rPr>
        <w:t>第二部分    部门决算表</w:t>
      </w:r>
    </w:p>
    <w:p w14:paraId="708461FE">
      <w:pPr>
        <w:keepNext w:val="0"/>
        <w:keepLines w:val="0"/>
        <w:pageBreakBefore w:val="0"/>
        <w:widowControl/>
        <w:shd w:val="clear"/>
        <w:kinsoku/>
        <w:wordWrap/>
        <w:overflowPunct/>
        <w:topLinePunct w:val="0"/>
        <w:autoSpaceDE/>
        <w:autoSpaceDN/>
        <w:bidi w:val="0"/>
        <w:adjustRightInd/>
        <w:snapToGrid/>
        <w:spacing w:line="600" w:lineRule="exact"/>
        <w:jc w:val="center"/>
        <w:textAlignment w:val="center"/>
        <w:rPr>
          <w:rFonts w:ascii="Times New Roman" w:hAnsi="Times New Roman" w:eastAsia="黑体" w:cs="Times New Roman"/>
          <w:i w:val="0"/>
          <w:iCs w:val="0"/>
          <w:color w:val="000000"/>
          <w:sz w:val="36"/>
          <w:szCs w:val="36"/>
        </w:rPr>
      </w:pPr>
      <w:r>
        <w:rPr>
          <w:rFonts w:hint="eastAsia" w:ascii="Times New Roman" w:hAnsi="Times New Roman" w:eastAsia="黑体" w:cs="Times New Roman"/>
          <w:i w:val="0"/>
          <w:iCs w:val="0"/>
          <w:color w:val="000000"/>
          <w:kern w:val="0"/>
          <w:sz w:val="36"/>
          <w:szCs w:val="36"/>
          <w:lang w:bidi="ar"/>
        </w:rPr>
        <w:t>收入支出决算批复表</w:t>
      </w:r>
    </w:p>
    <w:p w14:paraId="42CA941C">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i w:val="0"/>
          <w:iCs w:val="0"/>
          <w:color w:val="000000"/>
          <w:sz w:val="20"/>
          <w:szCs w:val="20"/>
        </w:rPr>
      </w:pPr>
      <w:r>
        <w:rPr>
          <w:rFonts w:hint="eastAsia" w:ascii="Times New Roman" w:hAnsi="Times New Roman" w:eastAsia="仿宋_GB2312" w:cs="Times New Roman"/>
          <w:i w:val="0"/>
          <w:iCs w:val="0"/>
          <w:color w:val="000000"/>
          <w:kern w:val="0"/>
          <w:sz w:val="20"/>
          <w:szCs w:val="20"/>
          <w:lang w:val="en-US" w:eastAsia="zh-CN" w:bidi="ar"/>
        </w:rPr>
        <w:t xml:space="preserve">                                                                              </w:t>
      </w:r>
      <w:r>
        <w:rPr>
          <w:rFonts w:hint="eastAsia" w:ascii="Times New Roman" w:hAnsi="Times New Roman" w:eastAsia="仿宋_GB2312" w:cs="Times New Roman"/>
          <w:i w:val="0"/>
          <w:iCs w:val="0"/>
          <w:color w:val="000000"/>
          <w:kern w:val="0"/>
          <w:sz w:val="20"/>
          <w:szCs w:val="20"/>
          <w:lang w:bidi="ar"/>
        </w:rPr>
        <w:t>财决批复03</w:t>
      </w:r>
      <w:r>
        <w:rPr>
          <w:rFonts w:ascii="Times New Roman" w:hAnsi="Times New Roman" w:eastAsia="仿宋_GB2312" w:cs="Times New Roman"/>
          <w:i w:val="0"/>
          <w:iCs w:val="0"/>
          <w:color w:val="000000"/>
          <w:kern w:val="0"/>
          <w:sz w:val="20"/>
          <w:szCs w:val="20"/>
          <w:lang w:bidi="ar"/>
        </w:rPr>
        <w:t>表</w:t>
      </w:r>
    </w:p>
    <w:p w14:paraId="7A301370">
      <w:pPr>
        <w:widowControl/>
        <w:shd w:val="clear"/>
        <w:tabs>
          <w:tab w:val="left" w:pos="4442"/>
          <w:tab w:val="left" w:pos="5045"/>
          <w:tab w:val="left" w:pos="6444"/>
          <w:tab w:val="left" w:pos="11477"/>
          <w:tab w:val="left" w:pos="13102"/>
        </w:tabs>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部门：</w:t>
      </w:r>
      <w:r>
        <w:rPr>
          <w:rFonts w:hint="eastAsia" w:ascii="Times New Roman" w:hAnsi="Times New Roman" w:eastAsia="仿宋_GB2312" w:cs="Times New Roman"/>
          <w:i w:val="0"/>
          <w:iCs w:val="0"/>
          <w:color w:val="000000"/>
          <w:kern w:val="0"/>
          <w:sz w:val="20"/>
          <w:szCs w:val="20"/>
          <w:lang w:bidi="ar"/>
        </w:rPr>
        <w:t>怀化市医疗保障局</w:t>
      </w:r>
      <w:r>
        <w:rPr>
          <w:rFonts w:hint="eastAsia" w:ascii="Times New Roman" w:hAnsi="Times New Roman" w:eastAsia="仿宋_GB2312" w:cs="Times New Roman"/>
          <w:i w:val="0"/>
          <w:iCs w:val="0"/>
          <w:color w:val="000000"/>
          <w:kern w:val="0"/>
          <w:sz w:val="20"/>
          <w:szCs w:val="20"/>
          <w:lang w:val="en-US" w:eastAsia="zh-CN" w:bidi="ar"/>
        </w:rPr>
        <w:t xml:space="preserve">          </w:t>
      </w:r>
      <w:r>
        <w:rPr>
          <w:rFonts w:ascii="Times New Roman" w:hAnsi="Times New Roman" w:eastAsia="仿宋_GB2312" w:cs="Times New Roman"/>
          <w:i w:val="0"/>
          <w:iCs w:val="0"/>
          <w:color w:val="000000"/>
          <w:sz w:val="24"/>
          <w:szCs w:val="24"/>
        </w:rPr>
        <w:tab/>
      </w:r>
      <w:r>
        <w:rPr>
          <w:rFonts w:hint="eastAsia" w:ascii="Times New Roman" w:hAnsi="Times New Roman" w:eastAsia="仿宋_GB2312" w:cs="Times New Roman"/>
          <w:i w:val="0"/>
          <w:iCs w:val="0"/>
          <w:color w:val="000000"/>
          <w:sz w:val="24"/>
          <w:szCs w:val="24"/>
          <w:lang w:val="en-US" w:eastAsia="zh-CN"/>
        </w:rPr>
        <w:t xml:space="preserve">   </w:t>
      </w:r>
      <w:r>
        <w:rPr>
          <w:rFonts w:ascii="Times New Roman" w:hAnsi="Times New Roman" w:eastAsia="仿宋_GB2312" w:cs="Times New Roman"/>
          <w:i w:val="0"/>
          <w:iCs w:val="0"/>
          <w:color w:val="000000"/>
          <w:sz w:val="24"/>
          <w:szCs w:val="24"/>
        </w:rPr>
        <w:tab/>
      </w:r>
      <w:r>
        <w:rPr>
          <w:rFonts w:ascii="Times New Roman" w:hAnsi="Times New Roman" w:eastAsia="仿宋_GB2312" w:cs="Times New Roman"/>
          <w:i w:val="0"/>
          <w:iCs w:val="0"/>
          <w:color w:val="000000"/>
          <w:sz w:val="24"/>
          <w:szCs w:val="24"/>
        </w:rPr>
        <w:tab/>
      </w:r>
      <w:r>
        <w:rPr>
          <w:rFonts w:hint="eastAsia" w:ascii="Times New Roman" w:hAnsi="Times New Roman" w:eastAsia="仿宋_GB2312" w:cs="Times New Roman"/>
          <w:i w:val="0"/>
          <w:iCs w:val="0"/>
          <w:color w:val="000000"/>
          <w:sz w:val="24"/>
          <w:szCs w:val="24"/>
          <w:lang w:val="en-US" w:eastAsia="zh-CN"/>
        </w:rPr>
        <w:t xml:space="preserve">                                                 </w:t>
      </w:r>
      <w:r>
        <w:rPr>
          <w:rFonts w:hint="eastAsia" w:ascii="Times New Roman" w:hAnsi="Times New Roman" w:eastAsia="仿宋_GB2312" w:cs="Times New Roman"/>
          <w:i w:val="0"/>
          <w:iCs w:val="0"/>
          <w:color w:val="000000"/>
          <w:sz w:val="20"/>
          <w:szCs w:val="20"/>
          <w:lang w:val="en-US" w:eastAsia="zh-CN"/>
        </w:rPr>
        <w:t xml:space="preserve">      </w:t>
      </w:r>
      <w:r>
        <w:rPr>
          <w:rFonts w:hint="eastAsia" w:ascii="Times New Roman" w:hAnsi="Times New Roman" w:eastAsia="仿宋_GB2312" w:cs="Times New Roman"/>
          <w:i w:val="0"/>
          <w:iCs w:val="0"/>
          <w:color w:val="000000"/>
          <w:sz w:val="20"/>
          <w:szCs w:val="20"/>
          <w:lang w:eastAsia="zh-CN"/>
        </w:rPr>
        <w:t>金额</w:t>
      </w:r>
      <w:r>
        <w:rPr>
          <w:rFonts w:ascii="Times New Roman" w:hAnsi="Times New Roman" w:eastAsia="仿宋_GB2312" w:cs="Times New Roman"/>
          <w:i w:val="0"/>
          <w:iCs w:val="0"/>
          <w:color w:val="000000"/>
          <w:kern w:val="0"/>
          <w:sz w:val="20"/>
          <w:szCs w:val="20"/>
          <w:lang w:bidi="ar"/>
        </w:rPr>
        <w:t>单位：万元</w:t>
      </w:r>
    </w:p>
    <w:tbl>
      <w:tblPr>
        <w:tblStyle w:val="9"/>
        <w:tblW w:w="14313" w:type="dxa"/>
        <w:jc w:val="center"/>
        <w:shd w:val="clear" w:color="auto" w:fill="auto"/>
        <w:tblLayout w:type="fixed"/>
        <w:tblCellMar>
          <w:top w:w="0" w:type="dxa"/>
          <w:left w:w="108" w:type="dxa"/>
          <w:bottom w:w="0" w:type="dxa"/>
          <w:right w:w="108" w:type="dxa"/>
        </w:tblCellMar>
      </w:tblPr>
      <w:tblGrid>
        <w:gridCol w:w="4766"/>
        <w:gridCol w:w="850"/>
        <w:gridCol w:w="1291"/>
        <w:gridCol w:w="4851"/>
        <w:gridCol w:w="943"/>
        <w:gridCol w:w="1612"/>
      </w:tblGrid>
      <w:tr w14:paraId="42BEC77B">
        <w:tblPrEx>
          <w:shd w:val="clear" w:color="auto" w:fill="auto"/>
          <w:tblCellMar>
            <w:top w:w="0" w:type="dxa"/>
            <w:left w:w="108" w:type="dxa"/>
            <w:bottom w:w="0" w:type="dxa"/>
            <w:right w:w="108" w:type="dxa"/>
          </w:tblCellMar>
        </w:tblPrEx>
        <w:trPr>
          <w:trHeight w:val="425" w:hRule="exact"/>
          <w:tblHeader/>
          <w:jc w:val="center"/>
        </w:trPr>
        <w:tc>
          <w:tcPr>
            <w:tcW w:w="690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98CF">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收入</w:t>
            </w:r>
          </w:p>
        </w:tc>
        <w:tc>
          <w:tcPr>
            <w:tcW w:w="74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34D4">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支出</w:t>
            </w:r>
          </w:p>
        </w:tc>
      </w:tr>
      <w:tr w14:paraId="56C3DBD1">
        <w:tblPrEx>
          <w:shd w:val="clear" w:color="auto" w:fill="auto"/>
          <w:tblCellMar>
            <w:top w:w="0" w:type="dxa"/>
            <w:left w:w="108" w:type="dxa"/>
            <w:bottom w:w="0" w:type="dxa"/>
            <w:right w:w="108" w:type="dxa"/>
          </w:tblCellMar>
        </w:tblPrEx>
        <w:trPr>
          <w:trHeight w:val="425" w:hRule="exact"/>
          <w:tblHeader/>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71FB1">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AC2BB">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3615E">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1C822">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项    目</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DAC0">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行次</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1CC99">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决算数</w:t>
            </w:r>
          </w:p>
        </w:tc>
      </w:tr>
      <w:tr w14:paraId="5847A68A">
        <w:tblPrEx>
          <w:shd w:val="clear" w:color="auto" w:fill="auto"/>
          <w:tblCellMar>
            <w:top w:w="0" w:type="dxa"/>
            <w:left w:w="108" w:type="dxa"/>
            <w:bottom w:w="0" w:type="dxa"/>
            <w:right w:w="108" w:type="dxa"/>
          </w:tblCellMar>
        </w:tblPrEx>
        <w:trPr>
          <w:trHeight w:val="425" w:hRule="exact"/>
          <w:tblHeader/>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167E7">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1EA37">
            <w:pPr>
              <w:shd w:val="clear"/>
              <w:jc w:val="center"/>
              <w:rPr>
                <w:rFonts w:hint="eastAsia" w:ascii="黑体" w:hAnsi="黑体" w:eastAsia="黑体" w:cs="黑体"/>
                <w:i w:val="0"/>
                <w:iCs w:val="0"/>
                <w:color w:val="000000"/>
                <w:sz w:val="21"/>
                <w:szCs w:val="21"/>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A90AA">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C5495">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栏    次</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8198">
            <w:pPr>
              <w:shd w:val="clear"/>
              <w:jc w:val="center"/>
              <w:rPr>
                <w:rFonts w:hint="eastAsia" w:ascii="黑体" w:hAnsi="黑体" w:eastAsia="黑体" w:cs="黑体"/>
                <w:i w:val="0"/>
                <w:iCs w:val="0"/>
                <w:color w:val="000000"/>
                <w:sz w:val="21"/>
                <w:szCs w:val="21"/>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29E3C">
            <w:pPr>
              <w:widowControl/>
              <w:shd w:val="clear"/>
              <w:jc w:val="center"/>
              <w:textAlignment w:val="center"/>
              <w:rPr>
                <w:rFonts w:hint="eastAsia" w:ascii="黑体" w:hAnsi="黑体" w:eastAsia="黑体" w:cs="黑体"/>
                <w:i w:val="0"/>
                <w:iCs w:val="0"/>
                <w:color w:val="000000"/>
                <w:sz w:val="21"/>
                <w:szCs w:val="21"/>
              </w:rPr>
            </w:pPr>
            <w:r>
              <w:rPr>
                <w:rFonts w:hint="eastAsia" w:ascii="黑体" w:hAnsi="黑体" w:eastAsia="黑体" w:cs="黑体"/>
                <w:i w:val="0"/>
                <w:iCs w:val="0"/>
                <w:color w:val="000000"/>
                <w:kern w:val="0"/>
                <w:sz w:val="21"/>
                <w:szCs w:val="21"/>
                <w:lang w:bidi="ar"/>
              </w:rPr>
              <w:t>2</w:t>
            </w:r>
          </w:p>
        </w:tc>
      </w:tr>
      <w:tr w14:paraId="6BBD22BE">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1E195">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385D7">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48A1">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990.15</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A71A1">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一、一般公共服务支出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D9D7A">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32</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CBD7">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334D1209">
        <w:tblPrEx>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2BA09">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A6D3F">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D4DF">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33FE">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二、外交支出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0516">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33</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42AE5">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C7B2F4E">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75C5">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67B7">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3447">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3677">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三、国防支出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0917">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34</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539A5">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474E5BEE">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08602">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24E3">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3CDF">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C74C7">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四、公共安全支出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E8A7">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35</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89E86">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5810FE8E">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C7914">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BB7DE">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AAE67">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4861">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五、教育支出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6678F">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36</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CE3D">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722AA390">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985D">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B82A">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EB228">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EA0F">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六、科学技术支出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2A956">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37</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7A4D3">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76A7B6B6">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BEB45">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1ABD9">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CC2D">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2D230">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七、文化旅游体育与传媒支出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63E19">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38</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74D4C">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72BDEC42">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02962">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CE70">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F420A">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F4462">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八、社会保障和就业支出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05639">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39</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6F21D">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3F17CB27">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B5D2C">
            <w:pPr>
              <w:shd w:val="clear"/>
              <w:jc w:val="left"/>
              <w:rPr>
                <w:rFonts w:ascii="Times New Roman" w:hAnsi="Times New Roman" w:eastAsia="仿宋_GB2312" w:cs="Times New Roman"/>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6C05A">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35E11">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C37C0">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九、卫生健康支出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49A7">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40</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8C21B">
            <w:pPr>
              <w:keepNext w:val="0"/>
              <w:keepLines w:val="0"/>
              <w:widowControl/>
              <w:suppressLineNumbers w:val="0"/>
              <w:shd w:val="clear"/>
              <w:jc w:val="right"/>
              <w:textAlignment w:val="center"/>
              <w:rPr>
                <w:rFonts w:ascii="Times New Roman" w:hAnsi="Times New Roman" w:eastAsia="仿宋_GB2312" w:cs="Times New Roman"/>
                <w:b/>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990.15</w:t>
            </w:r>
          </w:p>
        </w:tc>
      </w:tr>
      <w:tr w14:paraId="6F600A29">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01D2">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C88CA">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4E8F0">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9A779">
            <w:pPr>
              <w:keepNext w:val="0"/>
              <w:keepLines w:val="0"/>
              <w:widowControl/>
              <w:suppressLineNumbers w:val="0"/>
              <w:shd w:val="clear"/>
              <w:jc w:val="left"/>
              <w:textAlignment w:val="center"/>
              <w:rPr>
                <w:rFonts w:ascii="Times New Roman" w:hAnsi="Times New Roman" w:eastAsia="仿宋_GB2312" w:cs="Times New Roman"/>
                <w:b/>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十、节能环保支出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3B3A">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41</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1757">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24AAA4B1">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9BDD5">
            <w:pPr>
              <w:shd w:val="clear"/>
              <w:jc w:val="left"/>
              <w:rPr>
                <w:rFonts w:ascii="Times New Roman" w:hAnsi="Times New Roman" w:eastAsia="仿宋_GB2312" w:cs="Times New Roman"/>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5FDE1">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131A8">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101A">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十一、城乡社区支出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2483">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42</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B7203">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77E662FB">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22801">
            <w:pPr>
              <w:shd w:val="clear"/>
              <w:jc w:val="left"/>
              <w:rPr>
                <w:rFonts w:ascii="Times New Roman" w:hAnsi="Times New Roman" w:eastAsia="仿宋_GB2312" w:cs="Times New Roman"/>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3986">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9636">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2325">
            <w:pPr>
              <w:keepNext w:val="0"/>
              <w:keepLines w:val="0"/>
              <w:widowControl/>
              <w:suppressLineNumbers w:val="0"/>
              <w:shd w:val="clear"/>
              <w:jc w:val="lef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十二、农林水支出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F1F8">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43</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DFC45">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615BFBC7">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A2C95">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E318B">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2643">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D983">
            <w:pPr>
              <w:keepNext w:val="0"/>
              <w:keepLines w:val="0"/>
              <w:widowControl/>
              <w:suppressLineNumbers w:val="0"/>
              <w:shd w:val="clear"/>
              <w:jc w:val="left"/>
              <w:textAlignment w:val="center"/>
              <w:rPr>
                <w:rFonts w:ascii="Times New Roman" w:hAnsi="Times New Roman" w:eastAsia="仿宋_GB2312" w:cs="Times New Roman"/>
                <w:b/>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十三、交通运输支出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3137">
            <w:pPr>
              <w:keepNext w:val="0"/>
              <w:keepLines w:val="0"/>
              <w:widowControl/>
              <w:suppressLineNumbers w:val="0"/>
              <w:shd w:val="clear"/>
              <w:jc w:val="center"/>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44</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8261">
            <w:pPr>
              <w:keepNext w:val="0"/>
              <w:keepLines w:val="0"/>
              <w:widowControl/>
              <w:suppressLineNumbers w:val="0"/>
              <w:shd w:val="clear"/>
              <w:jc w:val="right"/>
              <w:textAlignment w:val="center"/>
              <w:rPr>
                <w:rFonts w:ascii="Times New Roman" w:hAnsi="Times New Roman" w:eastAsia="仿宋_GB2312" w:cs="Times New Roman"/>
                <w:b/>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32429ADD">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75CC">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58778">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9839C">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4A6F">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十四、资源勘探工业信息等支出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3ACAB">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45</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39103">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0A65FF0A">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B8F7D">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7E1A">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C7E33">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2197B">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十五、商业服务业等支出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43FE">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46</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17F3">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5FC06C8B">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79AA">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65664">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08A5">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3C979">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十六、金融支出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D8B0B">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47</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4668">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7224BFB4">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06CD">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6452">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25B6">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CE5E2">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十七、援助其他地区支出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59F0">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48</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2122A">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6ADFDE67">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3ECC">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A24B1">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F2A80">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90B5A">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十八、自然资源海洋气象等支出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A6C13">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49</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0302A">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146CD574">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0A64F">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DD841">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F598C">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A729">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十九、住房保障支出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2522">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B0B1">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66D8FDDA">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D9F8F">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1E07">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5BBDD">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8FC3">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二十、粮油物资储备支出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BE2B5">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E758">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1035BC2A">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5994">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291C8">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20F82">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14E6">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二十一、国有资本经营预算支出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9B4DA">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B165">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0827419F">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30C09">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7A95">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A06B5">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A6E9">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二十二、灾害防治及应急管理支出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6BE1">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53</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4868">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2EE0B642">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26EB">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3418">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A844">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0928C">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二十三、其他支出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6C00">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54</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51D9">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74CC7F46">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2DEC">
            <w:pPr>
              <w:shd w:val="clear"/>
              <w:jc w:val="center"/>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F92D">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B47A3">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6E9A">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二十四、债务还本支出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256B2">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55</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65122">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7E81C880">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2125">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0563A">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D6DB">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E2960">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二十五、债务付息支出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4ABE">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56</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AEA25">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62426736">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33E3F">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D107">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7ACB7">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D023">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二十六、抗疫特别国债安排的支出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BE7A">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57</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C8103">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36A8391A">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4B91E">
            <w:pPr>
              <w:keepNext w:val="0"/>
              <w:keepLines w:val="0"/>
              <w:widowControl/>
              <w:suppressLineNumbers w:val="0"/>
              <w:shd w:val="clear"/>
              <w:jc w:val="center"/>
              <w:textAlignment w:val="center"/>
              <w:rPr>
                <w:rFonts w:ascii="Times New Roman" w:hAnsi="Times New Roman" w:eastAsia="仿宋_GB2312" w:cs="Times New Roman"/>
                <w:b/>
                <w:i w:val="0"/>
                <w:iCs w:val="0"/>
                <w:color w:val="000000"/>
                <w:sz w:val="21"/>
                <w:szCs w:val="21"/>
              </w:rPr>
            </w:pPr>
            <w:r>
              <w:rPr>
                <w:rFonts w:hint="eastAsia" w:ascii="宋体" w:hAnsi="宋体" w:eastAsia="宋体" w:cs="宋体"/>
                <w:b/>
                <w:bCs/>
                <w:i w:val="0"/>
                <w:iCs w:val="0"/>
                <w:color w:val="000000"/>
                <w:kern w:val="0"/>
                <w:sz w:val="21"/>
                <w:szCs w:val="21"/>
                <w:u w:val="none"/>
                <w:lang w:val="en-US" w:eastAsia="zh-CN"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7A778">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7DE2">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990.15</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7504">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本年支出合计</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F57ED">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58</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1B99">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990.15</w:t>
            </w:r>
          </w:p>
        </w:tc>
      </w:tr>
      <w:tr w14:paraId="06658F31">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0970C">
            <w:pPr>
              <w:keepNext w:val="0"/>
              <w:keepLines w:val="0"/>
              <w:widowControl/>
              <w:suppressLineNumbers w:val="0"/>
              <w:shd w:val="clear"/>
              <w:jc w:val="left"/>
              <w:textAlignment w:val="center"/>
              <w:rPr>
                <w:rFonts w:ascii="Times New Roman" w:hAnsi="Times New Roman" w:eastAsia="仿宋_GB2312" w:cs="Times New Roman"/>
                <w:b/>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D997C">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C4FD">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9AACB">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结余分配</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9DB4">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59</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5681">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33EA4C97">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61EB">
            <w:pPr>
              <w:keepNext w:val="0"/>
              <w:keepLines w:val="0"/>
              <w:widowControl/>
              <w:suppressLineNumbers w:val="0"/>
              <w:shd w:val="clear"/>
              <w:jc w:val="left"/>
              <w:textAlignment w:val="center"/>
              <w:rPr>
                <w:rFonts w:ascii="Times New Roman" w:hAnsi="Times New Roman" w:eastAsia="仿宋_GB2312" w:cs="Times New Roman"/>
                <w:b/>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D1C8">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E02A">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2F50E">
            <w:pPr>
              <w:keepNext w:val="0"/>
              <w:keepLines w:val="0"/>
              <w:widowControl/>
              <w:suppressLineNumbers w:val="0"/>
              <w:shd w:val="clear"/>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年末结转和结余</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2BB5">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2D552">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0.00</w:t>
            </w:r>
          </w:p>
        </w:tc>
      </w:tr>
      <w:tr w14:paraId="4544ABAF">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D4F4">
            <w:pPr>
              <w:shd w:val="clear"/>
              <w:jc w:val="left"/>
              <w:rPr>
                <w:rFonts w:ascii="Times New Roman" w:hAnsi="Times New Roman" w:eastAsia="仿宋_GB2312" w:cs="Times New Roman"/>
                <w:b/>
                <w:i w:val="0"/>
                <w:iCs w:val="0"/>
                <w:color w:val="000000"/>
                <w:sz w:val="21"/>
                <w:szCs w:val="21"/>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2A21">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2AA2">
            <w:pPr>
              <w:shd w:val="clear"/>
              <w:jc w:val="right"/>
              <w:rPr>
                <w:rFonts w:ascii="Times New Roman" w:hAnsi="Times New Roman" w:eastAsia="仿宋_GB2312" w:cs="Times New Roman"/>
                <w:i w:val="0"/>
                <w:iCs w:val="0"/>
                <w:color w:val="000000"/>
                <w:sz w:val="21"/>
                <w:szCs w:val="21"/>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F09DE">
            <w:pPr>
              <w:shd w:val="clear"/>
              <w:jc w:val="left"/>
              <w:rPr>
                <w:rFonts w:hint="eastAsia" w:ascii="宋体" w:hAnsi="宋体" w:eastAsia="宋体" w:cs="宋体"/>
                <w:i w:val="0"/>
                <w:iCs w:val="0"/>
                <w:color w:val="000000"/>
                <w:kern w:val="0"/>
                <w:sz w:val="21"/>
                <w:szCs w:val="21"/>
                <w:u w:val="none"/>
                <w:lang w:val="en-US" w:eastAsia="zh-CN" w:bidi="ar"/>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E94BF">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61</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BA99">
            <w:pPr>
              <w:shd w:val="clear"/>
              <w:jc w:val="left"/>
              <w:rPr>
                <w:rFonts w:hint="eastAsia" w:ascii="宋体" w:hAnsi="宋体" w:eastAsia="宋体" w:cs="宋体"/>
                <w:i w:val="0"/>
                <w:iCs w:val="0"/>
                <w:color w:val="000000"/>
                <w:kern w:val="0"/>
                <w:sz w:val="21"/>
                <w:szCs w:val="21"/>
                <w:u w:val="none"/>
                <w:lang w:val="en-US" w:eastAsia="zh-CN" w:bidi="ar"/>
              </w:rPr>
            </w:pPr>
          </w:p>
        </w:tc>
      </w:tr>
      <w:tr w14:paraId="5E2D1F09">
        <w:tblPrEx>
          <w:shd w:val="clear" w:color="auto" w:fill="auto"/>
          <w:tblCellMar>
            <w:top w:w="0" w:type="dxa"/>
            <w:left w:w="108" w:type="dxa"/>
            <w:bottom w:w="0" w:type="dxa"/>
            <w:right w:w="108" w:type="dxa"/>
          </w:tblCellMar>
        </w:tblPrEx>
        <w:trPr>
          <w:trHeight w:val="425" w:hRule="exact"/>
          <w:jc w:val="center"/>
        </w:trPr>
        <w:tc>
          <w:tcPr>
            <w:tcW w:w="4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127F">
            <w:pPr>
              <w:keepNext w:val="0"/>
              <w:keepLines w:val="0"/>
              <w:widowControl/>
              <w:suppressLineNumbers w:val="0"/>
              <w:shd w:val="clear"/>
              <w:jc w:val="center"/>
              <w:textAlignment w:val="center"/>
              <w:rPr>
                <w:rFonts w:ascii="Times New Roman" w:hAnsi="Times New Roman" w:eastAsia="仿宋_GB2312" w:cs="Times New Roman"/>
                <w:b/>
                <w:i w:val="0"/>
                <w:iCs w:val="0"/>
                <w:color w:val="000000"/>
                <w:sz w:val="21"/>
                <w:szCs w:val="21"/>
              </w:rPr>
            </w:pPr>
            <w:r>
              <w:rPr>
                <w:rFonts w:hint="eastAsia" w:ascii="宋体" w:hAnsi="宋体" w:eastAsia="宋体" w:cs="宋体"/>
                <w:b/>
                <w:bCs/>
                <w:i w:val="0"/>
                <w:iCs w:val="0"/>
                <w:color w:val="000000"/>
                <w:kern w:val="0"/>
                <w:sz w:val="21"/>
                <w:szCs w:val="21"/>
                <w:u w:val="none"/>
                <w:lang w:val="en-US" w:eastAsia="zh-CN"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F9536">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8D7B5">
            <w:pPr>
              <w:keepNext w:val="0"/>
              <w:keepLines w:val="0"/>
              <w:widowControl/>
              <w:suppressLineNumbers w:val="0"/>
              <w:shd w:val="clear"/>
              <w:jc w:val="right"/>
              <w:textAlignment w:val="center"/>
              <w:rPr>
                <w:rFonts w:ascii="Times New Roman" w:hAnsi="Times New Roman" w:eastAsia="仿宋_GB2312" w:cs="Times New Roman"/>
                <w:i w:val="0"/>
                <w:iCs w:val="0"/>
                <w:color w:val="000000"/>
                <w:sz w:val="21"/>
                <w:szCs w:val="21"/>
              </w:rPr>
            </w:pPr>
            <w:r>
              <w:rPr>
                <w:rFonts w:hint="eastAsia" w:ascii="宋体" w:hAnsi="宋体" w:eastAsia="宋体" w:cs="宋体"/>
                <w:i w:val="0"/>
                <w:iCs w:val="0"/>
                <w:color w:val="000000"/>
                <w:kern w:val="0"/>
                <w:sz w:val="21"/>
                <w:szCs w:val="21"/>
                <w:u w:val="none"/>
                <w:lang w:val="en-US" w:eastAsia="zh-CN" w:bidi="ar"/>
              </w:rPr>
              <w:t>990.15</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BF891">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总计</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187E4">
            <w:pPr>
              <w:keepNext w:val="0"/>
              <w:keepLines w:val="0"/>
              <w:widowControl/>
              <w:suppressLineNumbers w:val="0"/>
              <w:shd w:val="clear"/>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62</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0386C">
            <w:pPr>
              <w:keepNext w:val="0"/>
              <w:keepLines w:val="0"/>
              <w:widowControl/>
              <w:suppressLineNumbers w:val="0"/>
              <w:shd w:val="clear"/>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990.15</w:t>
            </w:r>
          </w:p>
        </w:tc>
      </w:tr>
    </w:tbl>
    <w:p w14:paraId="59D68709">
      <w:pPr>
        <w:widowControl/>
        <w:shd w:val="clear"/>
        <w:jc w:val="left"/>
        <w:textAlignment w:val="center"/>
        <w:rPr>
          <w:rFonts w:hint="eastAsia" w:ascii="Times New Roman" w:hAnsi="Times New Roman" w:eastAsia="仿宋_GB2312" w:cs="Times New Roman"/>
          <w:i w:val="0"/>
          <w:iCs w:val="0"/>
          <w:color w:val="000000"/>
          <w:sz w:val="24"/>
          <w:szCs w:val="24"/>
        </w:rPr>
      </w:pPr>
      <w:r>
        <w:rPr>
          <w:rFonts w:hint="eastAsia" w:ascii="Times New Roman" w:hAnsi="Times New Roman" w:eastAsia="仿宋_GB2312" w:cs="Times New Roman"/>
          <w:i w:val="0"/>
          <w:iCs w:val="0"/>
          <w:color w:val="000000"/>
          <w:sz w:val="24"/>
          <w:szCs w:val="24"/>
        </w:rPr>
        <w:t>注：1.本表依据《收入支出决算总表》（财决01表）进行批复。</w:t>
      </w:r>
    </w:p>
    <w:p w14:paraId="46830D41">
      <w:pPr>
        <w:widowControl/>
        <w:shd w:val="clear"/>
        <w:jc w:val="left"/>
        <w:textAlignment w:val="center"/>
        <w:rPr>
          <w:rFonts w:hint="eastAsia" w:ascii="Times New Roman" w:hAnsi="Times New Roman" w:eastAsia="仿宋_GB2312" w:cs="Times New Roman"/>
          <w:i w:val="0"/>
          <w:iCs w:val="0"/>
          <w:color w:val="000000"/>
          <w:sz w:val="24"/>
          <w:szCs w:val="24"/>
        </w:rPr>
      </w:pPr>
      <w:r>
        <w:rPr>
          <w:rFonts w:hint="eastAsia" w:ascii="Times New Roman" w:hAnsi="Times New Roman" w:eastAsia="仿宋_GB2312" w:cs="Times New Roman"/>
          <w:i w:val="0"/>
          <w:iCs w:val="0"/>
          <w:color w:val="000000"/>
          <w:sz w:val="24"/>
          <w:szCs w:val="24"/>
        </w:rPr>
        <w:t xml:space="preserve">    2.本表以“万元”为金额单位（保留两位小数）。</w:t>
      </w:r>
    </w:p>
    <w:p w14:paraId="615F4216">
      <w:pPr>
        <w:widowControl/>
        <w:shd w:val="clear"/>
        <w:jc w:val="left"/>
        <w:textAlignment w:val="center"/>
        <w:rPr>
          <w:rFonts w:ascii="Times New Roman" w:hAnsi="Times New Roman" w:eastAsia="仿宋_GB2312" w:cs="Times New Roman"/>
          <w:i w:val="0"/>
          <w:iCs w:val="0"/>
          <w:color w:val="000000"/>
          <w:sz w:val="24"/>
          <w:szCs w:val="24"/>
        </w:rPr>
      </w:pPr>
      <w:r>
        <w:rPr>
          <w:rFonts w:hint="eastAsia" w:ascii="Times New Roman" w:hAnsi="Times New Roman" w:eastAsia="仿宋_GB2312" w:cs="Times New Roman"/>
          <w:i w:val="0"/>
          <w:iCs w:val="0"/>
          <w:color w:val="000000"/>
          <w:sz w:val="24"/>
          <w:szCs w:val="24"/>
        </w:rPr>
        <w:t xml:space="preserve">    3.本套报表金额单位转换时可能存在尾数误差。</w:t>
      </w:r>
    </w:p>
    <w:p w14:paraId="176B1129">
      <w:pPr>
        <w:shd w:val="clear"/>
        <w:rPr>
          <w:rFonts w:ascii="Times New Roman" w:hAnsi="Times New Roman" w:eastAsia="华文中宋" w:cs="Times New Roman"/>
          <w:i w:val="0"/>
          <w:iCs w:val="0"/>
          <w:color w:val="000000"/>
          <w:sz w:val="32"/>
          <w:szCs w:val="32"/>
        </w:rPr>
      </w:pPr>
      <w:r>
        <w:rPr>
          <w:rFonts w:ascii="Times New Roman" w:hAnsi="Times New Roman" w:eastAsia="华文中宋" w:cs="Times New Roman"/>
          <w:i w:val="0"/>
          <w:iCs w:val="0"/>
          <w:color w:val="000000"/>
          <w:sz w:val="32"/>
          <w:szCs w:val="32"/>
        </w:rPr>
        <w:br w:type="page"/>
      </w:r>
    </w:p>
    <w:p w14:paraId="5839113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收入决算</w:t>
      </w:r>
      <w:r>
        <w:rPr>
          <w:rFonts w:hint="eastAsia" w:ascii="方正小标宋简体" w:hAnsi="方正小标宋简体" w:eastAsia="方正小标宋简体" w:cs="方正小标宋简体"/>
          <w:b w:val="0"/>
          <w:bCs w:val="0"/>
          <w:i w:val="0"/>
          <w:iCs w:val="0"/>
          <w:caps w:val="0"/>
          <w:color w:val="000000"/>
          <w:spacing w:val="0"/>
          <w:sz w:val="44"/>
          <w:szCs w:val="44"/>
          <w:shd w:val="clear" w:color="auto" w:fill="FFFFFF"/>
          <w:lang w:eastAsia="zh-CN"/>
        </w:rPr>
        <w:t>批复</w:t>
      </w: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表</w:t>
      </w:r>
    </w:p>
    <w:p w14:paraId="429AD192">
      <w:pPr>
        <w:shd w:val="clea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ascii="Times New Roman" w:hAnsi="Times New Roman" w:eastAsia="仿宋_GB2312" w:cs="Times New Roman"/>
          <w:i w:val="0"/>
          <w:iCs w:val="0"/>
        </w:rPr>
        <w:t>　</w:t>
      </w:r>
      <w:r>
        <w:rPr>
          <w:rFonts w:ascii="Times New Roman" w:hAnsi="Times New Roman" w:eastAsia="仿宋_GB2312" w:cs="Times New Roman"/>
          <w:i w:val="0"/>
          <w:iCs w:val="0"/>
          <w:sz w:val="24"/>
          <w:szCs w:val="24"/>
        </w:rPr>
        <w:tab/>
      </w:r>
      <w:r>
        <w:rPr>
          <w:rFonts w:hint="eastAsia" w:ascii="Times New Roman" w:hAnsi="Times New Roman" w:eastAsia="仿宋_GB2312" w:cs="Times New Roman"/>
          <w:i w:val="0"/>
          <w:iCs w:val="0"/>
          <w:color w:val="000000"/>
          <w:sz w:val="20"/>
          <w:szCs w:val="20"/>
        </w:rPr>
        <w:t>财决批复03</w:t>
      </w:r>
      <w:r>
        <w:rPr>
          <w:rFonts w:ascii="Times New Roman" w:hAnsi="Times New Roman" w:eastAsia="仿宋_GB2312" w:cs="Times New Roman"/>
          <w:i w:val="0"/>
          <w:iCs w:val="0"/>
          <w:color w:val="000000"/>
          <w:sz w:val="20"/>
          <w:szCs w:val="20"/>
        </w:rPr>
        <w:t>表</w:t>
      </w:r>
    </w:p>
    <w:p w14:paraId="39CFDFB4">
      <w:pPr>
        <w:shd w:val="clea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sz w:val="20"/>
          <w:szCs w:val="20"/>
        </w:rPr>
        <w:t>部门：</w:t>
      </w:r>
      <w:r>
        <w:rPr>
          <w:rFonts w:hint="eastAsia" w:ascii="Times New Roman" w:hAnsi="Times New Roman" w:eastAsia="仿宋_GB2312" w:cs="Times New Roman"/>
          <w:i w:val="0"/>
          <w:iCs w:val="0"/>
          <w:color w:val="000000"/>
          <w:sz w:val="20"/>
          <w:szCs w:val="20"/>
        </w:rPr>
        <w:t>怀化市医疗保障局</w:t>
      </w:r>
      <w:r>
        <w:rPr>
          <w:rFonts w:ascii="Times New Roman" w:hAnsi="Times New Roman" w:eastAsia="仿宋_GB2312" w:cs="Times New Roman"/>
          <w:i w:val="0"/>
          <w:iCs w:val="0"/>
          <w:sz w:val="20"/>
          <w:szCs w:val="20"/>
        </w:rPr>
        <w:tab/>
      </w:r>
      <w:r>
        <w:rPr>
          <w:rFonts w:ascii="Times New Roman" w:hAnsi="Times New Roman" w:eastAsia="仿宋_GB2312" w:cs="Times New Roman"/>
          <w:i w:val="0"/>
          <w:iCs w:val="0"/>
          <w:sz w:val="20"/>
          <w:szCs w:val="20"/>
        </w:rPr>
        <w:t>　</w:t>
      </w:r>
      <w:r>
        <w:rPr>
          <w:rFonts w:ascii="Times New Roman" w:hAnsi="Times New Roman" w:eastAsia="仿宋_GB2312" w:cs="Times New Roman"/>
          <w:i w:val="0"/>
          <w:iCs w:val="0"/>
          <w:sz w:val="20"/>
          <w:szCs w:val="20"/>
        </w:rPr>
        <w:tab/>
      </w:r>
      <w:r>
        <w:rPr>
          <w:rFonts w:ascii="Times New Roman" w:hAnsi="Times New Roman" w:eastAsia="仿宋_GB2312" w:cs="Times New Roman"/>
          <w:i w:val="0"/>
          <w:iCs w:val="0"/>
          <w:color w:val="000000"/>
          <w:sz w:val="20"/>
          <w:szCs w:val="20"/>
        </w:rPr>
        <w:t>　</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sz w:val="20"/>
          <w:szCs w:val="20"/>
        </w:rPr>
        <w:t>　</w:t>
      </w:r>
      <w:r>
        <w:rPr>
          <w:rFonts w:ascii="Times New Roman" w:hAnsi="Times New Roman" w:eastAsia="仿宋_GB2312" w:cs="Times New Roman"/>
          <w:i w:val="0"/>
          <w:iCs w:val="0"/>
          <w:sz w:val="20"/>
          <w:szCs w:val="20"/>
        </w:rPr>
        <w:tab/>
      </w:r>
      <w:r>
        <w:rPr>
          <w:rFonts w:ascii="Times New Roman" w:hAnsi="Times New Roman" w:eastAsia="仿宋_GB2312" w:cs="Times New Roman"/>
          <w:i w:val="0"/>
          <w:iCs w:val="0"/>
          <w:sz w:val="20"/>
          <w:szCs w:val="20"/>
        </w:rPr>
        <w:t>　</w:t>
      </w:r>
      <w:r>
        <w:rPr>
          <w:rFonts w:ascii="Times New Roman" w:hAnsi="Times New Roman" w:eastAsia="仿宋_GB2312" w:cs="Times New Roman"/>
          <w:i w:val="0"/>
          <w:iCs w:val="0"/>
          <w:sz w:val="20"/>
          <w:szCs w:val="20"/>
        </w:rPr>
        <w:tab/>
      </w:r>
      <w:r>
        <w:rPr>
          <w:rFonts w:ascii="Times New Roman" w:hAnsi="Times New Roman" w:eastAsia="仿宋_GB2312" w:cs="Times New Roman"/>
          <w:i w:val="0"/>
          <w:iCs w:val="0"/>
          <w:sz w:val="20"/>
          <w:szCs w:val="20"/>
        </w:rPr>
        <w:t>　</w:t>
      </w:r>
      <w:r>
        <w:rPr>
          <w:rFonts w:ascii="Times New Roman" w:hAnsi="Times New Roman" w:eastAsia="仿宋_GB2312" w:cs="Times New Roman"/>
          <w:i w:val="0"/>
          <w:iCs w:val="0"/>
          <w:sz w:val="20"/>
          <w:szCs w:val="20"/>
        </w:rPr>
        <w:tab/>
      </w:r>
      <w:r>
        <w:rPr>
          <w:rFonts w:hint="eastAsia" w:ascii="Times New Roman" w:hAnsi="Times New Roman" w:eastAsia="仿宋_GB2312" w:cs="Times New Roman"/>
          <w:i w:val="0"/>
          <w:iCs w:val="0"/>
          <w:sz w:val="20"/>
          <w:szCs w:val="20"/>
        </w:rPr>
        <w:t>金额</w:t>
      </w:r>
      <w:r>
        <w:rPr>
          <w:rFonts w:ascii="Times New Roman" w:hAnsi="Times New Roman" w:eastAsia="仿宋_GB2312" w:cs="Times New Roman"/>
          <w:i w:val="0"/>
          <w:iCs w:val="0"/>
          <w:color w:val="000000"/>
          <w:sz w:val="20"/>
          <w:szCs w:val="20"/>
        </w:rPr>
        <w:t>单位：万元</w:t>
      </w:r>
    </w:p>
    <w:tbl>
      <w:tblPr>
        <w:tblStyle w:val="9"/>
        <w:tblW w:w="497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6"/>
        <w:gridCol w:w="436"/>
        <w:gridCol w:w="494"/>
        <w:gridCol w:w="3469"/>
        <w:gridCol w:w="1470"/>
        <w:gridCol w:w="1529"/>
        <w:gridCol w:w="1529"/>
        <w:gridCol w:w="1234"/>
        <w:gridCol w:w="1234"/>
        <w:gridCol w:w="1644"/>
        <w:gridCol w:w="1234"/>
      </w:tblGrid>
      <w:tr w14:paraId="0D311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46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6975C">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科目代码</w:t>
            </w:r>
          </w:p>
        </w:tc>
        <w:tc>
          <w:tcPr>
            <w:tcW w:w="1178" w:type="pct"/>
            <w:tcBorders>
              <w:top w:val="single" w:color="000000" w:sz="4" w:space="0"/>
              <w:left w:val="nil"/>
              <w:bottom w:val="single" w:color="000000" w:sz="4" w:space="0"/>
              <w:right w:val="single" w:color="000000" w:sz="4" w:space="0"/>
            </w:tcBorders>
            <w:shd w:val="clear" w:color="auto" w:fill="auto"/>
            <w:noWrap/>
            <w:vAlign w:val="center"/>
          </w:tcPr>
          <w:p w14:paraId="6616BAC1">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科目名称</w:t>
            </w:r>
          </w:p>
        </w:tc>
        <w:tc>
          <w:tcPr>
            <w:tcW w:w="499" w:type="pct"/>
            <w:tcBorders>
              <w:top w:val="single" w:color="000000" w:sz="4" w:space="0"/>
              <w:left w:val="nil"/>
              <w:bottom w:val="single" w:color="000000" w:sz="4" w:space="0"/>
              <w:right w:val="single" w:color="000000" w:sz="4" w:space="0"/>
            </w:tcBorders>
            <w:shd w:val="clear" w:color="auto" w:fill="auto"/>
            <w:vAlign w:val="center"/>
          </w:tcPr>
          <w:p w14:paraId="795DF65E">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本年收入</w:t>
            </w:r>
          </w:p>
          <w:p w14:paraId="76461D7F">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合计</w:t>
            </w:r>
          </w:p>
        </w:tc>
        <w:tc>
          <w:tcPr>
            <w:tcW w:w="519" w:type="pct"/>
            <w:tcBorders>
              <w:top w:val="single" w:color="000000" w:sz="4" w:space="0"/>
              <w:left w:val="nil"/>
              <w:bottom w:val="single" w:color="000000" w:sz="4" w:space="0"/>
              <w:right w:val="single" w:color="000000" w:sz="4" w:space="0"/>
            </w:tcBorders>
            <w:shd w:val="clear" w:color="auto" w:fill="auto"/>
            <w:vAlign w:val="center"/>
          </w:tcPr>
          <w:p w14:paraId="39DABD1C">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财政拨款</w:t>
            </w:r>
          </w:p>
          <w:p w14:paraId="20B8AFE6">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收入</w:t>
            </w:r>
          </w:p>
        </w:tc>
        <w:tc>
          <w:tcPr>
            <w:tcW w:w="519" w:type="pct"/>
            <w:tcBorders>
              <w:top w:val="single" w:color="000000" w:sz="4" w:space="0"/>
              <w:left w:val="nil"/>
              <w:bottom w:val="single" w:color="000000" w:sz="4" w:space="0"/>
              <w:right w:val="single" w:color="000000" w:sz="4" w:space="0"/>
            </w:tcBorders>
            <w:shd w:val="clear" w:color="auto" w:fill="auto"/>
            <w:vAlign w:val="center"/>
          </w:tcPr>
          <w:p w14:paraId="4F149FAB">
            <w:pPr>
              <w:keepNext w:val="0"/>
              <w:keepLines w:val="0"/>
              <w:widowControl/>
              <w:suppressLineNumbers w:val="0"/>
              <w:jc w:val="center"/>
              <w:textAlignment w:val="center"/>
              <w:rPr>
                <w:rFonts w:hint="eastAsia" w:ascii="黑体" w:hAnsi="黑体" w:eastAsia="黑体" w:cs="黑体"/>
                <w:i w:val="0"/>
                <w:iCs w:val="0"/>
                <w:color w:val="000000"/>
                <w:kern w:val="0"/>
                <w:sz w:val="22"/>
                <w:szCs w:val="22"/>
                <w:u w:val="none"/>
                <w:lang w:val="en-US" w:eastAsia="zh-CN" w:bidi="ar"/>
              </w:rPr>
            </w:pPr>
            <w:r>
              <w:rPr>
                <w:rFonts w:hint="eastAsia" w:ascii="黑体" w:hAnsi="黑体" w:eastAsia="黑体" w:cs="黑体"/>
                <w:i w:val="0"/>
                <w:iCs w:val="0"/>
                <w:color w:val="000000"/>
                <w:kern w:val="0"/>
                <w:sz w:val="22"/>
                <w:szCs w:val="22"/>
                <w:u w:val="none"/>
                <w:lang w:val="en-US" w:eastAsia="zh-CN" w:bidi="ar"/>
              </w:rPr>
              <w:t>上级补助</w:t>
            </w:r>
          </w:p>
          <w:p w14:paraId="14DB6B3F">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收入</w:t>
            </w:r>
          </w:p>
        </w:tc>
        <w:tc>
          <w:tcPr>
            <w:tcW w:w="419" w:type="pct"/>
            <w:tcBorders>
              <w:top w:val="single" w:color="000000" w:sz="4" w:space="0"/>
              <w:left w:val="nil"/>
              <w:bottom w:val="single" w:color="000000" w:sz="4" w:space="0"/>
              <w:right w:val="single" w:color="000000" w:sz="4" w:space="0"/>
            </w:tcBorders>
            <w:shd w:val="clear" w:color="auto" w:fill="auto"/>
            <w:vAlign w:val="center"/>
          </w:tcPr>
          <w:p w14:paraId="49D4B491">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事业收入</w:t>
            </w:r>
          </w:p>
        </w:tc>
        <w:tc>
          <w:tcPr>
            <w:tcW w:w="419" w:type="pct"/>
            <w:tcBorders>
              <w:top w:val="single" w:color="000000" w:sz="4" w:space="0"/>
              <w:left w:val="nil"/>
              <w:bottom w:val="single" w:color="000000" w:sz="4" w:space="0"/>
              <w:right w:val="single" w:color="000000" w:sz="4" w:space="0"/>
            </w:tcBorders>
            <w:shd w:val="clear" w:color="auto" w:fill="auto"/>
            <w:vAlign w:val="center"/>
          </w:tcPr>
          <w:p w14:paraId="0E7D8ABD">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经营收入</w:t>
            </w:r>
          </w:p>
        </w:tc>
        <w:tc>
          <w:tcPr>
            <w:tcW w:w="558" w:type="pct"/>
            <w:tcBorders>
              <w:top w:val="single" w:color="000000" w:sz="4" w:space="0"/>
              <w:left w:val="nil"/>
              <w:bottom w:val="single" w:color="000000" w:sz="4" w:space="0"/>
              <w:right w:val="single" w:color="000000" w:sz="4" w:space="0"/>
            </w:tcBorders>
            <w:shd w:val="clear" w:color="auto" w:fill="auto"/>
            <w:vAlign w:val="center"/>
          </w:tcPr>
          <w:p w14:paraId="3DA55D37">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附属单位上缴收入</w:t>
            </w:r>
          </w:p>
        </w:tc>
        <w:tc>
          <w:tcPr>
            <w:tcW w:w="419" w:type="pct"/>
            <w:tcBorders>
              <w:top w:val="single" w:color="000000" w:sz="4" w:space="0"/>
              <w:left w:val="nil"/>
              <w:bottom w:val="single" w:color="000000" w:sz="4" w:space="0"/>
              <w:right w:val="single" w:color="000000" w:sz="4" w:space="0"/>
            </w:tcBorders>
            <w:shd w:val="clear" w:color="auto" w:fill="auto"/>
            <w:vAlign w:val="center"/>
          </w:tcPr>
          <w:p w14:paraId="45125022">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其他收入</w:t>
            </w:r>
          </w:p>
        </w:tc>
      </w:tr>
      <w:tr w14:paraId="5F713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48" w:type="pct"/>
            <w:vMerge w:val="restart"/>
            <w:tcBorders>
              <w:top w:val="nil"/>
              <w:left w:val="single" w:color="000000" w:sz="4" w:space="0"/>
              <w:bottom w:val="single" w:color="000000" w:sz="4" w:space="0"/>
              <w:right w:val="single" w:color="000000" w:sz="4" w:space="0"/>
            </w:tcBorders>
            <w:shd w:val="clear" w:color="auto" w:fill="auto"/>
            <w:noWrap/>
            <w:vAlign w:val="center"/>
          </w:tcPr>
          <w:p w14:paraId="051055CC">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类</w:t>
            </w:r>
          </w:p>
        </w:tc>
        <w:tc>
          <w:tcPr>
            <w:tcW w:w="148" w:type="pct"/>
            <w:vMerge w:val="restart"/>
            <w:tcBorders>
              <w:top w:val="nil"/>
              <w:left w:val="nil"/>
              <w:bottom w:val="single" w:color="000000" w:sz="4" w:space="0"/>
              <w:right w:val="single" w:color="000000" w:sz="4" w:space="0"/>
            </w:tcBorders>
            <w:shd w:val="clear" w:color="auto" w:fill="auto"/>
            <w:noWrap/>
            <w:vAlign w:val="center"/>
          </w:tcPr>
          <w:p w14:paraId="16599877">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款</w:t>
            </w:r>
          </w:p>
        </w:tc>
        <w:tc>
          <w:tcPr>
            <w:tcW w:w="168" w:type="pct"/>
            <w:vMerge w:val="restart"/>
            <w:tcBorders>
              <w:top w:val="nil"/>
              <w:left w:val="nil"/>
              <w:bottom w:val="single" w:color="000000" w:sz="4" w:space="0"/>
              <w:right w:val="single" w:color="000000" w:sz="4" w:space="0"/>
            </w:tcBorders>
            <w:shd w:val="clear" w:color="auto" w:fill="auto"/>
            <w:noWrap/>
            <w:vAlign w:val="center"/>
          </w:tcPr>
          <w:p w14:paraId="26039263">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项</w:t>
            </w:r>
          </w:p>
        </w:tc>
        <w:tc>
          <w:tcPr>
            <w:tcW w:w="1178" w:type="pct"/>
            <w:tcBorders>
              <w:top w:val="nil"/>
              <w:left w:val="nil"/>
              <w:bottom w:val="single" w:color="000000" w:sz="4" w:space="0"/>
              <w:right w:val="single" w:color="000000" w:sz="4" w:space="0"/>
            </w:tcBorders>
            <w:shd w:val="clear" w:color="auto" w:fill="auto"/>
            <w:noWrap/>
            <w:vAlign w:val="center"/>
          </w:tcPr>
          <w:p w14:paraId="355494CF">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栏次</w:t>
            </w:r>
          </w:p>
        </w:tc>
        <w:tc>
          <w:tcPr>
            <w:tcW w:w="499" w:type="pct"/>
            <w:tcBorders>
              <w:top w:val="nil"/>
              <w:left w:val="nil"/>
              <w:bottom w:val="single" w:color="000000" w:sz="4" w:space="0"/>
              <w:right w:val="single" w:color="000000" w:sz="4" w:space="0"/>
            </w:tcBorders>
            <w:shd w:val="clear" w:color="auto" w:fill="auto"/>
            <w:vAlign w:val="center"/>
          </w:tcPr>
          <w:p w14:paraId="438E3B51">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1</w:t>
            </w:r>
          </w:p>
        </w:tc>
        <w:tc>
          <w:tcPr>
            <w:tcW w:w="519" w:type="pct"/>
            <w:tcBorders>
              <w:top w:val="nil"/>
              <w:left w:val="nil"/>
              <w:bottom w:val="single" w:color="000000" w:sz="4" w:space="0"/>
              <w:right w:val="single" w:color="000000" w:sz="4" w:space="0"/>
            </w:tcBorders>
            <w:shd w:val="clear" w:color="auto" w:fill="auto"/>
            <w:vAlign w:val="center"/>
          </w:tcPr>
          <w:p w14:paraId="7C832A33">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2</w:t>
            </w:r>
          </w:p>
        </w:tc>
        <w:tc>
          <w:tcPr>
            <w:tcW w:w="519" w:type="pct"/>
            <w:tcBorders>
              <w:top w:val="nil"/>
              <w:left w:val="nil"/>
              <w:bottom w:val="single" w:color="000000" w:sz="4" w:space="0"/>
              <w:right w:val="single" w:color="000000" w:sz="4" w:space="0"/>
            </w:tcBorders>
            <w:shd w:val="clear" w:color="auto" w:fill="auto"/>
            <w:vAlign w:val="center"/>
          </w:tcPr>
          <w:p w14:paraId="3EB9D6CD">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3</w:t>
            </w:r>
          </w:p>
        </w:tc>
        <w:tc>
          <w:tcPr>
            <w:tcW w:w="419" w:type="pct"/>
            <w:tcBorders>
              <w:top w:val="nil"/>
              <w:left w:val="nil"/>
              <w:bottom w:val="single" w:color="000000" w:sz="4" w:space="0"/>
              <w:right w:val="single" w:color="000000" w:sz="4" w:space="0"/>
            </w:tcBorders>
            <w:shd w:val="clear" w:color="auto" w:fill="auto"/>
            <w:vAlign w:val="center"/>
          </w:tcPr>
          <w:p w14:paraId="705EBBF2">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4</w:t>
            </w:r>
          </w:p>
        </w:tc>
        <w:tc>
          <w:tcPr>
            <w:tcW w:w="419" w:type="pct"/>
            <w:tcBorders>
              <w:top w:val="nil"/>
              <w:left w:val="nil"/>
              <w:bottom w:val="single" w:color="000000" w:sz="4" w:space="0"/>
              <w:right w:val="single" w:color="000000" w:sz="4" w:space="0"/>
            </w:tcBorders>
            <w:shd w:val="clear" w:color="auto" w:fill="auto"/>
            <w:vAlign w:val="center"/>
          </w:tcPr>
          <w:p w14:paraId="0519ED09">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5</w:t>
            </w:r>
          </w:p>
        </w:tc>
        <w:tc>
          <w:tcPr>
            <w:tcW w:w="558" w:type="pct"/>
            <w:tcBorders>
              <w:top w:val="nil"/>
              <w:left w:val="nil"/>
              <w:bottom w:val="single" w:color="000000" w:sz="4" w:space="0"/>
              <w:right w:val="single" w:color="000000" w:sz="4" w:space="0"/>
            </w:tcBorders>
            <w:shd w:val="clear" w:color="auto" w:fill="auto"/>
            <w:vAlign w:val="center"/>
          </w:tcPr>
          <w:p w14:paraId="275C54B8">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6</w:t>
            </w:r>
          </w:p>
        </w:tc>
        <w:tc>
          <w:tcPr>
            <w:tcW w:w="419" w:type="pct"/>
            <w:tcBorders>
              <w:top w:val="nil"/>
              <w:left w:val="nil"/>
              <w:bottom w:val="single" w:color="000000" w:sz="4" w:space="0"/>
              <w:right w:val="single" w:color="000000" w:sz="4" w:space="0"/>
            </w:tcBorders>
            <w:shd w:val="clear" w:color="auto" w:fill="auto"/>
            <w:vAlign w:val="center"/>
          </w:tcPr>
          <w:p w14:paraId="5024DFD8">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7</w:t>
            </w:r>
          </w:p>
        </w:tc>
      </w:tr>
      <w:tr w14:paraId="5119D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48" w:type="pct"/>
            <w:vMerge w:val="continue"/>
            <w:tcBorders>
              <w:top w:val="nil"/>
              <w:left w:val="single" w:color="000000" w:sz="4" w:space="0"/>
              <w:bottom w:val="single" w:color="000000" w:sz="4" w:space="0"/>
              <w:right w:val="single" w:color="000000" w:sz="4" w:space="0"/>
            </w:tcBorders>
            <w:shd w:val="clear" w:color="auto" w:fill="auto"/>
            <w:noWrap/>
            <w:vAlign w:val="center"/>
          </w:tcPr>
          <w:p w14:paraId="1443541D">
            <w:pPr>
              <w:jc w:val="center"/>
              <w:rPr>
                <w:rFonts w:hint="eastAsia" w:ascii="黑体" w:hAnsi="黑体" w:eastAsia="黑体" w:cs="黑体"/>
                <w:i w:val="0"/>
                <w:iCs w:val="0"/>
                <w:color w:val="000000"/>
                <w:sz w:val="22"/>
                <w:szCs w:val="22"/>
                <w:u w:val="none"/>
              </w:rPr>
            </w:pPr>
          </w:p>
        </w:tc>
        <w:tc>
          <w:tcPr>
            <w:tcW w:w="148" w:type="pct"/>
            <w:vMerge w:val="continue"/>
            <w:tcBorders>
              <w:top w:val="nil"/>
              <w:left w:val="nil"/>
              <w:bottom w:val="single" w:color="000000" w:sz="4" w:space="0"/>
              <w:right w:val="single" w:color="000000" w:sz="4" w:space="0"/>
            </w:tcBorders>
            <w:shd w:val="clear" w:color="auto" w:fill="auto"/>
            <w:noWrap/>
            <w:vAlign w:val="center"/>
          </w:tcPr>
          <w:p w14:paraId="5186690D">
            <w:pPr>
              <w:jc w:val="center"/>
              <w:rPr>
                <w:rFonts w:hint="eastAsia" w:ascii="黑体" w:hAnsi="黑体" w:eastAsia="黑体" w:cs="黑体"/>
                <w:i w:val="0"/>
                <w:iCs w:val="0"/>
                <w:color w:val="000000"/>
                <w:sz w:val="22"/>
                <w:szCs w:val="22"/>
                <w:u w:val="none"/>
              </w:rPr>
            </w:pPr>
          </w:p>
        </w:tc>
        <w:tc>
          <w:tcPr>
            <w:tcW w:w="168" w:type="pct"/>
            <w:vMerge w:val="continue"/>
            <w:tcBorders>
              <w:top w:val="nil"/>
              <w:left w:val="nil"/>
              <w:bottom w:val="single" w:color="000000" w:sz="4" w:space="0"/>
              <w:right w:val="single" w:color="000000" w:sz="4" w:space="0"/>
            </w:tcBorders>
            <w:shd w:val="clear" w:color="auto" w:fill="auto"/>
            <w:noWrap/>
            <w:vAlign w:val="center"/>
          </w:tcPr>
          <w:p w14:paraId="01FF29CB">
            <w:pPr>
              <w:jc w:val="center"/>
              <w:rPr>
                <w:rFonts w:hint="eastAsia" w:ascii="黑体" w:hAnsi="黑体" w:eastAsia="黑体" w:cs="黑体"/>
                <w:i w:val="0"/>
                <w:iCs w:val="0"/>
                <w:color w:val="000000"/>
                <w:sz w:val="22"/>
                <w:szCs w:val="22"/>
                <w:u w:val="none"/>
              </w:rPr>
            </w:pPr>
          </w:p>
        </w:tc>
        <w:tc>
          <w:tcPr>
            <w:tcW w:w="1178" w:type="pct"/>
            <w:tcBorders>
              <w:top w:val="nil"/>
              <w:left w:val="nil"/>
              <w:bottom w:val="single" w:color="000000" w:sz="4" w:space="0"/>
              <w:right w:val="single" w:color="000000" w:sz="4" w:space="0"/>
            </w:tcBorders>
            <w:shd w:val="clear" w:color="auto" w:fill="auto"/>
            <w:noWrap/>
            <w:vAlign w:val="center"/>
          </w:tcPr>
          <w:p w14:paraId="486530F3">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合计</w:t>
            </w:r>
          </w:p>
        </w:tc>
        <w:tc>
          <w:tcPr>
            <w:tcW w:w="499" w:type="pct"/>
            <w:tcBorders>
              <w:top w:val="nil"/>
              <w:left w:val="nil"/>
              <w:bottom w:val="single" w:color="000000" w:sz="4" w:space="0"/>
              <w:right w:val="single" w:color="000000" w:sz="4" w:space="0"/>
            </w:tcBorders>
            <w:shd w:val="clear" w:color="auto" w:fill="auto"/>
            <w:noWrap/>
            <w:vAlign w:val="center"/>
          </w:tcPr>
          <w:p w14:paraId="02348BC8">
            <w:pPr>
              <w:keepNext w:val="0"/>
              <w:keepLines w:val="0"/>
              <w:widowControl/>
              <w:suppressLineNumbers w:val="0"/>
              <w:jc w:val="right"/>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990.15</w:t>
            </w:r>
          </w:p>
        </w:tc>
        <w:tc>
          <w:tcPr>
            <w:tcW w:w="519" w:type="pct"/>
            <w:tcBorders>
              <w:top w:val="nil"/>
              <w:left w:val="nil"/>
              <w:bottom w:val="single" w:color="000000" w:sz="4" w:space="0"/>
              <w:right w:val="single" w:color="000000" w:sz="4" w:space="0"/>
            </w:tcBorders>
            <w:shd w:val="clear" w:color="auto" w:fill="auto"/>
            <w:noWrap/>
            <w:vAlign w:val="center"/>
          </w:tcPr>
          <w:p w14:paraId="6305D2F4">
            <w:pPr>
              <w:keepNext w:val="0"/>
              <w:keepLines w:val="0"/>
              <w:widowControl/>
              <w:suppressLineNumbers w:val="0"/>
              <w:jc w:val="right"/>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990.15</w:t>
            </w:r>
          </w:p>
        </w:tc>
        <w:tc>
          <w:tcPr>
            <w:tcW w:w="519" w:type="pct"/>
            <w:tcBorders>
              <w:top w:val="nil"/>
              <w:left w:val="nil"/>
              <w:bottom w:val="single" w:color="000000" w:sz="4" w:space="0"/>
              <w:right w:val="single" w:color="000000" w:sz="4" w:space="0"/>
            </w:tcBorders>
            <w:shd w:val="clear" w:color="auto" w:fill="auto"/>
            <w:noWrap/>
            <w:vAlign w:val="center"/>
          </w:tcPr>
          <w:p w14:paraId="17513CC7">
            <w:pPr>
              <w:keepNext w:val="0"/>
              <w:keepLines w:val="0"/>
              <w:widowControl/>
              <w:suppressLineNumbers w:val="0"/>
              <w:jc w:val="right"/>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62684FE">
            <w:pPr>
              <w:keepNext w:val="0"/>
              <w:keepLines w:val="0"/>
              <w:widowControl/>
              <w:suppressLineNumbers w:val="0"/>
              <w:jc w:val="right"/>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C09FB7D">
            <w:pPr>
              <w:keepNext w:val="0"/>
              <w:keepLines w:val="0"/>
              <w:widowControl/>
              <w:suppressLineNumbers w:val="0"/>
              <w:jc w:val="right"/>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0.00</w:t>
            </w:r>
          </w:p>
        </w:tc>
        <w:tc>
          <w:tcPr>
            <w:tcW w:w="558" w:type="pct"/>
            <w:tcBorders>
              <w:top w:val="nil"/>
              <w:left w:val="nil"/>
              <w:bottom w:val="single" w:color="000000" w:sz="4" w:space="0"/>
              <w:right w:val="single" w:color="000000" w:sz="4" w:space="0"/>
            </w:tcBorders>
            <w:shd w:val="clear" w:color="auto" w:fill="auto"/>
            <w:noWrap/>
            <w:vAlign w:val="center"/>
          </w:tcPr>
          <w:p w14:paraId="66BD653D">
            <w:pPr>
              <w:keepNext w:val="0"/>
              <w:keepLines w:val="0"/>
              <w:widowControl/>
              <w:suppressLineNumbers w:val="0"/>
              <w:jc w:val="right"/>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645D805">
            <w:pPr>
              <w:keepNext w:val="0"/>
              <w:keepLines w:val="0"/>
              <w:widowControl/>
              <w:suppressLineNumbers w:val="0"/>
              <w:jc w:val="right"/>
              <w:textAlignment w:val="center"/>
              <w:rPr>
                <w:rFonts w:hint="eastAsia" w:ascii="黑体" w:hAnsi="黑体" w:eastAsia="黑体" w:cs="黑体"/>
                <w:b w:val="0"/>
                <w:bCs w:val="0"/>
                <w:i w:val="0"/>
                <w:iCs w:val="0"/>
                <w:color w:val="000000"/>
                <w:sz w:val="22"/>
                <w:szCs w:val="22"/>
                <w:u w:val="none"/>
              </w:rPr>
            </w:pPr>
            <w:r>
              <w:rPr>
                <w:rFonts w:hint="eastAsia" w:ascii="黑体" w:hAnsi="黑体" w:eastAsia="黑体" w:cs="黑体"/>
                <w:b w:val="0"/>
                <w:bCs w:val="0"/>
                <w:i w:val="0"/>
                <w:iCs w:val="0"/>
                <w:color w:val="000000"/>
                <w:kern w:val="0"/>
                <w:sz w:val="22"/>
                <w:szCs w:val="22"/>
                <w:u w:val="none"/>
                <w:lang w:val="en-US" w:eastAsia="zh-CN" w:bidi="ar"/>
              </w:rPr>
              <w:t>0.00</w:t>
            </w:r>
          </w:p>
        </w:tc>
      </w:tr>
      <w:tr w14:paraId="7CBB7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64" w:type="pct"/>
            <w:gridSpan w:val="3"/>
            <w:tcBorders>
              <w:top w:val="nil"/>
              <w:left w:val="single" w:color="000000" w:sz="4" w:space="0"/>
              <w:bottom w:val="single" w:color="000000" w:sz="4" w:space="0"/>
              <w:right w:val="single" w:color="000000" w:sz="4" w:space="0"/>
            </w:tcBorders>
            <w:shd w:val="clear" w:color="auto" w:fill="auto"/>
            <w:noWrap/>
            <w:vAlign w:val="center"/>
          </w:tcPr>
          <w:p w14:paraId="4477F7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178" w:type="pct"/>
            <w:tcBorders>
              <w:top w:val="nil"/>
              <w:left w:val="nil"/>
              <w:bottom w:val="single" w:color="000000" w:sz="4" w:space="0"/>
              <w:right w:val="single" w:color="000000" w:sz="4" w:space="0"/>
            </w:tcBorders>
            <w:shd w:val="clear" w:color="auto" w:fill="auto"/>
            <w:noWrap/>
            <w:vAlign w:val="center"/>
          </w:tcPr>
          <w:p w14:paraId="64497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499" w:type="pct"/>
            <w:tcBorders>
              <w:top w:val="nil"/>
              <w:left w:val="nil"/>
              <w:bottom w:val="single" w:color="000000" w:sz="4" w:space="0"/>
              <w:right w:val="single" w:color="000000" w:sz="4" w:space="0"/>
            </w:tcBorders>
            <w:shd w:val="clear" w:color="auto" w:fill="auto"/>
            <w:noWrap/>
            <w:vAlign w:val="center"/>
          </w:tcPr>
          <w:p w14:paraId="3D20E9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990.15</w:t>
            </w:r>
          </w:p>
        </w:tc>
        <w:tc>
          <w:tcPr>
            <w:tcW w:w="519" w:type="pct"/>
            <w:tcBorders>
              <w:top w:val="nil"/>
              <w:left w:val="nil"/>
              <w:bottom w:val="single" w:color="000000" w:sz="4" w:space="0"/>
              <w:right w:val="single" w:color="000000" w:sz="4" w:space="0"/>
            </w:tcBorders>
            <w:shd w:val="clear" w:color="auto" w:fill="auto"/>
            <w:noWrap/>
            <w:vAlign w:val="center"/>
          </w:tcPr>
          <w:p w14:paraId="0B5063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990.15</w:t>
            </w:r>
          </w:p>
        </w:tc>
        <w:tc>
          <w:tcPr>
            <w:tcW w:w="519" w:type="pct"/>
            <w:tcBorders>
              <w:top w:val="nil"/>
              <w:left w:val="nil"/>
              <w:bottom w:val="single" w:color="000000" w:sz="4" w:space="0"/>
              <w:right w:val="single" w:color="000000" w:sz="4" w:space="0"/>
            </w:tcBorders>
            <w:shd w:val="clear" w:color="auto" w:fill="auto"/>
            <w:noWrap/>
            <w:vAlign w:val="center"/>
          </w:tcPr>
          <w:p w14:paraId="66A983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CFA8E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67C00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58" w:type="pct"/>
            <w:tcBorders>
              <w:top w:val="nil"/>
              <w:left w:val="nil"/>
              <w:bottom w:val="single" w:color="000000" w:sz="4" w:space="0"/>
              <w:right w:val="single" w:color="000000" w:sz="4" w:space="0"/>
            </w:tcBorders>
            <w:shd w:val="clear" w:color="auto" w:fill="auto"/>
            <w:noWrap/>
            <w:vAlign w:val="center"/>
          </w:tcPr>
          <w:p w14:paraId="02E73F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E7A9B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0F4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64" w:type="pct"/>
            <w:gridSpan w:val="3"/>
            <w:tcBorders>
              <w:top w:val="nil"/>
              <w:left w:val="single" w:color="000000" w:sz="4" w:space="0"/>
              <w:bottom w:val="single" w:color="000000" w:sz="4" w:space="0"/>
              <w:right w:val="single" w:color="000000" w:sz="4" w:space="0"/>
            </w:tcBorders>
            <w:shd w:val="clear" w:color="auto" w:fill="auto"/>
            <w:noWrap/>
            <w:vAlign w:val="center"/>
          </w:tcPr>
          <w:p w14:paraId="5B9F35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w:t>
            </w:r>
          </w:p>
        </w:tc>
        <w:tc>
          <w:tcPr>
            <w:tcW w:w="1178" w:type="pct"/>
            <w:tcBorders>
              <w:top w:val="nil"/>
              <w:left w:val="nil"/>
              <w:bottom w:val="single" w:color="000000" w:sz="4" w:space="0"/>
              <w:right w:val="single" w:color="000000" w:sz="4" w:space="0"/>
            </w:tcBorders>
            <w:shd w:val="clear" w:color="auto" w:fill="auto"/>
            <w:noWrap/>
            <w:vAlign w:val="center"/>
          </w:tcPr>
          <w:p w14:paraId="5A8E93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医疗保障管理事务</w:t>
            </w:r>
          </w:p>
        </w:tc>
        <w:tc>
          <w:tcPr>
            <w:tcW w:w="499" w:type="pct"/>
            <w:tcBorders>
              <w:top w:val="nil"/>
              <w:left w:val="nil"/>
              <w:bottom w:val="single" w:color="000000" w:sz="4" w:space="0"/>
              <w:right w:val="single" w:color="000000" w:sz="4" w:space="0"/>
            </w:tcBorders>
            <w:shd w:val="clear" w:color="auto" w:fill="auto"/>
            <w:noWrap/>
            <w:vAlign w:val="center"/>
          </w:tcPr>
          <w:p w14:paraId="1CA4B1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990.15</w:t>
            </w:r>
          </w:p>
        </w:tc>
        <w:tc>
          <w:tcPr>
            <w:tcW w:w="519" w:type="pct"/>
            <w:tcBorders>
              <w:top w:val="nil"/>
              <w:left w:val="nil"/>
              <w:bottom w:val="single" w:color="000000" w:sz="4" w:space="0"/>
              <w:right w:val="single" w:color="000000" w:sz="4" w:space="0"/>
            </w:tcBorders>
            <w:shd w:val="clear" w:color="auto" w:fill="auto"/>
            <w:noWrap/>
            <w:vAlign w:val="center"/>
          </w:tcPr>
          <w:p w14:paraId="5A0401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990.15</w:t>
            </w:r>
          </w:p>
        </w:tc>
        <w:tc>
          <w:tcPr>
            <w:tcW w:w="519" w:type="pct"/>
            <w:tcBorders>
              <w:top w:val="nil"/>
              <w:left w:val="nil"/>
              <w:bottom w:val="single" w:color="000000" w:sz="4" w:space="0"/>
              <w:right w:val="single" w:color="000000" w:sz="4" w:space="0"/>
            </w:tcBorders>
            <w:shd w:val="clear" w:color="auto" w:fill="auto"/>
            <w:noWrap/>
            <w:vAlign w:val="center"/>
          </w:tcPr>
          <w:p w14:paraId="154F15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F244B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3DABF9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58" w:type="pct"/>
            <w:tcBorders>
              <w:top w:val="nil"/>
              <w:left w:val="nil"/>
              <w:bottom w:val="single" w:color="000000" w:sz="4" w:space="0"/>
              <w:right w:val="single" w:color="000000" w:sz="4" w:space="0"/>
            </w:tcBorders>
            <w:shd w:val="clear" w:color="auto" w:fill="auto"/>
            <w:noWrap/>
            <w:vAlign w:val="center"/>
          </w:tcPr>
          <w:p w14:paraId="41F540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684E14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B8B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64" w:type="pct"/>
            <w:gridSpan w:val="3"/>
            <w:tcBorders>
              <w:top w:val="nil"/>
              <w:left w:val="single" w:color="000000" w:sz="4" w:space="0"/>
              <w:bottom w:val="single" w:color="000000" w:sz="4" w:space="0"/>
              <w:right w:val="single" w:color="000000" w:sz="4" w:space="0"/>
            </w:tcBorders>
            <w:shd w:val="clear" w:color="auto" w:fill="auto"/>
            <w:noWrap/>
            <w:vAlign w:val="center"/>
          </w:tcPr>
          <w:p w14:paraId="4E41EF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2101501</w:t>
            </w:r>
          </w:p>
        </w:tc>
        <w:tc>
          <w:tcPr>
            <w:tcW w:w="1178" w:type="pct"/>
            <w:tcBorders>
              <w:top w:val="nil"/>
              <w:left w:val="nil"/>
              <w:bottom w:val="single" w:color="000000" w:sz="4" w:space="0"/>
              <w:right w:val="single" w:color="000000" w:sz="4" w:space="0"/>
            </w:tcBorders>
            <w:shd w:val="clear" w:color="auto" w:fill="auto"/>
            <w:noWrap/>
            <w:vAlign w:val="center"/>
          </w:tcPr>
          <w:p w14:paraId="0A5B59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499" w:type="pct"/>
            <w:tcBorders>
              <w:top w:val="nil"/>
              <w:left w:val="nil"/>
              <w:bottom w:val="single" w:color="000000" w:sz="4" w:space="0"/>
              <w:right w:val="single" w:color="000000" w:sz="4" w:space="0"/>
            </w:tcBorders>
            <w:shd w:val="clear" w:color="auto" w:fill="auto"/>
            <w:noWrap/>
            <w:vAlign w:val="center"/>
          </w:tcPr>
          <w:p w14:paraId="7DE125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71.30</w:t>
            </w:r>
          </w:p>
        </w:tc>
        <w:tc>
          <w:tcPr>
            <w:tcW w:w="519" w:type="pct"/>
            <w:tcBorders>
              <w:top w:val="nil"/>
              <w:left w:val="nil"/>
              <w:bottom w:val="single" w:color="000000" w:sz="4" w:space="0"/>
              <w:right w:val="single" w:color="000000" w:sz="4" w:space="0"/>
            </w:tcBorders>
            <w:shd w:val="clear" w:color="auto" w:fill="auto"/>
            <w:noWrap/>
            <w:vAlign w:val="center"/>
          </w:tcPr>
          <w:p w14:paraId="4FCF3D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71.30</w:t>
            </w:r>
          </w:p>
        </w:tc>
        <w:tc>
          <w:tcPr>
            <w:tcW w:w="519" w:type="pct"/>
            <w:tcBorders>
              <w:top w:val="nil"/>
              <w:left w:val="nil"/>
              <w:bottom w:val="single" w:color="000000" w:sz="4" w:space="0"/>
              <w:right w:val="single" w:color="000000" w:sz="4" w:space="0"/>
            </w:tcBorders>
            <w:shd w:val="clear" w:color="auto" w:fill="auto"/>
            <w:noWrap/>
            <w:vAlign w:val="center"/>
          </w:tcPr>
          <w:p w14:paraId="16889E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DF26B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D5EBC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58" w:type="pct"/>
            <w:tcBorders>
              <w:top w:val="nil"/>
              <w:left w:val="nil"/>
              <w:bottom w:val="single" w:color="000000" w:sz="4" w:space="0"/>
              <w:right w:val="single" w:color="000000" w:sz="4" w:space="0"/>
            </w:tcBorders>
            <w:shd w:val="clear" w:color="auto" w:fill="auto"/>
            <w:noWrap/>
            <w:vAlign w:val="center"/>
          </w:tcPr>
          <w:p w14:paraId="25935A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08C46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373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64" w:type="pct"/>
            <w:gridSpan w:val="3"/>
            <w:tcBorders>
              <w:top w:val="nil"/>
              <w:left w:val="single" w:color="000000" w:sz="4" w:space="0"/>
              <w:bottom w:val="single" w:color="000000" w:sz="4" w:space="0"/>
              <w:right w:val="single" w:color="000000" w:sz="4" w:space="0"/>
            </w:tcBorders>
            <w:shd w:val="clear" w:color="auto" w:fill="auto"/>
            <w:noWrap/>
            <w:vAlign w:val="center"/>
          </w:tcPr>
          <w:p w14:paraId="33A856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2101505</w:t>
            </w:r>
          </w:p>
        </w:tc>
        <w:tc>
          <w:tcPr>
            <w:tcW w:w="1178" w:type="pct"/>
            <w:tcBorders>
              <w:top w:val="nil"/>
              <w:left w:val="nil"/>
              <w:bottom w:val="single" w:color="000000" w:sz="4" w:space="0"/>
              <w:right w:val="single" w:color="000000" w:sz="4" w:space="0"/>
            </w:tcBorders>
            <w:shd w:val="clear" w:color="auto" w:fill="auto"/>
            <w:noWrap/>
            <w:vAlign w:val="center"/>
          </w:tcPr>
          <w:p w14:paraId="3DEFCC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医疗保障政策管理</w:t>
            </w:r>
          </w:p>
        </w:tc>
        <w:tc>
          <w:tcPr>
            <w:tcW w:w="499" w:type="pct"/>
            <w:tcBorders>
              <w:top w:val="nil"/>
              <w:left w:val="nil"/>
              <w:bottom w:val="single" w:color="000000" w:sz="4" w:space="0"/>
              <w:right w:val="single" w:color="000000" w:sz="4" w:space="0"/>
            </w:tcBorders>
            <w:shd w:val="clear" w:color="auto" w:fill="auto"/>
            <w:noWrap/>
            <w:vAlign w:val="center"/>
          </w:tcPr>
          <w:p w14:paraId="3E6931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490.00</w:t>
            </w:r>
          </w:p>
        </w:tc>
        <w:tc>
          <w:tcPr>
            <w:tcW w:w="519" w:type="pct"/>
            <w:tcBorders>
              <w:top w:val="nil"/>
              <w:left w:val="nil"/>
              <w:bottom w:val="single" w:color="000000" w:sz="4" w:space="0"/>
              <w:right w:val="single" w:color="000000" w:sz="4" w:space="0"/>
            </w:tcBorders>
            <w:shd w:val="clear" w:color="auto" w:fill="auto"/>
            <w:noWrap/>
            <w:vAlign w:val="center"/>
          </w:tcPr>
          <w:p w14:paraId="076EFE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490.00</w:t>
            </w:r>
          </w:p>
        </w:tc>
        <w:tc>
          <w:tcPr>
            <w:tcW w:w="519" w:type="pct"/>
            <w:tcBorders>
              <w:top w:val="nil"/>
              <w:left w:val="nil"/>
              <w:bottom w:val="single" w:color="000000" w:sz="4" w:space="0"/>
              <w:right w:val="single" w:color="000000" w:sz="4" w:space="0"/>
            </w:tcBorders>
            <w:shd w:val="clear" w:color="auto" w:fill="auto"/>
            <w:noWrap/>
            <w:vAlign w:val="center"/>
          </w:tcPr>
          <w:p w14:paraId="6B9B6C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558266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129D20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58" w:type="pct"/>
            <w:tcBorders>
              <w:top w:val="nil"/>
              <w:left w:val="nil"/>
              <w:bottom w:val="single" w:color="000000" w:sz="4" w:space="0"/>
              <w:right w:val="single" w:color="000000" w:sz="4" w:space="0"/>
            </w:tcBorders>
            <w:shd w:val="clear" w:color="auto" w:fill="auto"/>
            <w:noWrap/>
            <w:vAlign w:val="center"/>
          </w:tcPr>
          <w:p w14:paraId="467136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25C1B9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50E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464" w:type="pct"/>
            <w:gridSpan w:val="3"/>
            <w:tcBorders>
              <w:top w:val="nil"/>
              <w:left w:val="single" w:color="000000" w:sz="4" w:space="0"/>
              <w:bottom w:val="single" w:color="000000" w:sz="4" w:space="0"/>
              <w:right w:val="single" w:color="000000" w:sz="4" w:space="0"/>
            </w:tcBorders>
            <w:shd w:val="clear" w:color="auto" w:fill="auto"/>
            <w:noWrap/>
            <w:vAlign w:val="center"/>
          </w:tcPr>
          <w:p w14:paraId="76DA55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2101599</w:t>
            </w:r>
          </w:p>
        </w:tc>
        <w:tc>
          <w:tcPr>
            <w:tcW w:w="1178" w:type="pct"/>
            <w:tcBorders>
              <w:top w:val="nil"/>
              <w:left w:val="nil"/>
              <w:bottom w:val="single" w:color="000000" w:sz="4" w:space="0"/>
              <w:right w:val="single" w:color="000000" w:sz="4" w:space="0"/>
            </w:tcBorders>
            <w:shd w:val="clear" w:color="auto" w:fill="auto"/>
            <w:noWrap/>
            <w:vAlign w:val="center"/>
          </w:tcPr>
          <w:p w14:paraId="31FB38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其他医疗保障管理事务支出</w:t>
            </w:r>
          </w:p>
        </w:tc>
        <w:tc>
          <w:tcPr>
            <w:tcW w:w="499" w:type="pct"/>
            <w:tcBorders>
              <w:top w:val="nil"/>
              <w:left w:val="nil"/>
              <w:bottom w:val="single" w:color="000000" w:sz="4" w:space="0"/>
              <w:right w:val="single" w:color="000000" w:sz="4" w:space="0"/>
            </w:tcBorders>
            <w:shd w:val="clear" w:color="auto" w:fill="auto"/>
            <w:noWrap/>
            <w:vAlign w:val="center"/>
          </w:tcPr>
          <w:p w14:paraId="7DB49D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428.86</w:t>
            </w:r>
          </w:p>
        </w:tc>
        <w:tc>
          <w:tcPr>
            <w:tcW w:w="519" w:type="pct"/>
            <w:tcBorders>
              <w:top w:val="nil"/>
              <w:left w:val="nil"/>
              <w:bottom w:val="single" w:color="000000" w:sz="4" w:space="0"/>
              <w:right w:val="single" w:color="000000" w:sz="4" w:space="0"/>
            </w:tcBorders>
            <w:shd w:val="clear" w:color="auto" w:fill="auto"/>
            <w:noWrap/>
            <w:vAlign w:val="center"/>
          </w:tcPr>
          <w:p w14:paraId="2C6A50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428.86</w:t>
            </w:r>
          </w:p>
        </w:tc>
        <w:tc>
          <w:tcPr>
            <w:tcW w:w="519" w:type="pct"/>
            <w:tcBorders>
              <w:top w:val="nil"/>
              <w:left w:val="nil"/>
              <w:bottom w:val="single" w:color="000000" w:sz="4" w:space="0"/>
              <w:right w:val="single" w:color="000000" w:sz="4" w:space="0"/>
            </w:tcBorders>
            <w:shd w:val="clear" w:color="auto" w:fill="auto"/>
            <w:noWrap/>
            <w:vAlign w:val="center"/>
          </w:tcPr>
          <w:p w14:paraId="0F38BC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72FDB4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F16D8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58" w:type="pct"/>
            <w:tcBorders>
              <w:top w:val="nil"/>
              <w:left w:val="nil"/>
              <w:bottom w:val="single" w:color="000000" w:sz="4" w:space="0"/>
              <w:right w:val="single" w:color="000000" w:sz="4" w:space="0"/>
            </w:tcBorders>
            <w:shd w:val="clear" w:color="auto" w:fill="auto"/>
            <w:noWrap/>
            <w:vAlign w:val="center"/>
          </w:tcPr>
          <w:p w14:paraId="5535CF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9" w:type="pct"/>
            <w:tcBorders>
              <w:top w:val="nil"/>
              <w:left w:val="nil"/>
              <w:bottom w:val="single" w:color="000000" w:sz="4" w:space="0"/>
              <w:right w:val="single" w:color="000000" w:sz="4" w:space="0"/>
            </w:tcBorders>
            <w:shd w:val="clear" w:color="auto" w:fill="auto"/>
            <w:noWrap/>
            <w:vAlign w:val="center"/>
          </w:tcPr>
          <w:p w14:paraId="4DA696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38A7E1A3">
      <w:pPr>
        <w:keepNext w:val="0"/>
        <w:keepLines w:val="0"/>
        <w:pageBreakBefore w:val="0"/>
        <w:widowControl w:val="0"/>
        <w:shd w:val="clear"/>
        <w:kinsoku/>
        <w:wordWrap/>
        <w:overflowPunct/>
        <w:topLinePunct w:val="0"/>
        <w:autoSpaceDE/>
        <w:autoSpaceDN/>
        <w:bidi w:val="0"/>
        <w:adjustRightInd/>
        <w:snapToGrid/>
        <w:spacing w:line="300" w:lineRule="exact"/>
        <w:textAlignment w:val="auto"/>
        <w:rPr>
          <w:rFonts w:hint="eastAsia" w:ascii="Times New Roman" w:hAnsi="Times New Roman" w:eastAsia="仿宋_GB2312" w:cs="Times New Roman"/>
          <w:i w:val="0"/>
          <w:iCs w:val="0"/>
        </w:rPr>
      </w:pPr>
      <w:r>
        <w:rPr>
          <w:rFonts w:ascii="Times New Roman" w:hAnsi="Times New Roman" w:eastAsia="仿宋_GB2312" w:cs="Times New Roman"/>
          <w:i w:val="0"/>
          <w:iCs w:val="0"/>
        </w:rPr>
        <w:t>注：</w:t>
      </w:r>
      <w:r>
        <w:rPr>
          <w:rFonts w:hint="eastAsia" w:ascii="Times New Roman" w:hAnsi="Times New Roman" w:eastAsia="仿宋_GB2312" w:cs="Times New Roman"/>
          <w:i w:val="0"/>
          <w:iCs w:val="0"/>
        </w:rPr>
        <w:t>1.本表依据《收入决算表》（财决03表）进行批复。</w:t>
      </w:r>
    </w:p>
    <w:p w14:paraId="3703F934">
      <w:pPr>
        <w:keepNext w:val="0"/>
        <w:keepLines w:val="0"/>
        <w:pageBreakBefore w:val="0"/>
        <w:widowControl w:val="0"/>
        <w:shd w:val="clear"/>
        <w:kinsoku/>
        <w:wordWrap/>
        <w:overflowPunct/>
        <w:topLinePunct w:val="0"/>
        <w:autoSpaceDE/>
        <w:autoSpaceDN/>
        <w:bidi w:val="0"/>
        <w:adjustRightInd/>
        <w:snapToGrid/>
        <w:spacing w:line="300" w:lineRule="exact"/>
        <w:textAlignment w:val="auto"/>
        <w:rPr>
          <w:rFonts w:hint="eastAsia" w:ascii="Times New Roman" w:hAnsi="Times New Roman" w:eastAsia="仿宋_GB2312" w:cs="Times New Roman"/>
          <w:i w:val="0"/>
          <w:iCs w:val="0"/>
        </w:rPr>
      </w:pPr>
      <w:r>
        <w:rPr>
          <w:rFonts w:hint="eastAsia" w:ascii="Times New Roman" w:hAnsi="Times New Roman" w:eastAsia="仿宋_GB2312" w:cs="Times New Roman"/>
          <w:i w:val="0"/>
          <w:iCs w:val="0"/>
        </w:rPr>
        <w:t xml:space="preserve">    2.本表含一般公共预算财政拨款、政府性基金预算财政拨款和国有资本经营预算财政拨款。</w:t>
      </w:r>
    </w:p>
    <w:p w14:paraId="6DF3C015">
      <w:pPr>
        <w:keepNext w:val="0"/>
        <w:keepLines w:val="0"/>
        <w:pageBreakBefore w:val="0"/>
        <w:widowControl w:val="0"/>
        <w:shd w:val="clear"/>
        <w:kinsoku/>
        <w:wordWrap/>
        <w:overflowPunct/>
        <w:topLinePunct w:val="0"/>
        <w:autoSpaceDE/>
        <w:autoSpaceDN/>
        <w:bidi w:val="0"/>
        <w:adjustRightInd/>
        <w:snapToGrid/>
        <w:spacing w:line="300" w:lineRule="exact"/>
        <w:textAlignment w:val="auto"/>
        <w:rPr>
          <w:rFonts w:hint="eastAsia" w:ascii="Times New Roman" w:hAnsi="Times New Roman" w:eastAsia="仿宋_GB2312" w:cs="Times New Roman"/>
          <w:i w:val="0"/>
          <w:iCs w:val="0"/>
        </w:rPr>
      </w:pPr>
      <w:r>
        <w:rPr>
          <w:rFonts w:hint="eastAsia" w:ascii="Times New Roman" w:hAnsi="Times New Roman" w:eastAsia="仿宋_GB2312" w:cs="Times New Roman"/>
          <w:i w:val="0"/>
          <w:iCs w:val="0"/>
        </w:rPr>
        <w:t xml:space="preserve">    3.本表批复到项级科目。</w:t>
      </w:r>
    </w:p>
    <w:p w14:paraId="070AF1EF">
      <w:pPr>
        <w:keepNext w:val="0"/>
        <w:keepLines w:val="0"/>
        <w:pageBreakBefore w:val="0"/>
        <w:widowControl w:val="0"/>
        <w:shd w:val="clear"/>
        <w:kinsoku/>
        <w:wordWrap/>
        <w:overflowPunct/>
        <w:topLinePunct w:val="0"/>
        <w:autoSpaceDE/>
        <w:autoSpaceDN/>
        <w:bidi w:val="0"/>
        <w:adjustRightInd/>
        <w:snapToGrid/>
        <w:spacing w:line="300" w:lineRule="exact"/>
        <w:textAlignment w:val="auto"/>
        <w:rPr>
          <w:rFonts w:ascii="Times New Roman" w:hAnsi="Times New Roman" w:eastAsia="仿宋_GB2312" w:cs="Times New Roman"/>
          <w:i w:val="0"/>
          <w:iCs w:val="0"/>
          <w:sz w:val="24"/>
          <w:szCs w:val="24"/>
        </w:rPr>
      </w:pPr>
      <w:r>
        <w:rPr>
          <w:rFonts w:hint="eastAsia" w:ascii="Times New Roman" w:hAnsi="Times New Roman" w:eastAsia="仿宋_GB2312" w:cs="Times New Roman"/>
          <w:i w:val="0"/>
          <w:iCs w:val="0"/>
        </w:rPr>
        <w:t xml:space="preserve">    4.本表以“万元”为金额单位（保留两位小数）。</w:t>
      </w:r>
    </w:p>
    <w:p w14:paraId="398342BC">
      <w:pPr>
        <w:widowControl/>
        <w:shd w:val="clear"/>
        <w:jc w:val="left"/>
        <w:rPr>
          <w:rFonts w:ascii="Times New Roman" w:hAnsi="Times New Roman" w:eastAsia="黑体" w:cs="Times New Roman"/>
          <w:bCs/>
          <w:i w:val="0"/>
          <w:iCs w:val="0"/>
          <w:kern w:val="0"/>
          <w:sz w:val="32"/>
          <w:szCs w:val="32"/>
        </w:rPr>
      </w:pPr>
      <w:r>
        <w:rPr>
          <w:rFonts w:ascii="Times New Roman" w:hAnsi="Times New Roman" w:eastAsia="黑体" w:cs="Times New Roman"/>
          <w:bCs/>
          <w:i w:val="0"/>
          <w:iCs w:val="0"/>
          <w:kern w:val="0"/>
          <w:sz w:val="32"/>
          <w:szCs w:val="32"/>
        </w:rPr>
        <w:t xml:space="preserve"> </w:t>
      </w:r>
      <w:r>
        <w:rPr>
          <w:rFonts w:ascii="Times New Roman" w:hAnsi="Times New Roman" w:eastAsia="黑体" w:cs="Times New Roman"/>
          <w:bCs/>
          <w:i w:val="0"/>
          <w:iCs w:val="0"/>
          <w:kern w:val="0"/>
          <w:sz w:val="32"/>
          <w:szCs w:val="32"/>
        </w:rPr>
        <w:br w:type="page"/>
      </w:r>
    </w:p>
    <w:p w14:paraId="3A69ABF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支出决算</w:t>
      </w:r>
      <w:r>
        <w:rPr>
          <w:rFonts w:hint="eastAsia" w:ascii="方正小标宋简体" w:hAnsi="方正小标宋简体" w:eastAsia="方正小标宋简体" w:cs="方正小标宋简体"/>
          <w:b w:val="0"/>
          <w:bCs w:val="0"/>
          <w:i w:val="0"/>
          <w:iCs w:val="0"/>
          <w:caps w:val="0"/>
          <w:color w:val="000000"/>
          <w:spacing w:val="0"/>
          <w:sz w:val="44"/>
          <w:szCs w:val="44"/>
          <w:shd w:val="clear" w:color="auto" w:fill="FFFFFF"/>
        </w:rPr>
        <w:t>批复</w:t>
      </w: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表</w:t>
      </w:r>
    </w:p>
    <w:p w14:paraId="44D935CF">
      <w:pPr>
        <w:widowControl/>
        <w:shd w:val="clear"/>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i w:val="0"/>
          <w:iCs w:val="0"/>
          <w:color w:val="000000"/>
          <w:kern w:val="0"/>
          <w:sz w:val="20"/>
          <w:szCs w:val="20"/>
        </w:rPr>
      </w:pP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hint="eastAsia" w:ascii="Times New Roman" w:hAnsi="Times New Roman" w:eastAsia="仿宋_GB2312" w:cs="Times New Roman"/>
          <w:i w:val="0"/>
          <w:iCs w:val="0"/>
          <w:color w:val="000000"/>
          <w:kern w:val="0"/>
          <w:sz w:val="20"/>
          <w:szCs w:val="20"/>
        </w:rPr>
        <w:t>财决批复03</w:t>
      </w:r>
      <w:r>
        <w:rPr>
          <w:rFonts w:ascii="Times New Roman" w:hAnsi="Times New Roman" w:eastAsia="仿宋_GB2312" w:cs="Times New Roman"/>
          <w:i w:val="0"/>
          <w:iCs w:val="0"/>
          <w:color w:val="000000"/>
          <w:kern w:val="0"/>
          <w:sz w:val="20"/>
          <w:szCs w:val="20"/>
        </w:rPr>
        <w:t>表</w:t>
      </w:r>
    </w:p>
    <w:p w14:paraId="0CBBBCC2">
      <w:pPr>
        <w:widowControl/>
        <w:shd w:val="clear"/>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i w:val="0"/>
          <w:iCs w:val="0"/>
          <w:color w:val="000000"/>
          <w:kern w:val="0"/>
          <w:sz w:val="20"/>
          <w:szCs w:val="20"/>
        </w:rPr>
      </w:pPr>
      <w:r>
        <w:rPr>
          <w:rFonts w:ascii="Times New Roman" w:hAnsi="Times New Roman" w:eastAsia="仿宋_GB2312" w:cs="Times New Roman"/>
          <w:i w:val="0"/>
          <w:iCs w:val="0"/>
          <w:color w:val="000000"/>
          <w:sz w:val="20"/>
          <w:szCs w:val="20"/>
        </w:rPr>
        <w:t>部门：</w:t>
      </w:r>
      <w:r>
        <w:rPr>
          <w:rFonts w:hint="eastAsia" w:ascii="Times New Roman" w:hAnsi="Times New Roman" w:eastAsia="仿宋_GB2312" w:cs="Times New Roman"/>
          <w:i w:val="0"/>
          <w:iCs w:val="0"/>
          <w:color w:val="000000"/>
          <w:sz w:val="20"/>
          <w:szCs w:val="20"/>
        </w:rPr>
        <w:t>怀化市医疗保障局</w:t>
      </w:r>
      <w:r>
        <w:rPr>
          <w:rFonts w:ascii="Times New Roman" w:hAnsi="Times New Roman" w:eastAsia="仿宋_GB2312" w:cs="Times New Roman"/>
          <w:i w:val="0"/>
          <w:iCs w:val="0"/>
          <w:sz w:val="20"/>
          <w:szCs w:val="20"/>
        </w:rPr>
        <w:tab/>
      </w:r>
      <w:r>
        <w:rPr>
          <w:rFonts w:ascii="Times New Roman" w:hAnsi="Times New Roman" w:eastAsia="仿宋_GB2312" w:cs="Times New Roman"/>
          <w:i w:val="0"/>
          <w:iCs w:val="0"/>
          <w:sz w:val="20"/>
          <w:szCs w:val="20"/>
        </w:rPr>
        <w:t>　</w:t>
      </w:r>
      <w:r>
        <w:rPr>
          <w:rFonts w:ascii="Times New Roman" w:hAnsi="Times New Roman" w:eastAsia="仿宋_GB2312" w:cs="Times New Roman"/>
          <w:i w:val="0"/>
          <w:iCs w:val="0"/>
          <w:sz w:val="20"/>
          <w:szCs w:val="20"/>
        </w:rPr>
        <w:tab/>
      </w:r>
      <w:r>
        <w:rPr>
          <w:rFonts w:ascii="Times New Roman" w:hAnsi="Times New Roman" w:eastAsia="仿宋_GB2312" w:cs="Times New Roman"/>
          <w:i w:val="0"/>
          <w:iCs w:val="0"/>
          <w:color w:val="000000"/>
          <w:sz w:val="20"/>
          <w:szCs w:val="20"/>
        </w:rPr>
        <w:t>　</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sz w:val="20"/>
          <w:szCs w:val="20"/>
        </w:rPr>
        <w:t>　</w:t>
      </w:r>
      <w:r>
        <w:rPr>
          <w:rFonts w:ascii="Times New Roman" w:hAnsi="Times New Roman" w:eastAsia="仿宋_GB2312" w:cs="Times New Roman"/>
          <w:i w:val="0"/>
          <w:iCs w:val="0"/>
          <w:sz w:val="20"/>
          <w:szCs w:val="20"/>
        </w:rPr>
        <w:tab/>
      </w:r>
      <w:r>
        <w:rPr>
          <w:rFonts w:ascii="Times New Roman" w:hAnsi="Times New Roman" w:eastAsia="仿宋_GB2312" w:cs="Times New Roman"/>
          <w:i w:val="0"/>
          <w:iCs w:val="0"/>
          <w:sz w:val="20"/>
          <w:szCs w:val="20"/>
        </w:rPr>
        <w:t>　</w:t>
      </w:r>
      <w:r>
        <w:rPr>
          <w:rFonts w:ascii="Times New Roman" w:hAnsi="Times New Roman" w:eastAsia="仿宋_GB2312" w:cs="Times New Roman"/>
          <w:i w:val="0"/>
          <w:iCs w:val="0"/>
          <w:sz w:val="20"/>
          <w:szCs w:val="20"/>
        </w:rPr>
        <w:tab/>
      </w:r>
      <w:r>
        <w:rPr>
          <w:rFonts w:ascii="Times New Roman" w:hAnsi="Times New Roman" w:eastAsia="仿宋_GB2312" w:cs="Times New Roman"/>
          <w:i w:val="0"/>
          <w:iCs w:val="0"/>
          <w:sz w:val="20"/>
          <w:szCs w:val="20"/>
        </w:rPr>
        <w:t>　</w:t>
      </w:r>
      <w:r>
        <w:rPr>
          <w:rFonts w:ascii="Times New Roman" w:hAnsi="Times New Roman" w:eastAsia="仿宋_GB2312" w:cs="Times New Roman"/>
          <w:i w:val="0"/>
          <w:iCs w:val="0"/>
          <w:sz w:val="20"/>
          <w:szCs w:val="20"/>
        </w:rPr>
        <w:tab/>
      </w:r>
      <w:r>
        <w:rPr>
          <w:rFonts w:hint="eastAsia" w:ascii="Times New Roman" w:hAnsi="Times New Roman" w:eastAsia="仿宋_GB2312" w:cs="Times New Roman"/>
          <w:i w:val="0"/>
          <w:iCs w:val="0"/>
          <w:sz w:val="20"/>
          <w:szCs w:val="20"/>
        </w:rPr>
        <w:t>金额</w:t>
      </w:r>
      <w:r>
        <w:rPr>
          <w:rFonts w:ascii="Times New Roman" w:hAnsi="Times New Roman" w:eastAsia="仿宋_GB2312" w:cs="Times New Roman"/>
          <w:i w:val="0"/>
          <w:iCs w:val="0"/>
          <w:color w:val="000000"/>
          <w:kern w:val="0"/>
          <w:sz w:val="20"/>
          <w:szCs w:val="20"/>
        </w:rPr>
        <w:t>单位：万元</w:t>
      </w:r>
    </w:p>
    <w:tbl>
      <w:tblPr>
        <w:tblStyle w:val="9"/>
        <w:tblW w:w="493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6"/>
        <w:gridCol w:w="456"/>
        <w:gridCol w:w="456"/>
        <w:gridCol w:w="3510"/>
        <w:gridCol w:w="1625"/>
        <w:gridCol w:w="1626"/>
        <w:gridCol w:w="1626"/>
        <w:gridCol w:w="1614"/>
        <w:gridCol w:w="1614"/>
        <w:gridCol w:w="1614"/>
      </w:tblGrid>
      <w:tr w14:paraId="54E6C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jc w:val="center"/>
        </w:trPr>
        <w:tc>
          <w:tcPr>
            <w:tcW w:w="44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0901">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科目代码</w:t>
            </w:r>
          </w:p>
        </w:tc>
        <w:tc>
          <w:tcPr>
            <w:tcW w:w="1204" w:type="pct"/>
            <w:vMerge w:val="restart"/>
            <w:tcBorders>
              <w:top w:val="single" w:color="000000" w:sz="4" w:space="0"/>
              <w:left w:val="nil"/>
              <w:bottom w:val="single" w:color="000000" w:sz="4" w:space="0"/>
              <w:right w:val="single" w:color="000000" w:sz="4" w:space="0"/>
            </w:tcBorders>
            <w:shd w:val="clear" w:color="auto" w:fill="auto"/>
            <w:noWrap/>
            <w:vAlign w:val="center"/>
          </w:tcPr>
          <w:p w14:paraId="3ED3036A">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科目名称</w:t>
            </w:r>
          </w:p>
        </w:tc>
        <w:tc>
          <w:tcPr>
            <w:tcW w:w="559" w:type="pct"/>
            <w:vMerge w:val="restart"/>
            <w:tcBorders>
              <w:top w:val="single" w:color="000000" w:sz="4" w:space="0"/>
              <w:left w:val="nil"/>
              <w:bottom w:val="single" w:color="000000" w:sz="4" w:space="0"/>
              <w:right w:val="single" w:color="000000" w:sz="4" w:space="0"/>
            </w:tcBorders>
            <w:shd w:val="clear" w:color="auto" w:fill="auto"/>
            <w:vAlign w:val="center"/>
          </w:tcPr>
          <w:p w14:paraId="4579E89F">
            <w:pPr>
              <w:keepNext w:val="0"/>
              <w:keepLines w:val="0"/>
              <w:widowControl/>
              <w:suppressLineNumbers w:val="0"/>
              <w:jc w:val="center"/>
              <w:textAlignment w:val="center"/>
              <w:rPr>
                <w:rFonts w:hint="eastAsia" w:ascii="黑体" w:hAnsi="黑体" w:eastAsia="黑体" w:cs="黑体"/>
                <w:i w:val="0"/>
                <w:iCs w:val="0"/>
                <w:color w:val="000000"/>
                <w:kern w:val="0"/>
                <w:sz w:val="24"/>
                <w:szCs w:val="24"/>
                <w:u w:val="none"/>
                <w:lang w:val="en-US" w:eastAsia="zh-CN" w:bidi="ar"/>
              </w:rPr>
            </w:pPr>
            <w:r>
              <w:rPr>
                <w:rFonts w:hint="eastAsia" w:ascii="黑体" w:hAnsi="黑体" w:eastAsia="黑体" w:cs="黑体"/>
                <w:i w:val="0"/>
                <w:iCs w:val="0"/>
                <w:color w:val="000000"/>
                <w:kern w:val="0"/>
                <w:sz w:val="24"/>
                <w:szCs w:val="24"/>
                <w:u w:val="none"/>
                <w:lang w:val="en-US" w:eastAsia="zh-CN" w:bidi="ar"/>
              </w:rPr>
              <w:t>本年支出</w:t>
            </w:r>
          </w:p>
          <w:p w14:paraId="027568D7">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合计</w:t>
            </w:r>
          </w:p>
        </w:tc>
        <w:tc>
          <w:tcPr>
            <w:tcW w:w="559" w:type="pct"/>
            <w:vMerge w:val="restart"/>
            <w:tcBorders>
              <w:top w:val="single" w:color="000000" w:sz="4" w:space="0"/>
              <w:left w:val="nil"/>
              <w:bottom w:val="single" w:color="000000" w:sz="4" w:space="0"/>
              <w:right w:val="single" w:color="000000" w:sz="4" w:space="0"/>
            </w:tcBorders>
            <w:shd w:val="clear" w:color="auto" w:fill="auto"/>
            <w:vAlign w:val="center"/>
          </w:tcPr>
          <w:p w14:paraId="29E63F09">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基本支出</w:t>
            </w:r>
          </w:p>
        </w:tc>
        <w:tc>
          <w:tcPr>
            <w:tcW w:w="559" w:type="pct"/>
            <w:vMerge w:val="restart"/>
            <w:tcBorders>
              <w:top w:val="single" w:color="000000" w:sz="4" w:space="0"/>
              <w:left w:val="nil"/>
              <w:bottom w:val="single" w:color="000000" w:sz="4" w:space="0"/>
              <w:right w:val="single" w:color="000000" w:sz="4" w:space="0"/>
            </w:tcBorders>
            <w:shd w:val="clear" w:color="auto" w:fill="auto"/>
            <w:vAlign w:val="center"/>
          </w:tcPr>
          <w:p w14:paraId="48743DC5">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项目支出</w:t>
            </w:r>
          </w:p>
        </w:tc>
        <w:tc>
          <w:tcPr>
            <w:tcW w:w="555" w:type="pct"/>
            <w:vMerge w:val="restart"/>
            <w:tcBorders>
              <w:top w:val="single" w:color="000000" w:sz="4" w:space="0"/>
              <w:left w:val="nil"/>
              <w:bottom w:val="single" w:color="000000" w:sz="4" w:space="0"/>
              <w:right w:val="single" w:color="000000" w:sz="4" w:space="0"/>
            </w:tcBorders>
            <w:shd w:val="clear" w:color="auto" w:fill="auto"/>
            <w:vAlign w:val="center"/>
          </w:tcPr>
          <w:p w14:paraId="33C2884A">
            <w:pPr>
              <w:keepNext w:val="0"/>
              <w:keepLines w:val="0"/>
              <w:widowControl/>
              <w:suppressLineNumbers w:val="0"/>
              <w:jc w:val="center"/>
              <w:textAlignment w:val="center"/>
              <w:rPr>
                <w:rFonts w:hint="eastAsia" w:ascii="黑体" w:hAnsi="黑体" w:eastAsia="黑体" w:cs="黑体"/>
                <w:i w:val="0"/>
                <w:iCs w:val="0"/>
                <w:color w:val="000000"/>
                <w:kern w:val="0"/>
                <w:sz w:val="24"/>
                <w:szCs w:val="24"/>
                <w:u w:val="none"/>
                <w:lang w:val="en-US" w:eastAsia="zh-CN" w:bidi="ar"/>
              </w:rPr>
            </w:pPr>
            <w:r>
              <w:rPr>
                <w:rFonts w:hint="eastAsia" w:ascii="黑体" w:hAnsi="黑体" w:eastAsia="黑体" w:cs="黑体"/>
                <w:i w:val="0"/>
                <w:iCs w:val="0"/>
                <w:color w:val="000000"/>
                <w:kern w:val="0"/>
                <w:sz w:val="24"/>
                <w:szCs w:val="24"/>
                <w:u w:val="none"/>
                <w:lang w:val="en-US" w:eastAsia="zh-CN" w:bidi="ar"/>
              </w:rPr>
              <w:t>上缴上级</w:t>
            </w:r>
          </w:p>
          <w:p w14:paraId="675C2AE7">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支出</w:t>
            </w:r>
          </w:p>
        </w:tc>
        <w:tc>
          <w:tcPr>
            <w:tcW w:w="555" w:type="pct"/>
            <w:vMerge w:val="restart"/>
            <w:tcBorders>
              <w:top w:val="single" w:color="000000" w:sz="4" w:space="0"/>
              <w:left w:val="nil"/>
              <w:bottom w:val="single" w:color="000000" w:sz="4" w:space="0"/>
              <w:right w:val="single" w:color="000000" w:sz="4" w:space="0"/>
            </w:tcBorders>
            <w:shd w:val="clear" w:color="auto" w:fill="auto"/>
            <w:vAlign w:val="center"/>
          </w:tcPr>
          <w:p w14:paraId="05C6E946">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经营支出</w:t>
            </w:r>
          </w:p>
        </w:tc>
        <w:tc>
          <w:tcPr>
            <w:tcW w:w="555" w:type="pct"/>
            <w:vMerge w:val="restart"/>
            <w:tcBorders>
              <w:top w:val="single" w:color="000000" w:sz="4" w:space="0"/>
              <w:left w:val="nil"/>
              <w:bottom w:val="single" w:color="000000" w:sz="4" w:space="0"/>
              <w:right w:val="single" w:color="000000" w:sz="4" w:space="0"/>
            </w:tcBorders>
            <w:shd w:val="clear" w:color="auto" w:fill="auto"/>
            <w:vAlign w:val="center"/>
          </w:tcPr>
          <w:p w14:paraId="4392335D">
            <w:pPr>
              <w:keepNext w:val="0"/>
              <w:keepLines w:val="0"/>
              <w:widowControl/>
              <w:suppressLineNumbers w:val="0"/>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对附属单位补助支出</w:t>
            </w:r>
          </w:p>
        </w:tc>
      </w:tr>
      <w:tr w14:paraId="01C30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4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F705">
            <w:pPr>
              <w:jc w:val="center"/>
              <w:rPr>
                <w:rFonts w:hint="eastAsia" w:ascii="宋体" w:hAnsi="宋体" w:eastAsia="宋体" w:cs="宋体"/>
                <w:i w:val="0"/>
                <w:iCs w:val="0"/>
                <w:color w:val="000000"/>
                <w:sz w:val="24"/>
                <w:szCs w:val="24"/>
                <w:u w:val="none"/>
              </w:rPr>
            </w:pPr>
          </w:p>
        </w:tc>
        <w:tc>
          <w:tcPr>
            <w:tcW w:w="1204" w:type="pct"/>
            <w:vMerge w:val="continue"/>
            <w:tcBorders>
              <w:top w:val="single" w:color="000000" w:sz="4" w:space="0"/>
              <w:left w:val="nil"/>
              <w:bottom w:val="single" w:color="000000" w:sz="4" w:space="0"/>
              <w:right w:val="single" w:color="000000" w:sz="4" w:space="0"/>
            </w:tcBorders>
            <w:shd w:val="clear" w:color="auto" w:fill="auto"/>
            <w:noWrap/>
            <w:vAlign w:val="center"/>
          </w:tcPr>
          <w:p w14:paraId="57298EED">
            <w:pPr>
              <w:jc w:val="center"/>
              <w:rPr>
                <w:rFonts w:hint="eastAsia" w:ascii="宋体" w:hAnsi="宋体" w:eastAsia="宋体" w:cs="宋体"/>
                <w:i w:val="0"/>
                <w:iCs w:val="0"/>
                <w:color w:val="000000"/>
                <w:sz w:val="24"/>
                <w:szCs w:val="24"/>
                <w:u w:val="none"/>
              </w:rPr>
            </w:pPr>
          </w:p>
        </w:tc>
        <w:tc>
          <w:tcPr>
            <w:tcW w:w="559" w:type="pct"/>
            <w:vMerge w:val="continue"/>
            <w:tcBorders>
              <w:top w:val="single" w:color="000000" w:sz="4" w:space="0"/>
              <w:left w:val="nil"/>
              <w:bottom w:val="single" w:color="000000" w:sz="4" w:space="0"/>
              <w:right w:val="single" w:color="000000" w:sz="4" w:space="0"/>
            </w:tcBorders>
            <w:shd w:val="clear" w:color="auto" w:fill="auto"/>
            <w:vAlign w:val="center"/>
          </w:tcPr>
          <w:p w14:paraId="70D3F39E">
            <w:pPr>
              <w:jc w:val="center"/>
              <w:rPr>
                <w:rFonts w:hint="eastAsia" w:ascii="宋体" w:hAnsi="宋体" w:eastAsia="宋体" w:cs="宋体"/>
                <w:i w:val="0"/>
                <w:iCs w:val="0"/>
                <w:color w:val="000000"/>
                <w:sz w:val="24"/>
                <w:szCs w:val="24"/>
                <w:u w:val="none"/>
              </w:rPr>
            </w:pPr>
          </w:p>
        </w:tc>
        <w:tc>
          <w:tcPr>
            <w:tcW w:w="559" w:type="pct"/>
            <w:vMerge w:val="continue"/>
            <w:tcBorders>
              <w:top w:val="single" w:color="000000" w:sz="4" w:space="0"/>
              <w:left w:val="nil"/>
              <w:bottom w:val="single" w:color="000000" w:sz="4" w:space="0"/>
              <w:right w:val="single" w:color="000000" w:sz="4" w:space="0"/>
            </w:tcBorders>
            <w:shd w:val="clear" w:color="auto" w:fill="auto"/>
            <w:vAlign w:val="center"/>
          </w:tcPr>
          <w:p w14:paraId="15B752EF">
            <w:pPr>
              <w:jc w:val="center"/>
              <w:rPr>
                <w:rFonts w:hint="eastAsia" w:ascii="宋体" w:hAnsi="宋体" w:eastAsia="宋体" w:cs="宋体"/>
                <w:i w:val="0"/>
                <w:iCs w:val="0"/>
                <w:color w:val="000000"/>
                <w:sz w:val="24"/>
                <w:szCs w:val="24"/>
                <w:u w:val="none"/>
              </w:rPr>
            </w:pPr>
          </w:p>
        </w:tc>
        <w:tc>
          <w:tcPr>
            <w:tcW w:w="559" w:type="pct"/>
            <w:vMerge w:val="continue"/>
            <w:tcBorders>
              <w:top w:val="single" w:color="000000" w:sz="4" w:space="0"/>
              <w:left w:val="nil"/>
              <w:bottom w:val="single" w:color="000000" w:sz="4" w:space="0"/>
              <w:right w:val="single" w:color="000000" w:sz="4" w:space="0"/>
            </w:tcBorders>
            <w:shd w:val="clear" w:color="auto" w:fill="auto"/>
            <w:vAlign w:val="center"/>
          </w:tcPr>
          <w:p w14:paraId="63BCC8E8">
            <w:pPr>
              <w:jc w:val="center"/>
              <w:rPr>
                <w:rFonts w:hint="eastAsia" w:ascii="宋体" w:hAnsi="宋体" w:eastAsia="宋体" w:cs="宋体"/>
                <w:i w:val="0"/>
                <w:iCs w:val="0"/>
                <w:color w:val="000000"/>
                <w:sz w:val="24"/>
                <w:szCs w:val="24"/>
                <w:u w:val="none"/>
              </w:rPr>
            </w:pPr>
          </w:p>
        </w:tc>
        <w:tc>
          <w:tcPr>
            <w:tcW w:w="555" w:type="pct"/>
            <w:vMerge w:val="continue"/>
            <w:tcBorders>
              <w:top w:val="single" w:color="000000" w:sz="4" w:space="0"/>
              <w:left w:val="nil"/>
              <w:bottom w:val="single" w:color="000000" w:sz="4" w:space="0"/>
              <w:right w:val="single" w:color="000000" w:sz="4" w:space="0"/>
            </w:tcBorders>
            <w:shd w:val="clear" w:color="auto" w:fill="auto"/>
            <w:vAlign w:val="center"/>
          </w:tcPr>
          <w:p w14:paraId="59E7CE7C">
            <w:pPr>
              <w:jc w:val="center"/>
              <w:rPr>
                <w:rFonts w:hint="eastAsia" w:ascii="宋体" w:hAnsi="宋体" w:eastAsia="宋体" w:cs="宋体"/>
                <w:i w:val="0"/>
                <w:iCs w:val="0"/>
                <w:color w:val="000000"/>
                <w:sz w:val="24"/>
                <w:szCs w:val="24"/>
                <w:u w:val="none"/>
              </w:rPr>
            </w:pPr>
          </w:p>
        </w:tc>
        <w:tc>
          <w:tcPr>
            <w:tcW w:w="555" w:type="pct"/>
            <w:vMerge w:val="continue"/>
            <w:tcBorders>
              <w:top w:val="single" w:color="000000" w:sz="4" w:space="0"/>
              <w:left w:val="nil"/>
              <w:bottom w:val="single" w:color="000000" w:sz="4" w:space="0"/>
              <w:right w:val="single" w:color="000000" w:sz="4" w:space="0"/>
            </w:tcBorders>
            <w:shd w:val="clear" w:color="auto" w:fill="auto"/>
            <w:vAlign w:val="center"/>
          </w:tcPr>
          <w:p w14:paraId="1D1E0CE4">
            <w:pPr>
              <w:jc w:val="center"/>
              <w:rPr>
                <w:rFonts w:hint="eastAsia" w:ascii="宋体" w:hAnsi="宋体" w:eastAsia="宋体" w:cs="宋体"/>
                <w:i w:val="0"/>
                <w:iCs w:val="0"/>
                <w:color w:val="000000"/>
                <w:sz w:val="24"/>
                <w:szCs w:val="24"/>
                <w:u w:val="none"/>
              </w:rPr>
            </w:pPr>
          </w:p>
        </w:tc>
        <w:tc>
          <w:tcPr>
            <w:tcW w:w="555" w:type="pct"/>
            <w:vMerge w:val="continue"/>
            <w:tcBorders>
              <w:top w:val="single" w:color="000000" w:sz="4" w:space="0"/>
              <w:left w:val="nil"/>
              <w:bottom w:val="single" w:color="000000" w:sz="4" w:space="0"/>
              <w:right w:val="single" w:color="000000" w:sz="4" w:space="0"/>
            </w:tcBorders>
            <w:shd w:val="clear" w:color="auto" w:fill="auto"/>
            <w:vAlign w:val="center"/>
          </w:tcPr>
          <w:p w14:paraId="75EA336B">
            <w:pPr>
              <w:jc w:val="center"/>
              <w:rPr>
                <w:rFonts w:hint="eastAsia" w:ascii="宋体" w:hAnsi="宋体" w:eastAsia="宋体" w:cs="宋体"/>
                <w:i w:val="0"/>
                <w:iCs w:val="0"/>
                <w:color w:val="000000"/>
                <w:sz w:val="24"/>
                <w:szCs w:val="24"/>
                <w:u w:val="none"/>
              </w:rPr>
            </w:pPr>
          </w:p>
        </w:tc>
      </w:tr>
      <w:tr w14:paraId="1B935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149" w:type="pct"/>
            <w:vMerge w:val="restart"/>
            <w:tcBorders>
              <w:top w:val="nil"/>
              <w:left w:val="single" w:color="000000" w:sz="4" w:space="0"/>
              <w:bottom w:val="single" w:color="000000" w:sz="4" w:space="0"/>
              <w:right w:val="single" w:color="000000" w:sz="4" w:space="0"/>
            </w:tcBorders>
            <w:shd w:val="clear" w:color="auto" w:fill="auto"/>
            <w:noWrap/>
            <w:vAlign w:val="center"/>
          </w:tcPr>
          <w:p w14:paraId="7B7423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w:t>
            </w:r>
          </w:p>
        </w:tc>
        <w:tc>
          <w:tcPr>
            <w:tcW w:w="149" w:type="pct"/>
            <w:vMerge w:val="restart"/>
            <w:tcBorders>
              <w:top w:val="nil"/>
              <w:left w:val="nil"/>
              <w:bottom w:val="single" w:color="000000" w:sz="4" w:space="0"/>
              <w:right w:val="single" w:color="000000" w:sz="4" w:space="0"/>
            </w:tcBorders>
            <w:shd w:val="clear" w:color="auto" w:fill="auto"/>
            <w:noWrap/>
            <w:vAlign w:val="center"/>
          </w:tcPr>
          <w:p w14:paraId="6965E8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款</w:t>
            </w:r>
          </w:p>
        </w:tc>
        <w:tc>
          <w:tcPr>
            <w:tcW w:w="150" w:type="pct"/>
            <w:vMerge w:val="restart"/>
            <w:tcBorders>
              <w:top w:val="nil"/>
              <w:left w:val="nil"/>
              <w:bottom w:val="single" w:color="000000" w:sz="4" w:space="0"/>
              <w:right w:val="single" w:color="000000" w:sz="4" w:space="0"/>
            </w:tcBorders>
            <w:shd w:val="clear" w:color="auto" w:fill="auto"/>
            <w:noWrap/>
            <w:vAlign w:val="center"/>
          </w:tcPr>
          <w:p w14:paraId="1638A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204" w:type="pct"/>
            <w:tcBorders>
              <w:top w:val="nil"/>
              <w:left w:val="nil"/>
              <w:bottom w:val="single" w:color="000000" w:sz="4" w:space="0"/>
              <w:right w:val="single" w:color="000000" w:sz="4" w:space="0"/>
            </w:tcBorders>
            <w:shd w:val="clear" w:color="auto" w:fill="auto"/>
            <w:noWrap/>
            <w:vAlign w:val="center"/>
          </w:tcPr>
          <w:p w14:paraId="6A89A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栏次</w:t>
            </w:r>
          </w:p>
        </w:tc>
        <w:tc>
          <w:tcPr>
            <w:tcW w:w="559" w:type="pct"/>
            <w:tcBorders>
              <w:top w:val="nil"/>
              <w:left w:val="nil"/>
              <w:bottom w:val="single" w:color="000000" w:sz="4" w:space="0"/>
              <w:right w:val="single" w:color="000000" w:sz="4" w:space="0"/>
            </w:tcBorders>
            <w:shd w:val="clear" w:color="auto" w:fill="auto"/>
            <w:vAlign w:val="center"/>
          </w:tcPr>
          <w:p w14:paraId="414E6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9" w:type="pct"/>
            <w:tcBorders>
              <w:top w:val="nil"/>
              <w:left w:val="nil"/>
              <w:bottom w:val="single" w:color="000000" w:sz="4" w:space="0"/>
              <w:right w:val="single" w:color="000000" w:sz="4" w:space="0"/>
            </w:tcBorders>
            <w:shd w:val="clear" w:color="auto" w:fill="auto"/>
            <w:vAlign w:val="center"/>
          </w:tcPr>
          <w:p w14:paraId="23C8F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59" w:type="pct"/>
            <w:tcBorders>
              <w:top w:val="nil"/>
              <w:left w:val="nil"/>
              <w:bottom w:val="single" w:color="000000" w:sz="4" w:space="0"/>
              <w:right w:val="single" w:color="000000" w:sz="4" w:space="0"/>
            </w:tcBorders>
            <w:shd w:val="clear" w:color="auto" w:fill="auto"/>
            <w:vAlign w:val="center"/>
          </w:tcPr>
          <w:p w14:paraId="505E20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55" w:type="pct"/>
            <w:tcBorders>
              <w:top w:val="nil"/>
              <w:left w:val="nil"/>
              <w:bottom w:val="single" w:color="000000" w:sz="4" w:space="0"/>
              <w:right w:val="single" w:color="000000" w:sz="4" w:space="0"/>
            </w:tcBorders>
            <w:shd w:val="clear" w:color="auto" w:fill="auto"/>
            <w:vAlign w:val="center"/>
          </w:tcPr>
          <w:p w14:paraId="09747E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55" w:type="pct"/>
            <w:tcBorders>
              <w:top w:val="nil"/>
              <w:left w:val="nil"/>
              <w:bottom w:val="single" w:color="000000" w:sz="4" w:space="0"/>
              <w:right w:val="single" w:color="000000" w:sz="4" w:space="0"/>
            </w:tcBorders>
            <w:shd w:val="clear" w:color="auto" w:fill="auto"/>
            <w:vAlign w:val="center"/>
          </w:tcPr>
          <w:p w14:paraId="553CD4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 w:type="pct"/>
            <w:tcBorders>
              <w:top w:val="nil"/>
              <w:left w:val="nil"/>
              <w:bottom w:val="single" w:color="000000" w:sz="4" w:space="0"/>
              <w:right w:val="single" w:color="000000" w:sz="4" w:space="0"/>
            </w:tcBorders>
            <w:shd w:val="clear" w:color="auto" w:fill="auto"/>
            <w:vAlign w:val="center"/>
          </w:tcPr>
          <w:p w14:paraId="041D4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30D5C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149" w:type="pct"/>
            <w:vMerge w:val="continue"/>
            <w:tcBorders>
              <w:top w:val="nil"/>
              <w:left w:val="single" w:color="000000" w:sz="4" w:space="0"/>
              <w:bottom w:val="single" w:color="000000" w:sz="4" w:space="0"/>
              <w:right w:val="single" w:color="000000" w:sz="4" w:space="0"/>
            </w:tcBorders>
            <w:shd w:val="clear" w:color="auto" w:fill="auto"/>
            <w:noWrap/>
            <w:vAlign w:val="center"/>
          </w:tcPr>
          <w:p w14:paraId="4AAC54A4">
            <w:pPr>
              <w:jc w:val="center"/>
              <w:rPr>
                <w:rFonts w:hint="eastAsia" w:ascii="宋体" w:hAnsi="宋体" w:eastAsia="宋体" w:cs="宋体"/>
                <w:i w:val="0"/>
                <w:iCs w:val="0"/>
                <w:color w:val="000000"/>
                <w:sz w:val="24"/>
                <w:szCs w:val="24"/>
                <w:u w:val="none"/>
              </w:rPr>
            </w:pPr>
          </w:p>
        </w:tc>
        <w:tc>
          <w:tcPr>
            <w:tcW w:w="149" w:type="pct"/>
            <w:vMerge w:val="continue"/>
            <w:tcBorders>
              <w:top w:val="nil"/>
              <w:left w:val="nil"/>
              <w:bottom w:val="single" w:color="000000" w:sz="4" w:space="0"/>
              <w:right w:val="single" w:color="000000" w:sz="4" w:space="0"/>
            </w:tcBorders>
            <w:shd w:val="clear" w:color="auto" w:fill="auto"/>
            <w:noWrap/>
            <w:vAlign w:val="center"/>
          </w:tcPr>
          <w:p w14:paraId="1E96CAFE">
            <w:pPr>
              <w:jc w:val="center"/>
              <w:rPr>
                <w:rFonts w:hint="eastAsia" w:ascii="宋体" w:hAnsi="宋体" w:eastAsia="宋体" w:cs="宋体"/>
                <w:i w:val="0"/>
                <w:iCs w:val="0"/>
                <w:color w:val="000000"/>
                <w:sz w:val="24"/>
                <w:szCs w:val="24"/>
                <w:u w:val="none"/>
              </w:rPr>
            </w:pPr>
          </w:p>
        </w:tc>
        <w:tc>
          <w:tcPr>
            <w:tcW w:w="150" w:type="pct"/>
            <w:vMerge w:val="continue"/>
            <w:tcBorders>
              <w:top w:val="nil"/>
              <w:left w:val="nil"/>
              <w:bottom w:val="single" w:color="000000" w:sz="4" w:space="0"/>
              <w:right w:val="single" w:color="000000" w:sz="4" w:space="0"/>
            </w:tcBorders>
            <w:shd w:val="clear" w:color="auto" w:fill="auto"/>
            <w:noWrap/>
            <w:vAlign w:val="center"/>
          </w:tcPr>
          <w:p w14:paraId="3CE181FD">
            <w:pPr>
              <w:jc w:val="center"/>
              <w:rPr>
                <w:rFonts w:hint="eastAsia" w:ascii="宋体" w:hAnsi="宋体" w:eastAsia="宋体" w:cs="宋体"/>
                <w:i w:val="0"/>
                <w:iCs w:val="0"/>
                <w:color w:val="000000"/>
                <w:sz w:val="24"/>
                <w:szCs w:val="24"/>
                <w:u w:val="none"/>
              </w:rPr>
            </w:pPr>
          </w:p>
        </w:tc>
        <w:tc>
          <w:tcPr>
            <w:tcW w:w="1204" w:type="pct"/>
            <w:tcBorders>
              <w:top w:val="nil"/>
              <w:left w:val="nil"/>
              <w:bottom w:val="single" w:color="000000" w:sz="4" w:space="0"/>
              <w:right w:val="single" w:color="000000" w:sz="4" w:space="0"/>
            </w:tcBorders>
            <w:shd w:val="clear" w:color="auto" w:fill="auto"/>
            <w:noWrap/>
            <w:vAlign w:val="center"/>
          </w:tcPr>
          <w:p w14:paraId="0E442A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559" w:type="pct"/>
            <w:tcBorders>
              <w:top w:val="nil"/>
              <w:left w:val="nil"/>
              <w:bottom w:val="single" w:color="000000" w:sz="4" w:space="0"/>
              <w:right w:val="single" w:color="000000" w:sz="4" w:space="0"/>
            </w:tcBorders>
            <w:shd w:val="clear" w:color="auto" w:fill="auto"/>
            <w:noWrap/>
            <w:vAlign w:val="center"/>
          </w:tcPr>
          <w:p w14:paraId="52FBE9A1">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990.15</w:t>
            </w:r>
          </w:p>
        </w:tc>
        <w:tc>
          <w:tcPr>
            <w:tcW w:w="559" w:type="pct"/>
            <w:tcBorders>
              <w:top w:val="nil"/>
              <w:left w:val="nil"/>
              <w:bottom w:val="single" w:color="000000" w:sz="4" w:space="0"/>
              <w:right w:val="single" w:color="000000" w:sz="4" w:space="0"/>
            </w:tcBorders>
            <w:shd w:val="clear" w:color="auto" w:fill="auto"/>
            <w:noWrap/>
            <w:vAlign w:val="center"/>
          </w:tcPr>
          <w:p w14:paraId="4164A2BE">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394.41</w:t>
            </w:r>
          </w:p>
        </w:tc>
        <w:tc>
          <w:tcPr>
            <w:tcW w:w="559" w:type="pct"/>
            <w:tcBorders>
              <w:top w:val="nil"/>
              <w:left w:val="nil"/>
              <w:bottom w:val="single" w:color="000000" w:sz="4" w:space="0"/>
              <w:right w:val="single" w:color="000000" w:sz="4" w:space="0"/>
            </w:tcBorders>
            <w:shd w:val="clear" w:color="auto" w:fill="auto"/>
            <w:noWrap/>
            <w:vAlign w:val="center"/>
          </w:tcPr>
          <w:p w14:paraId="06009118">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595.74</w:t>
            </w:r>
          </w:p>
        </w:tc>
        <w:tc>
          <w:tcPr>
            <w:tcW w:w="555" w:type="pct"/>
            <w:tcBorders>
              <w:top w:val="nil"/>
              <w:left w:val="nil"/>
              <w:bottom w:val="single" w:color="000000" w:sz="4" w:space="0"/>
              <w:right w:val="single" w:color="000000" w:sz="4" w:space="0"/>
            </w:tcBorders>
            <w:shd w:val="clear" w:color="auto" w:fill="auto"/>
            <w:noWrap/>
            <w:vAlign w:val="center"/>
          </w:tcPr>
          <w:p w14:paraId="0269246A">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25FAA5B9">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63695593">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0.00</w:t>
            </w:r>
          </w:p>
        </w:tc>
      </w:tr>
      <w:tr w14:paraId="59AC0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49" w:type="pct"/>
            <w:gridSpan w:val="3"/>
            <w:tcBorders>
              <w:top w:val="nil"/>
              <w:left w:val="single" w:color="000000" w:sz="4" w:space="0"/>
              <w:bottom w:val="single" w:color="000000" w:sz="4" w:space="0"/>
              <w:right w:val="single" w:color="000000" w:sz="4" w:space="0"/>
            </w:tcBorders>
            <w:shd w:val="clear" w:color="auto" w:fill="auto"/>
            <w:noWrap/>
            <w:vAlign w:val="center"/>
          </w:tcPr>
          <w:p w14:paraId="2FB5C48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1204" w:type="pct"/>
            <w:tcBorders>
              <w:top w:val="nil"/>
              <w:left w:val="nil"/>
              <w:bottom w:val="single" w:color="000000" w:sz="4" w:space="0"/>
              <w:right w:val="single" w:color="000000" w:sz="4" w:space="0"/>
            </w:tcBorders>
            <w:shd w:val="clear" w:color="auto" w:fill="auto"/>
            <w:noWrap/>
            <w:vAlign w:val="center"/>
          </w:tcPr>
          <w:p w14:paraId="786049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卫生健康支出</w:t>
            </w:r>
          </w:p>
        </w:tc>
        <w:tc>
          <w:tcPr>
            <w:tcW w:w="559" w:type="pct"/>
            <w:tcBorders>
              <w:top w:val="nil"/>
              <w:left w:val="nil"/>
              <w:bottom w:val="single" w:color="000000" w:sz="4" w:space="0"/>
              <w:right w:val="single" w:color="000000" w:sz="4" w:space="0"/>
            </w:tcBorders>
            <w:shd w:val="clear" w:color="auto" w:fill="auto"/>
            <w:noWrap/>
            <w:vAlign w:val="center"/>
          </w:tcPr>
          <w:p w14:paraId="1A79ED4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990.15</w:t>
            </w:r>
          </w:p>
        </w:tc>
        <w:tc>
          <w:tcPr>
            <w:tcW w:w="559" w:type="pct"/>
            <w:tcBorders>
              <w:top w:val="nil"/>
              <w:left w:val="nil"/>
              <w:bottom w:val="single" w:color="000000" w:sz="4" w:space="0"/>
              <w:right w:val="single" w:color="000000" w:sz="4" w:space="0"/>
            </w:tcBorders>
            <w:shd w:val="clear" w:color="auto" w:fill="auto"/>
            <w:noWrap/>
            <w:vAlign w:val="center"/>
          </w:tcPr>
          <w:p w14:paraId="164B06C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394.41</w:t>
            </w:r>
          </w:p>
        </w:tc>
        <w:tc>
          <w:tcPr>
            <w:tcW w:w="559" w:type="pct"/>
            <w:tcBorders>
              <w:top w:val="nil"/>
              <w:left w:val="nil"/>
              <w:bottom w:val="single" w:color="000000" w:sz="4" w:space="0"/>
              <w:right w:val="single" w:color="000000" w:sz="4" w:space="0"/>
            </w:tcBorders>
            <w:shd w:val="clear" w:color="auto" w:fill="auto"/>
            <w:noWrap/>
            <w:vAlign w:val="center"/>
          </w:tcPr>
          <w:p w14:paraId="24EC7DC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595.74</w:t>
            </w:r>
          </w:p>
        </w:tc>
        <w:tc>
          <w:tcPr>
            <w:tcW w:w="555" w:type="pct"/>
            <w:tcBorders>
              <w:top w:val="nil"/>
              <w:left w:val="nil"/>
              <w:bottom w:val="single" w:color="000000" w:sz="4" w:space="0"/>
              <w:right w:val="single" w:color="000000" w:sz="4" w:space="0"/>
            </w:tcBorders>
            <w:shd w:val="clear" w:color="auto" w:fill="auto"/>
            <w:noWrap/>
            <w:vAlign w:val="center"/>
          </w:tcPr>
          <w:p w14:paraId="4A7F80D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1FA08DD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0D4C563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r w14:paraId="7AD1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49" w:type="pct"/>
            <w:gridSpan w:val="3"/>
            <w:tcBorders>
              <w:top w:val="nil"/>
              <w:left w:val="single" w:color="000000" w:sz="4" w:space="0"/>
              <w:bottom w:val="single" w:color="000000" w:sz="4" w:space="0"/>
              <w:right w:val="single" w:color="000000" w:sz="4" w:space="0"/>
            </w:tcBorders>
            <w:shd w:val="clear" w:color="auto" w:fill="auto"/>
            <w:noWrap/>
            <w:vAlign w:val="center"/>
          </w:tcPr>
          <w:p w14:paraId="5C292F3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21015</w:t>
            </w:r>
          </w:p>
        </w:tc>
        <w:tc>
          <w:tcPr>
            <w:tcW w:w="1204" w:type="pct"/>
            <w:tcBorders>
              <w:top w:val="nil"/>
              <w:left w:val="nil"/>
              <w:bottom w:val="single" w:color="000000" w:sz="4" w:space="0"/>
              <w:right w:val="single" w:color="000000" w:sz="4" w:space="0"/>
            </w:tcBorders>
            <w:shd w:val="clear" w:color="auto" w:fill="auto"/>
            <w:noWrap/>
            <w:vAlign w:val="center"/>
          </w:tcPr>
          <w:p w14:paraId="5041B5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医疗保障管理事务</w:t>
            </w:r>
          </w:p>
        </w:tc>
        <w:tc>
          <w:tcPr>
            <w:tcW w:w="559" w:type="pct"/>
            <w:tcBorders>
              <w:top w:val="nil"/>
              <w:left w:val="nil"/>
              <w:bottom w:val="single" w:color="000000" w:sz="4" w:space="0"/>
              <w:right w:val="single" w:color="000000" w:sz="4" w:space="0"/>
            </w:tcBorders>
            <w:shd w:val="clear" w:color="auto" w:fill="auto"/>
            <w:noWrap/>
            <w:vAlign w:val="center"/>
          </w:tcPr>
          <w:p w14:paraId="4C583A1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990.15</w:t>
            </w:r>
          </w:p>
        </w:tc>
        <w:tc>
          <w:tcPr>
            <w:tcW w:w="559" w:type="pct"/>
            <w:tcBorders>
              <w:top w:val="nil"/>
              <w:left w:val="nil"/>
              <w:bottom w:val="single" w:color="000000" w:sz="4" w:space="0"/>
              <w:right w:val="single" w:color="000000" w:sz="4" w:space="0"/>
            </w:tcBorders>
            <w:shd w:val="clear" w:color="auto" w:fill="auto"/>
            <w:noWrap/>
            <w:vAlign w:val="center"/>
          </w:tcPr>
          <w:p w14:paraId="06197A3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394.41</w:t>
            </w:r>
          </w:p>
        </w:tc>
        <w:tc>
          <w:tcPr>
            <w:tcW w:w="559" w:type="pct"/>
            <w:tcBorders>
              <w:top w:val="nil"/>
              <w:left w:val="nil"/>
              <w:bottom w:val="single" w:color="000000" w:sz="4" w:space="0"/>
              <w:right w:val="single" w:color="000000" w:sz="4" w:space="0"/>
            </w:tcBorders>
            <w:shd w:val="clear" w:color="auto" w:fill="auto"/>
            <w:noWrap/>
            <w:vAlign w:val="center"/>
          </w:tcPr>
          <w:p w14:paraId="4B37046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595.74</w:t>
            </w:r>
          </w:p>
        </w:tc>
        <w:tc>
          <w:tcPr>
            <w:tcW w:w="555" w:type="pct"/>
            <w:tcBorders>
              <w:top w:val="nil"/>
              <w:left w:val="nil"/>
              <w:bottom w:val="single" w:color="000000" w:sz="4" w:space="0"/>
              <w:right w:val="single" w:color="000000" w:sz="4" w:space="0"/>
            </w:tcBorders>
            <w:shd w:val="clear" w:color="auto" w:fill="auto"/>
            <w:noWrap/>
            <w:vAlign w:val="center"/>
          </w:tcPr>
          <w:p w14:paraId="3695CDB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5CB197E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66ADC70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r w14:paraId="51D56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49" w:type="pct"/>
            <w:gridSpan w:val="3"/>
            <w:tcBorders>
              <w:top w:val="nil"/>
              <w:left w:val="single" w:color="000000" w:sz="4" w:space="0"/>
              <w:bottom w:val="single" w:color="000000" w:sz="4" w:space="0"/>
              <w:right w:val="single" w:color="000000" w:sz="4" w:space="0"/>
            </w:tcBorders>
            <w:shd w:val="clear" w:color="auto" w:fill="auto"/>
            <w:noWrap/>
            <w:vAlign w:val="center"/>
          </w:tcPr>
          <w:p w14:paraId="287C86B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2101501</w:t>
            </w:r>
          </w:p>
        </w:tc>
        <w:tc>
          <w:tcPr>
            <w:tcW w:w="1204" w:type="pct"/>
            <w:tcBorders>
              <w:top w:val="nil"/>
              <w:left w:val="nil"/>
              <w:bottom w:val="single" w:color="000000" w:sz="4" w:space="0"/>
              <w:right w:val="single" w:color="000000" w:sz="4" w:space="0"/>
            </w:tcBorders>
            <w:shd w:val="clear" w:color="auto" w:fill="auto"/>
            <w:noWrap/>
            <w:vAlign w:val="center"/>
          </w:tcPr>
          <w:p w14:paraId="26B670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行政运行</w:t>
            </w:r>
          </w:p>
        </w:tc>
        <w:tc>
          <w:tcPr>
            <w:tcW w:w="559" w:type="pct"/>
            <w:tcBorders>
              <w:top w:val="nil"/>
              <w:left w:val="nil"/>
              <w:bottom w:val="single" w:color="000000" w:sz="4" w:space="0"/>
              <w:right w:val="single" w:color="000000" w:sz="4" w:space="0"/>
            </w:tcBorders>
            <w:shd w:val="clear" w:color="auto" w:fill="auto"/>
            <w:noWrap/>
            <w:vAlign w:val="center"/>
          </w:tcPr>
          <w:p w14:paraId="2466CF3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71.30</w:t>
            </w:r>
          </w:p>
        </w:tc>
        <w:tc>
          <w:tcPr>
            <w:tcW w:w="559" w:type="pct"/>
            <w:tcBorders>
              <w:top w:val="nil"/>
              <w:left w:val="nil"/>
              <w:bottom w:val="single" w:color="000000" w:sz="4" w:space="0"/>
              <w:right w:val="single" w:color="000000" w:sz="4" w:space="0"/>
            </w:tcBorders>
            <w:shd w:val="clear" w:color="auto" w:fill="auto"/>
            <w:noWrap/>
            <w:vAlign w:val="center"/>
          </w:tcPr>
          <w:p w14:paraId="4D4B226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71.30</w:t>
            </w:r>
          </w:p>
        </w:tc>
        <w:tc>
          <w:tcPr>
            <w:tcW w:w="559" w:type="pct"/>
            <w:tcBorders>
              <w:top w:val="nil"/>
              <w:left w:val="nil"/>
              <w:bottom w:val="single" w:color="000000" w:sz="4" w:space="0"/>
              <w:right w:val="single" w:color="000000" w:sz="4" w:space="0"/>
            </w:tcBorders>
            <w:shd w:val="clear" w:color="auto" w:fill="auto"/>
            <w:noWrap/>
            <w:vAlign w:val="center"/>
          </w:tcPr>
          <w:p w14:paraId="555010A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560C063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6FBD1EF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405D27E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r w14:paraId="0C744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49" w:type="pct"/>
            <w:gridSpan w:val="3"/>
            <w:tcBorders>
              <w:top w:val="nil"/>
              <w:left w:val="single" w:color="000000" w:sz="4" w:space="0"/>
              <w:bottom w:val="single" w:color="000000" w:sz="4" w:space="0"/>
              <w:right w:val="single" w:color="000000" w:sz="4" w:space="0"/>
            </w:tcBorders>
            <w:shd w:val="clear" w:color="auto" w:fill="auto"/>
            <w:noWrap/>
            <w:vAlign w:val="center"/>
          </w:tcPr>
          <w:p w14:paraId="53522DC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2101505</w:t>
            </w:r>
          </w:p>
        </w:tc>
        <w:tc>
          <w:tcPr>
            <w:tcW w:w="1204" w:type="pct"/>
            <w:tcBorders>
              <w:top w:val="nil"/>
              <w:left w:val="nil"/>
              <w:bottom w:val="single" w:color="000000" w:sz="4" w:space="0"/>
              <w:right w:val="single" w:color="000000" w:sz="4" w:space="0"/>
            </w:tcBorders>
            <w:shd w:val="clear" w:color="auto" w:fill="auto"/>
            <w:noWrap/>
            <w:vAlign w:val="center"/>
          </w:tcPr>
          <w:p w14:paraId="3BF705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医疗保障政策管理</w:t>
            </w:r>
          </w:p>
        </w:tc>
        <w:tc>
          <w:tcPr>
            <w:tcW w:w="559" w:type="pct"/>
            <w:tcBorders>
              <w:top w:val="nil"/>
              <w:left w:val="nil"/>
              <w:bottom w:val="single" w:color="000000" w:sz="4" w:space="0"/>
              <w:right w:val="single" w:color="000000" w:sz="4" w:space="0"/>
            </w:tcBorders>
            <w:shd w:val="clear" w:color="auto" w:fill="auto"/>
            <w:noWrap/>
            <w:vAlign w:val="center"/>
          </w:tcPr>
          <w:p w14:paraId="3EF1B03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490.00</w:t>
            </w:r>
          </w:p>
        </w:tc>
        <w:tc>
          <w:tcPr>
            <w:tcW w:w="559" w:type="pct"/>
            <w:tcBorders>
              <w:top w:val="nil"/>
              <w:left w:val="nil"/>
              <w:bottom w:val="single" w:color="000000" w:sz="4" w:space="0"/>
              <w:right w:val="single" w:color="000000" w:sz="4" w:space="0"/>
            </w:tcBorders>
            <w:shd w:val="clear" w:color="auto" w:fill="auto"/>
            <w:noWrap/>
            <w:vAlign w:val="center"/>
          </w:tcPr>
          <w:p w14:paraId="1B62A2D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9" w:type="pct"/>
            <w:tcBorders>
              <w:top w:val="nil"/>
              <w:left w:val="nil"/>
              <w:bottom w:val="single" w:color="000000" w:sz="4" w:space="0"/>
              <w:right w:val="single" w:color="000000" w:sz="4" w:space="0"/>
            </w:tcBorders>
            <w:shd w:val="clear" w:color="auto" w:fill="auto"/>
            <w:noWrap/>
            <w:vAlign w:val="center"/>
          </w:tcPr>
          <w:p w14:paraId="5B3EE52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490.00</w:t>
            </w:r>
          </w:p>
        </w:tc>
        <w:tc>
          <w:tcPr>
            <w:tcW w:w="555" w:type="pct"/>
            <w:tcBorders>
              <w:top w:val="nil"/>
              <w:left w:val="nil"/>
              <w:bottom w:val="single" w:color="000000" w:sz="4" w:space="0"/>
              <w:right w:val="single" w:color="000000" w:sz="4" w:space="0"/>
            </w:tcBorders>
            <w:shd w:val="clear" w:color="auto" w:fill="auto"/>
            <w:noWrap/>
            <w:vAlign w:val="center"/>
          </w:tcPr>
          <w:p w14:paraId="000CBAF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1340143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1FA047C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r w14:paraId="3FA83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49" w:type="pct"/>
            <w:gridSpan w:val="3"/>
            <w:tcBorders>
              <w:top w:val="nil"/>
              <w:left w:val="single" w:color="000000" w:sz="4" w:space="0"/>
              <w:bottom w:val="single" w:color="000000" w:sz="4" w:space="0"/>
              <w:right w:val="single" w:color="000000" w:sz="4" w:space="0"/>
            </w:tcBorders>
            <w:shd w:val="clear" w:color="auto" w:fill="auto"/>
            <w:noWrap/>
            <w:vAlign w:val="center"/>
          </w:tcPr>
          <w:p w14:paraId="4BE1F16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2101599</w:t>
            </w:r>
          </w:p>
        </w:tc>
        <w:tc>
          <w:tcPr>
            <w:tcW w:w="1204" w:type="pct"/>
            <w:tcBorders>
              <w:top w:val="nil"/>
              <w:left w:val="nil"/>
              <w:bottom w:val="single" w:color="000000" w:sz="4" w:space="0"/>
              <w:right w:val="single" w:color="000000" w:sz="4" w:space="0"/>
            </w:tcBorders>
            <w:shd w:val="clear" w:color="auto" w:fill="auto"/>
            <w:noWrap/>
            <w:vAlign w:val="center"/>
          </w:tcPr>
          <w:p w14:paraId="403677A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其他医疗保障管理事务支出</w:t>
            </w:r>
          </w:p>
        </w:tc>
        <w:tc>
          <w:tcPr>
            <w:tcW w:w="559" w:type="pct"/>
            <w:tcBorders>
              <w:top w:val="nil"/>
              <w:left w:val="nil"/>
              <w:bottom w:val="single" w:color="000000" w:sz="4" w:space="0"/>
              <w:right w:val="single" w:color="000000" w:sz="4" w:space="0"/>
            </w:tcBorders>
            <w:shd w:val="clear" w:color="auto" w:fill="auto"/>
            <w:noWrap/>
            <w:vAlign w:val="center"/>
          </w:tcPr>
          <w:p w14:paraId="02FF732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428.86</w:t>
            </w:r>
          </w:p>
        </w:tc>
        <w:tc>
          <w:tcPr>
            <w:tcW w:w="559" w:type="pct"/>
            <w:tcBorders>
              <w:top w:val="nil"/>
              <w:left w:val="nil"/>
              <w:bottom w:val="single" w:color="000000" w:sz="4" w:space="0"/>
              <w:right w:val="single" w:color="000000" w:sz="4" w:space="0"/>
            </w:tcBorders>
            <w:shd w:val="clear" w:color="auto" w:fill="auto"/>
            <w:noWrap/>
            <w:vAlign w:val="center"/>
          </w:tcPr>
          <w:p w14:paraId="6681DD2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323.12</w:t>
            </w:r>
          </w:p>
        </w:tc>
        <w:tc>
          <w:tcPr>
            <w:tcW w:w="559" w:type="pct"/>
            <w:tcBorders>
              <w:top w:val="nil"/>
              <w:left w:val="nil"/>
              <w:bottom w:val="single" w:color="000000" w:sz="4" w:space="0"/>
              <w:right w:val="single" w:color="000000" w:sz="4" w:space="0"/>
            </w:tcBorders>
            <w:shd w:val="clear" w:color="auto" w:fill="auto"/>
            <w:noWrap/>
            <w:vAlign w:val="center"/>
          </w:tcPr>
          <w:p w14:paraId="623119F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105.74</w:t>
            </w:r>
          </w:p>
        </w:tc>
        <w:tc>
          <w:tcPr>
            <w:tcW w:w="555" w:type="pct"/>
            <w:tcBorders>
              <w:top w:val="nil"/>
              <w:left w:val="nil"/>
              <w:bottom w:val="single" w:color="000000" w:sz="4" w:space="0"/>
              <w:right w:val="single" w:color="000000" w:sz="4" w:space="0"/>
            </w:tcBorders>
            <w:shd w:val="clear" w:color="auto" w:fill="auto"/>
            <w:noWrap/>
            <w:vAlign w:val="center"/>
          </w:tcPr>
          <w:p w14:paraId="67F1C21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79338DE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55" w:type="pct"/>
            <w:tcBorders>
              <w:top w:val="nil"/>
              <w:left w:val="nil"/>
              <w:bottom w:val="single" w:color="000000" w:sz="4" w:space="0"/>
              <w:right w:val="single" w:color="000000" w:sz="4" w:space="0"/>
            </w:tcBorders>
            <w:shd w:val="clear" w:color="auto" w:fill="auto"/>
            <w:noWrap/>
            <w:vAlign w:val="center"/>
          </w:tcPr>
          <w:p w14:paraId="4BDA444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bl>
    <w:p w14:paraId="4C61F79D">
      <w:pPr>
        <w:keepNext w:val="0"/>
        <w:keepLines w:val="0"/>
        <w:pageBreakBefore w:val="0"/>
        <w:widowControl/>
        <w:shd w:val="clear"/>
        <w:kinsoku/>
        <w:wordWrap/>
        <w:overflowPunct/>
        <w:topLinePunct w:val="0"/>
        <w:autoSpaceDE/>
        <w:autoSpaceDN/>
        <w:bidi w:val="0"/>
        <w:adjustRightInd/>
        <w:snapToGrid/>
        <w:jc w:val="left"/>
        <w:textAlignment w:val="auto"/>
        <w:rPr>
          <w:rFonts w:hint="eastAsia" w:ascii="Times New Roman" w:hAnsi="Times New Roman" w:eastAsia="仿宋_GB2312" w:cs="Times New Roman"/>
          <w:i w:val="0"/>
          <w:iCs w:val="0"/>
          <w:kern w:val="0"/>
          <w:sz w:val="24"/>
          <w:szCs w:val="24"/>
        </w:rPr>
      </w:pPr>
      <w:r>
        <w:rPr>
          <w:rFonts w:ascii="Times New Roman" w:hAnsi="Times New Roman" w:eastAsia="仿宋_GB2312" w:cs="Times New Roman"/>
          <w:i w:val="0"/>
          <w:iCs w:val="0"/>
          <w:kern w:val="0"/>
          <w:sz w:val="24"/>
          <w:szCs w:val="24"/>
        </w:rPr>
        <w:t>注：</w:t>
      </w:r>
      <w:bookmarkStart w:id="0" w:name="RANGE!A1:I22"/>
      <w:bookmarkEnd w:id="0"/>
      <w:bookmarkStart w:id="1" w:name="RANGE!A1:F16"/>
      <w:r>
        <w:rPr>
          <w:rFonts w:hint="eastAsia" w:ascii="Times New Roman" w:hAnsi="Times New Roman" w:eastAsia="仿宋_GB2312" w:cs="Times New Roman"/>
          <w:i w:val="0"/>
          <w:iCs w:val="0"/>
          <w:kern w:val="0"/>
          <w:sz w:val="24"/>
          <w:szCs w:val="24"/>
        </w:rPr>
        <w:t>1.本表依据《支出决算表》（财决04表）进行批复。</w:t>
      </w:r>
    </w:p>
    <w:p w14:paraId="0EA19D27">
      <w:pPr>
        <w:keepNext w:val="0"/>
        <w:keepLines w:val="0"/>
        <w:pageBreakBefore w:val="0"/>
        <w:widowControl/>
        <w:shd w:val="clear"/>
        <w:kinsoku/>
        <w:wordWrap/>
        <w:overflowPunct/>
        <w:topLinePunct w:val="0"/>
        <w:autoSpaceDE/>
        <w:autoSpaceDN/>
        <w:bidi w:val="0"/>
        <w:adjustRightInd/>
        <w:snapToGrid/>
        <w:jc w:val="left"/>
        <w:textAlignment w:val="auto"/>
        <w:rPr>
          <w:rFonts w:hint="eastAsia" w:ascii="Times New Roman" w:hAnsi="Times New Roman" w:eastAsia="仿宋_GB2312" w:cs="Times New Roman"/>
          <w:i w:val="0"/>
          <w:iCs w:val="0"/>
          <w:kern w:val="0"/>
          <w:sz w:val="24"/>
          <w:szCs w:val="24"/>
        </w:rPr>
      </w:pPr>
      <w:r>
        <w:rPr>
          <w:rFonts w:hint="eastAsia" w:ascii="Times New Roman" w:hAnsi="Times New Roman" w:eastAsia="仿宋_GB2312" w:cs="Times New Roman"/>
          <w:i w:val="0"/>
          <w:iCs w:val="0"/>
          <w:kern w:val="0"/>
          <w:sz w:val="24"/>
          <w:szCs w:val="24"/>
        </w:rPr>
        <w:t xml:space="preserve">    2.本表含一般公共预算财政拨款、政府性基金预算财政拨款和国有资本经营预算财政拨款。</w:t>
      </w:r>
    </w:p>
    <w:p w14:paraId="7CFB01AA">
      <w:pPr>
        <w:keepNext w:val="0"/>
        <w:keepLines w:val="0"/>
        <w:pageBreakBefore w:val="0"/>
        <w:widowControl/>
        <w:shd w:val="clear"/>
        <w:kinsoku/>
        <w:wordWrap/>
        <w:overflowPunct/>
        <w:topLinePunct w:val="0"/>
        <w:autoSpaceDE/>
        <w:autoSpaceDN/>
        <w:bidi w:val="0"/>
        <w:adjustRightInd/>
        <w:snapToGrid/>
        <w:jc w:val="left"/>
        <w:textAlignment w:val="auto"/>
        <w:rPr>
          <w:rFonts w:hint="eastAsia" w:ascii="Times New Roman" w:hAnsi="Times New Roman" w:eastAsia="仿宋_GB2312" w:cs="Times New Roman"/>
          <w:i w:val="0"/>
          <w:iCs w:val="0"/>
          <w:kern w:val="0"/>
          <w:sz w:val="24"/>
          <w:szCs w:val="24"/>
        </w:rPr>
      </w:pPr>
      <w:r>
        <w:rPr>
          <w:rFonts w:hint="eastAsia" w:ascii="Times New Roman" w:hAnsi="Times New Roman" w:eastAsia="仿宋_GB2312" w:cs="Times New Roman"/>
          <w:i w:val="0"/>
          <w:iCs w:val="0"/>
          <w:kern w:val="0"/>
          <w:sz w:val="24"/>
          <w:szCs w:val="24"/>
        </w:rPr>
        <w:t xml:space="preserve">    3.本表批复到项级科目。</w:t>
      </w:r>
    </w:p>
    <w:p w14:paraId="6D9B62EB">
      <w:pPr>
        <w:keepNext w:val="0"/>
        <w:keepLines w:val="0"/>
        <w:pageBreakBefore w:val="0"/>
        <w:widowControl/>
        <w:shd w:val="clear"/>
        <w:kinsoku/>
        <w:wordWrap/>
        <w:overflowPunct/>
        <w:topLinePunct w:val="0"/>
        <w:autoSpaceDE/>
        <w:autoSpaceDN/>
        <w:bidi w:val="0"/>
        <w:adjustRightInd/>
        <w:snapToGrid/>
        <w:jc w:val="left"/>
        <w:textAlignment w:val="auto"/>
        <w:rPr>
          <w:rFonts w:ascii="Times New Roman" w:hAnsi="Times New Roman" w:eastAsia="黑体" w:cs="Times New Roman"/>
          <w:i w:val="0"/>
          <w:iCs w:val="0"/>
          <w:color w:val="000000"/>
          <w:kern w:val="0"/>
          <w:sz w:val="32"/>
          <w:szCs w:val="32"/>
          <w:lang w:bidi="ar"/>
        </w:rPr>
      </w:pPr>
      <w:r>
        <w:rPr>
          <w:rFonts w:hint="eastAsia" w:ascii="Times New Roman" w:hAnsi="Times New Roman" w:eastAsia="仿宋_GB2312" w:cs="Times New Roman"/>
          <w:i w:val="0"/>
          <w:iCs w:val="0"/>
          <w:kern w:val="0"/>
          <w:sz w:val="24"/>
          <w:szCs w:val="24"/>
        </w:rPr>
        <w:t xml:space="preserve">    4.本表以“万元”为金额单位（保留两位小数）。</w:t>
      </w:r>
    </w:p>
    <w:p w14:paraId="026EB1A4">
      <w:pP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br w:type="page"/>
      </w:r>
    </w:p>
    <w:p w14:paraId="2DC9454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hint="eastAsia" w:ascii="方正小标宋简体" w:hAnsi="方正小标宋简体" w:eastAsia="方正小标宋简体" w:cs="方正小标宋简体"/>
          <w:b w:val="0"/>
          <w:bCs w:val="0"/>
          <w:i w:val="0"/>
          <w:iCs w:val="0"/>
          <w:caps w:val="0"/>
          <w:color w:val="000000"/>
          <w:spacing w:val="0"/>
          <w:sz w:val="44"/>
          <w:szCs w:val="44"/>
          <w:shd w:val="clear" w:color="auto" w:fill="FFFFFF"/>
        </w:rPr>
        <w:t>财政拨款收入支出决算批复</w:t>
      </w: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表</w:t>
      </w:r>
    </w:p>
    <w:p w14:paraId="1EB8BB97">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i w:val="0"/>
          <w:iCs w:val="0"/>
          <w:color w:val="000000"/>
          <w:kern w:val="0"/>
          <w:sz w:val="20"/>
          <w:szCs w:val="20"/>
        </w:rPr>
      </w:pPr>
      <w:r>
        <w:rPr>
          <w:rFonts w:ascii="Times New Roman" w:hAnsi="Times New Roman" w:eastAsia="仿宋_GB2312" w:cs="Times New Roman"/>
          <w:i w:val="0"/>
          <w:iCs w:val="0"/>
          <w:color w:val="000000"/>
          <w:kern w:val="0"/>
          <w:sz w:val="20"/>
          <w:szCs w:val="20"/>
        </w:rPr>
        <w:t xml:space="preserve">                                                                                                                 </w:t>
      </w:r>
      <w:r>
        <w:rPr>
          <w:rFonts w:hint="eastAsia" w:ascii="Times New Roman" w:hAnsi="Times New Roman" w:eastAsia="仿宋_GB2312" w:cs="Times New Roman"/>
          <w:i w:val="0"/>
          <w:iCs w:val="0"/>
          <w:color w:val="000000"/>
          <w:kern w:val="0"/>
          <w:sz w:val="20"/>
          <w:szCs w:val="20"/>
          <w:lang w:val="en-US" w:eastAsia="zh-CN"/>
        </w:rPr>
        <w:t xml:space="preserve">           </w:t>
      </w:r>
      <w:r>
        <w:rPr>
          <w:rFonts w:ascii="Times New Roman" w:hAnsi="Times New Roman" w:eastAsia="仿宋_GB2312" w:cs="Times New Roman"/>
          <w:i w:val="0"/>
          <w:iCs w:val="0"/>
          <w:color w:val="000000"/>
          <w:kern w:val="0"/>
          <w:sz w:val="20"/>
          <w:szCs w:val="20"/>
        </w:rPr>
        <w:t xml:space="preserve"> </w:t>
      </w:r>
      <w:r>
        <w:rPr>
          <w:rFonts w:hint="eastAsia" w:ascii="Times New Roman" w:hAnsi="Times New Roman" w:eastAsia="仿宋_GB2312" w:cs="Times New Roman"/>
          <w:i w:val="0"/>
          <w:iCs w:val="0"/>
          <w:color w:val="000000"/>
          <w:kern w:val="0"/>
          <w:sz w:val="20"/>
          <w:szCs w:val="20"/>
        </w:rPr>
        <w:t>财决批复04</w:t>
      </w:r>
      <w:r>
        <w:rPr>
          <w:rFonts w:ascii="Times New Roman" w:hAnsi="Times New Roman" w:eastAsia="仿宋_GB2312" w:cs="Times New Roman"/>
          <w:i w:val="0"/>
          <w:iCs w:val="0"/>
          <w:color w:val="000000"/>
          <w:kern w:val="0"/>
          <w:sz w:val="20"/>
          <w:szCs w:val="20"/>
        </w:rPr>
        <w:t>表</w:t>
      </w:r>
    </w:p>
    <w:p w14:paraId="1880D4A2">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i w:val="0"/>
          <w:iCs w:val="0"/>
          <w:color w:val="000000"/>
          <w:kern w:val="0"/>
          <w:sz w:val="20"/>
          <w:szCs w:val="20"/>
        </w:rPr>
      </w:pPr>
      <w:r>
        <w:rPr>
          <w:rFonts w:ascii="Times New Roman" w:hAnsi="Times New Roman" w:eastAsia="仿宋_GB2312" w:cs="Times New Roman"/>
          <w:i w:val="0"/>
          <w:iCs w:val="0"/>
          <w:color w:val="000000"/>
          <w:kern w:val="0"/>
          <w:sz w:val="20"/>
          <w:szCs w:val="20"/>
        </w:rPr>
        <w:t>部门：</w:t>
      </w:r>
      <w:r>
        <w:rPr>
          <w:rFonts w:hint="eastAsia" w:ascii="Times New Roman" w:hAnsi="Times New Roman" w:eastAsia="仿宋_GB2312" w:cs="Times New Roman"/>
          <w:i w:val="0"/>
          <w:iCs w:val="0"/>
          <w:color w:val="000000"/>
          <w:kern w:val="0"/>
          <w:sz w:val="20"/>
          <w:szCs w:val="20"/>
        </w:rPr>
        <w:t>怀化市医疗保障局</w:t>
      </w:r>
      <w:r>
        <w:rPr>
          <w:rFonts w:ascii="Times New Roman" w:hAnsi="Times New Roman" w:eastAsia="仿宋_GB2312" w:cs="Times New Roman"/>
          <w:i w:val="0"/>
          <w:iCs w:val="0"/>
          <w:color w:val="000000"/>
          <w:kern w:val="0"/>
          <w:sz w:val="20"/>
          <w:szCs w:val="20"/>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ascii="Times New Roman" w:hAnsi="Times New Roman" w:eastAsia="仿宋_GB2312" w:cs="Times New Roman"/>
          <w:i w:val="0"/>
          <w:iCs w:val="0"/>
          <w:kern w:val="0"/>
          <w:sz w:val="24"/>
          <w:szCs w:val="24"/>
        </w:rPr>
        <w:t>　</w:t>
      </w:r>
      <w:r>
        <w:rPr>
          <w:rFonts w:ascii="Times New Roman" w:hAnsi="Times New Roman" w:eastAsia="仿宋_GB2312" w:cs="Times New Roman"/>
          <w:i w:val="0"/>
          <w:iCs w:val="0"/>
          <w:kern w:val="0"/>
          <w:sz w:val="24"/>
          <w:szCs w:val="24"/>
        </w:rPr>
        <w:tab/>
      </w:r>
      <w:r>
        <w:rPr>
          <w:rFonts w:hint="eastAsia" w:ascii="Times New Roman" w:hAnsi="Times New Roman" w:eastAsia="仿宋_GB2312" w:cs="Times New Roman"/>
          <w:i w:val="0"/>
          <w:iCs w:val="0"/>
          <w:kern w:val="0"/>
          <w:sz w:val="24"/>
          <w:szCs w:val="24"/>
          <w:lang w:val="en-US" w:eastAsia="zh-CN"/>
        </w:rPr>
        <w:t xml:space="preserve">  </w:t>
      </w:r>
      <w:r>
        <w:rPr>
          <w:rFonts w:ascii="Times New Roman" w:hAnsi="Times New Roman" w:eastAsia="仿宋_GB2312" w:cs="Times New Roman"/>
          <w:i w:val="0"/>
          <w:iCs w:val="0"/>
          <w:kern w:val="0"/>
          <w:sz w:val="24"/>
          <w:szCs w:val="24"/>
        </w:rPr>
        <w:t>　</w:t>
      </w:r>
      <w:r>
        <w:rPr>
          <w:rFonts w:hint="eastAsia" w:ascii="Times New Roman" w:hAnsi="Times New Roman" w:eastAsia="仿宋_GB2312" w:cs="Times New Roman"/>
          <w:i w:val="0"/>
          <w:iCs w:val="0"/>
          <w:kern w:val="0"/>
          <w:sz w:val="24"/>
          <w:szCs w:val="24"/>
          <w:lang w:val="en-US" w:eastAsia="zh-CN"/>
        </w:rPr>
        <w:t xml:space="preserve">    </w:t>
      </w:r>
      <w:r>
        <w:rPr>
          <w:rFonts w:hint="eastAsia" w:ascii="Times New Roman" w:hAnsi="Times New Roman" w:eastAsia="仿宋_GB2312" w:cs="Times New Roman"/>
          <w:i w:val="0"/>
          <w:iCs w:val="0"/>
          <w:kern w:val="0"/>
          <w:sz w:val="20"/>
          <w:szCs w:val="20"/>
          <w:lang w:val="en-US" w:eastAsia="zh-CN"/>
        </w:rPr>
        <w:t xml:space="preserve">   金额</w:t>
      </w:r>
      <w:r>
        <w:rPr>
          <w:rFonts w:ascii="Times New Roman" w:hAnsi="Times New Roman" w:eastAsia="仿宋_GB2312" w:cs="Times New Roman"/>
          <w:i w:val="0"/>
          <w:iCs w:val="0"/>
          <w:color w:val="000000"/>
          <w:kern w:val="0"/>
          <w:sz w:val="20"/>
          <w:szCs w:val="20"/>
        </w:rPr>
        <w:t>单位：万元</w:t>
      </w:r>
    </w:p>
    <w:tbl>
      <w:tblPr>
        <w:tblStyle w:val="9"/>
        <w:tblW w:w="498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5"/>
        <w:gridCol w:w="434"/>
        <w:gridCol w:w="1092"/>
        <w:gridCol w:w="3709"/>
        <w:gridCol w:w="543"/>
        <w:gridCol w:w="1030"/>
        <w:gridCol w:w="1434"/>
        <w:gridCol w:w="1635"/>
        <w:gridCol w:w="1579"/>
      </w:tblGrid>
      <w:tr w14:paraId="15405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blHeader/>
        </w:trPr>
        <w:tc>
          <w:tcPr>
            <w:tcW w:w="163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D3941">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收     入</w:t>
            </w:r>
          </w:p>
        </w:tc>
        <w:tc>
          <w:tcPr>
            <w:tcW w:w="3365" w:type="pct"/>
            <w:gridSpan w:val="6"/>
            <w:tcBorders>
              <w:top w:val="single" w:color="000000" w:sz="4" w:space="0"/>
              <w:left w:val="nil"/>
              <w:bottom w:val="single" w:color="000000" w:sz="4" w:space="0"/>
              <w:right w:val="single" w:color="000000" w:sz="4" w:space="0"/>
            </w:tcBorders>
            <w:shd w:val="clear" w:color="auto" w:fill="auto"/>
            <w:noWrap/>
            <w:vAlign w:val="center"/>
          </w:tcPr>
          <w:p w14:paraId="508A8147">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支     出</w:t>
            </w:r>
          </w:p>
        </w:tc>
      </w:tr>
      <w:tr w14:paraId="06EA0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blHeader/>
        </w:trPr>
        <w:tc>
          <w:tcPr>
            <w:tcW w:w="1117" w:type="pct"/>
            <w:tcBorders>
              <w:top w:val="nil"/>
              <w:left w:val="single" w:color="000000" w:sz="4" w:space="0"/>
              <w:bottom w:val="single" w:color="000000" w:sz="4" w:space="0"/>
              <w:right w:val="single" w:color="000000" w:sz="4" w:space="0"/>
            </w:tcBorders>
            <w:shd w:val="clear" w:color="auto" w:fill="auto"/>
            <w:vAlign w:val="center"/>
          </w:tcPr>
          <w:p w14:paraId="4590EB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项目</w:t>
            </w:r>
          </w:p>
        </w:tc>
        <w:tc>
          <w:tcPr>
            <w:tcW w:w="147" w:type="pct"/>
            <w:tcBorders>
              <w:top w:val="nil"/>
              <w:left w:val="nil"/>
              <w:bottom w:val="single" w:color="000000" w:sz="4" w:space="0"/>
              <w:right w:val="single" w:color="000000" w:sz="4" w:space="0"/>
            </w:tcBorders>
            <w:shd w:val="clear" w:color="auto" w:fill="auto"/>
            <w:vAlign w:val="center"/>
          </w:tcPr>
          <w:p w14:paraId="7D6CCE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行次</w:t>
            </w:r>
          </w:p>
        </w:tc>
        <w:tc>
          <w:tcPr>
            <w:tcW w:w="369" w:type="pct"/>
            <w:tcBorders>
              <w:top w:val="nil"/>
              <w:left w:val="nil"/>
              <w:bottom w:val="single" w:color="000000" w:sz="4" w:space="0"/>
              <w:right w:val="single" w:color="000000" w:sz="4" w:space="0"/>
            </w:tcBorders>
            <w:shd w:val="clear" w:color="auto" w:fill="auto"/>
            <w:vAlign w:val="center"/>
          </w:tcPr>
          <w:p w14:paraId="40D425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金额</w:t>
            </w:r>
          </w:p>
        </w:tc>
        <w:tc>
          <w:tcPr>
            <w:tcW w:w="1257" w:type="pct"/>
            <w:tcBorders>
              <w:top w:val="nil"/>
              <w:left w:val="nil"/>
              <w:bottom w:val="single" w:color="000000" w:sz="4" w:space="0"/>
              <w:right w:val="single" w:color="000000" w:sz="4" w:space="0"/>
            </w:tcBorders>
            <w:shd w:val="clear" w:color="auto" w:fill="auto"/>
            <w:vAlign w:val="center"/>
          </w:tcPr>
          <w:p w14:paraId="223420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项目</w:t>
            </w:r>
          </w:p>
        </w:tc>
        <w:tc>
          <w:tcPr>
            <w:tcW w:w="184" w:type="pct"/>
            <w:tcBorders>
              <w:top w:val="nil"/>
              <w:left w:val="nil"/>
              <w:bottom w:val="single" w:color="000000" w:sz="4" w:space="0"/>
              <w:right w:val="single" w:color="000000" w:sz="4" w:space="0"/>
            </w:tcBorders>
            <w:shd w:val="clear" w:color="auto" w:fill="auto"/>
            <w:vAlign w:val="center"/>
          </w:tcPr>
          <w:p w14:paraId="253DFA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行次</w:t>
            </w:r>
          </w:p>
        </w:tc>
        <w:tc>
          <w:tcPr>
            <w:tcW w:w="349" w:type="pct"/>
            <w:tcBorders>
              <w:top w:val="nil"/>
              <w:left w:val="nil"/>
              <w:bottom w:val="single" w:color="000000" w:sz="4" w:space="0"/>
              <w:right w:val="single" w:color="000000" w:sz="4" w:space="0"/>
            </w:tcBorders>
            <w:shd w:val="clear" w:color="auto" w:fill="auto"/>
            <w:noWrap/>
            <w:vAlign w:val="center"/>
          </w:tcPr>
          <w:p w14:paraId="1182DA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合计</w:t>
            </w:r>
          </w:p>
        </w:tc>
        <w:tc>
          <w:tcPr>
            <w:tcW w:w="486" w:type="pct"/>
            <w:tcBorders>
              <w:top w:val="nil"/>
              <w:left w:val="nil"/>
              <w:bottom w:val="single" w:color="000000" w:sz="4" w:space="0"/>
              <w:right w:val="single" w:color="000000" w:sz="4" w:space="0"/>
            </w:tcBorders>
            <w:shd w:val="clear" w:color="auto" w:fill="auto"/>
            <w:vAlign w:val="center"/>
          </w:tcPr>
          <w:p w14:paraId="6870B9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一般公共预算财政拨款</w:t>
            </w:r>
          </w:p>
        </w:tc>
        <w:tc>
          <w:tcPr>
            <w:tcW w:w="554" w:type="pct"/>
            <w:tcBorders>
              <w:top w:val="nil"/>
              <w:left w:val="nil"/>
              <w:bottom w:val="single" w:color="000000" w:sz="4" w:space="0"/>
              <w:right w:val="single" w:color="000000" w:sz="4" w:space="0"/>
            </w:tcBorders>
            <w:shd w:val="clear" w:color="auto" w:fill="auto"/>
            <w:vAlign w:val="center"/>
          </w:tcPr>
          <w:p w14:paraId="5EE874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政府性基金预算财政拨款</w:t>
            </w:r>
          </w:p>
        </w:tc>
        <w:tc>
          <w:tcPr>
            <w:tcW w:w="533" w:type="pct"/>
            <w:tcBorders>
              <w:top w:val="nil"/>
              <w:left w:val="nil"/>
              <w:bottom w:val="single" w:color="000000" w:sz="4" w:space="0"/>
              <w:right w:val="single" w:color="000000" w:sz="4" w:space="0"/>
            </w:tcBorders>
            <w:shd w:val="clear" w:color="auto" w:fill="auto"/>
            <w:vAlign w:val="center"/>
          </w:tcPr>
          <w:p w14:paraId="0A1363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国有资本经营预算财政拨款</w:t>
            </w:r>
          </w:p>
        </w:tc>
      </w:tr>
      <w:tr w14:paraId="46E2C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blHeader/>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33706FAB">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栏次</w:t>
            </w:r>
          </w:p>
        </w:tc>
        <w:tc>
          <w:tcPr>
            <w:tcW w:w="147" w:type="pct"/>
            <w:tcBorders>
              <w:top w:val="nil"/>
              <w:left w:val="nil"/>
              <w:bottom w:val="single" w:color="000000" w:sz="4" w:space="0"/>
              <w:right w:val="single" w:color="000000" w:sz="4" w:space="0"/>
            </w:tcBorders>
            <w:shd w:val="clear" w:color="auto" w:fill="auto"/>
            <w:noWrap/>
            <w:vAlign w:val="center"/>
          </w:tcPr>
          <w:p w14:paraId="57C83E7C">
            <w:pPr>
              <w:jc w:val="center"/>
              <w:rPr>
                <w:rFonts w:hint="eastAsia" w:ascii="黑体" w:hAnsi="黑体" w:eastAsia="黑体" w:cs="黑体"/>
                <w:i w:val="0"/>
                <w:iCs w:val="0"/>
                <w:color w:val="000000"/>
                <w:sz w:val="20"/>
                <w:szCs w:val="20"/>
                <w:u w:val="none"/>
              </w:rPr>
            </w:pPr>
          </w:p>
        </w:tc>
        <w:tc>
          <w:tcPr>
            <w:tcW w:w="369" w:type="pct"/>
            <w:tcBorders>
              <w:top w:val="nil"/>
              <w:left w:val="nil"/>
              <w:bottom w:val="single" w:color="000000" w:sz="4" w:space="0"/>
              <w:right w:val="single" w:color="000000" w:sz="4" w:space="0"/>
            </w:tcBorders>
            <w:shd w:val="clear" w:color="auto" w:fill="auto"/>
            <w:noWrap/>
            <w:vAlign w:val="center"/>
          </w:tcPr>
          <w:p w14:paraId="55401767">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1</w:t>
            </w:r>
          </w:p>
        </w:tc>
        <w:tc>
          <w:tcPr>
            <w:tcW w:w="1257" w:type="pct"/>
            <w:tcBorders>
              <w:top w:val="nil"/>
              <w:left w:val="nil"/>
              <w:bottom w:val="single" w:color="000000" w:sz="4" w:space="0"/>
              <w:right w:val="single" w:color="000000" w:sz="4" w:space="0"/>
            </w:tcBorders>
            <w:shd w:val="clear" w:color="auto" w:fill="auto"/>
            <w:noWrap/>
            <w:vAlign w:val="center"/>
          </w:tcPr>
          <w:p w14:paraId="695929A8">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栏次</w:t>
            </w:r>
          </w:p>
        </w:tc>
        <w:tc>
          <w:tcPr>
            <w:tcW w:w="184" w:type="pct"/>
            <w:tcBorders>
              <w:top w:val="nil"/>
              <w:left w:val="nil"/>
              <w:bottom w:val="single" w:color="000000" w:sz="4" w:space="0"/>
              <w:right w:val="single" w:color="000000" w:sz="4" w:space="0"/>
            </w:tcBorders>
            <w:shd w:val="clear" w:color="auto" w:fill="auto"/>
            <w:noWrap/>
            <w:vAlign w:val="center"/>
          </w:tcPr>
          <w:p w14:paraId="5CD09B80">
            <w:pPr>
              <w:jc w:val="center"/>
              <w:rPr>
                <w:rFonts w:hint="eastAsia" w:ascii="黑体" w:hAnsi="黑体" w:eastAsia="黑体" w:cs="黑体"/>
                <w:i w:val="0"/>
                <w:iCs w:val="0"/>
                <w:color w:val="000000"/>
                <w:sz w:val="20"/>
                <w:szCs w:val="20"/>
                <w:u w:val="none"/>
              </w:rPr>
            </w:pPr>
          </w:p>
        </w:tc>
        <w:tc>
          <w:tcPr>
            <w:tcW w:w="349" w:type="pct"/>
            <w:tcBorders>
              <w:top w:val="nil"/>
              <w:left w:val="nil"/>
              <w:bottom w:val="single" w:color="000000" w:sz="4" w:space="0"/>
              <w:right w:val="single" w:color="000000" w:sz="4" w:space="0"/>
            </w:tcBorders>
            <w:shd w:val="clear" w:color="auto" w:fill="auto"/>
            <w:noWrap/>
            <w:vAlign w:val="center"/>
          </w:tcPr>
          <w:p w14:paraId="1CC07E7D">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2</w:t>
            </w:r>
          </w:p>
        </w:tc>
        <w:tc>
          <w:tcPr>
            <w:tcW w:w="486" w:type="pct"/>
            <w:tcBorders>
              <w:top w:val="nil"/>
              <w:left w:val="nil"/>
              <w:bottom w:val="single" w:color="000000" w:sz="4" w:space="0"/>
              <w:right w:val="single" w:color="000000" w:sz="4" w:space="0"/>
            </w:tcBorders>
            <w:shd w:val="clear" w:color="auto" w:fill="auto"/>
            <w:noWrap/>
            <w:vAlign w:val="center"/>
          </w:tcPr>
          <w:p w14:paraId="42DEBFC0">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3</w:t>
            </w:r>
          </w:p>
        </w:tc>
        <w:tc>
          <w:tcPr>
            <w:tcW w:w="554" w:type="pct"/>
            <w:tcBorders>
              <w:top w:val="nil"/>
              <w:left w:val="nil"/>
              <w:bottom w:val="single" w:color="000000" w:sz="4" w:space="0"/>
              <w:right w:val="single" w:color="000000" w:sz="4" w:space="0"/>
            </w:tcBorders>
            <w:shd w:val="clear" w:color="auto" w:fill="auto"/>
            <w:noWrap/>
            <w:vAlign w:val="center"/>
          </w:tcPr>
          <w:p w14:paraId="438E01BE">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4</w:t>
            </w:r>
          </w:p>
        </w:tc>
        <w:tc>
          <w:tcPr>
            <w:tcW w:w="533" w:type="pct"/>
            <w:tcBorders>
              <w:top w:val="nil"/>
              <w:left w:val="nil"/>
              <w:bottom w:val="single" w:color="000000" w:sz="4" w:space="0"/>
              <w:right w:val="single" w:color="000000" w:sz="4" w:space="0"/>
            </w:tcBorders>
            <w:shd w:val="clear" w:color="auto" w:fill="auto"/>
            <w:noWrap/>
            <w:vAlign w:val="center"/>
          </w:tcPr>
          <w:p w14:paraId="24B33AC9">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5</w:t>
            </w:r>
          </w:p>
        </w:tc>
      </w:tr>
      <w:tr w14:paraId="66B40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783FFF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一、一般公共预算财政拨款</w:t>
            </w:r>
          </w:p>
        </w:tc>
        <w:tc>
          <w:tcPr>
            <w:tcW w:w="147" w:type="pct"/>
            <w:tcBorders>
              <w:top w:val="nil"/>
              <w:left w:val="nil"/>
              <w:bottom w:val="single" w:color="000000" w:sz="4" w:space="0"/>
              <w:right w:val="single" w:color="000000" w:sz="4" w:space="0"/>
            </w:tcBorders>
            <w:shd w:val="clear" w:color="auto" w:fill="auto"/>
            <w:noWrap/>
            <w:vAlign w:val="center"/>
          </w:tcPr>
          <w:p w14:paraId="5E227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69" w:type="pct"/>
            <w:tcBorders>
              <w:top w:val="nil"/>
              <w:left w:val="nil"/>
              <w:bottom w:val="single" w:color="000000" w:sz="4" w:space="0"/>
              <w:right w:val="single" w:color="000000" w:sz="4" w:space="0"/>
            </w:tcBorders>
            <w:shd w:val="clear" w:color="auto" w:fill="auto"/>
            <w:noWrap/>
            <w:vAlign w:val="center"/>
          </w:tcPr>
          <w:p w14:paraId="288086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1257" w:type="pct"/>
            <w:tcBorders>
              <w:top w:val="nil"/>
              <w:left w:val="nil"/>
              <w:bottom w:val="single" w:color="000000" w:sz="4" w:space="0"/>
              <w:right w:val="single" w:color="000000" w:sz="4" w:space="0"/>
            </w:tcBorders>
            <w:shd w:val="clear" w:color="auto" w:fill="auto"/>
            <w:noWrap/>
            <w:vAlign w:val="center"/>
          </w:tcPr>
          <w:p w14:paraId="3D9C77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一、一般公共服务支出</w:t>
            </w:r>
          </w:p>
        </w:tc>
        <w:tc>
          <w:tcPr>
            <w:tcW w:w="184" w:type="pct"/>
            <w:tcBorders>
              <w:top w:val="nil"/>
              <w:left w:val="nil"/>
              <w:bottom w:val="single" w:color="000000" w:sz="4" w:space="0"/>
              <w:right w:val="single" w:color="000000" w:sz="4" w:space="0"/>
            </w:tcBorders>
            <w:shd w:val="clear" w:color="auto" w:fill="auto"/>
            <w:noWrap/>
            <w:vAlign w:val="center"/>
          </w:tcPr>
          <w:p w14:paraId="0662F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349" w:type="pct"/>
            <w:tcBorders>
              <w:top w:val="nil"/>
              <w:left w:val="nil"/>
              <w:bottom w:val="single" w:color="000000" w:sz="4" w:space="0"/>
              <w:right w:val="single" w:color="000000" w:sz="4" w:space="0"/>
            </w:tcBorders>
            <w:shd w:val="clear" w:color="auto" w:fill="auto"/>
            <w:noWrap/>
            <w:vAlign w:val="center"/>
          </w:tcPr>
          <w:p w14:paraId="4D403C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24C317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7B57632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1E366F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E9DF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364693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二、政府性基金预算财政拨款</w:t>
            </w:r>
          </w:p>
        </w:tc>
        <w:tc>
          <w:tcPr>
            <w:tcW w:w="147" w:type="pct"/>
            <w:tcBorders>
              <w:top w:val="nil"/>
              <w:left w:val="nil"/>
              <w:bottom w:val="single" w:color="000000" w:sz="4" w:space="0"/>
              <w:right w:val="single" w:color="000000" w:sz="4" w:space="0"/>
            </w:tcBorders>
            <w:shd w:val="clear" w:color="auto" w:fill="auto"/>
            <w:noWrap/>
            <w:vAlign w:val="center"/>
          </w:tcPr>
          <w:p w14:paraId="7B50B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69" w:type="pct"/>
            <w:tcBorders>
              <w:top w:val="nil"/>
              <w:left w:val="nil"/>
              <w:bottom w:val="single" w:color="000000" w:sz="4" w:space="0"/>
              <w:right w:val="single" w:color="000000" w:sz="4" w:space="0"/>
            </w:tcBorders>
            <w:shd w:val="clear" w:color="auto" w:fill="auto"/>
            <w:noWrap/>
            <w:vAlign w:val="center"/>
          </w:tcPr>
          <w:p w14:paraId="52E7C9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57" w:type="pct"/>
            <w:tcBorders>
              <w:top w:val="nil"/>
              <w:left w:val="nil"/>
              <w:bottom w:val="single" w:color="000000" w:sz="4" w:space="0"/>
              <w:right w:val="single" w:color="000000" w:sz="4" w:space="0"/>
            </w:tcBorders>
            <w:shd w:val="clear" w:color="auto" w:fill="auto"/>
            <w:noWrap/>
            <w:vAlign w:val="center"/>
          </w:tcPr>
          <w:p w14:paraId="285140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二、外交支出</w:t>
            </w:r>
          </w:p>
        </w:tc>
        <w:tc>
          <w:tcPr>
            <w:tcW w:w="184" w:type="pct"/>
            <w:tcBorders>
              <w:top w:val="nil"/>
              <w:left w:val="nil"/>
              <w:bottom w:val="single" w:color="000000" w:sz="4" w:space="0"/>
              <w:right w:val="single" w:color="000000" w:sz="4" w:space="0"/>
            </w:tcBorders>
            <w:shd w:val="clear" w:color="auto" w:fill="auto"/>
            <w:noWrap/>
            <w:vAlign w:val="center"/>
          </w:tcPr>
          <w:p w14:paraId="52C1C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349" w:type="pct"/>
            <w:tcBorders>
              <w:top w:val="nil"/>
              <w:left w:val="nil"/>
              <w:bottom w:val="single" w:color="000000" w:sz="4" w:space="0"/>
              <w:right w:val="single" w:color="000000" w:sz="4" w:space="0"/>
            </w:tcBorders>
            <w:shd w:val="clear" w:color="auto" w:fill="auto"/>
            <w:noWrap/>
            <w:vAlign w:val="center"/>
          </w:tcPr>
          <w:p w14:paraId="2B8A60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317EECE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3A0AD5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27CFD7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8392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192EC5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三、国有资本经营预算财政拨款</w:t>
            </w:r>
          </w:p>
        </w:tc>
        <w:tc>
          <w:tcPr>
            <w:tcW w:w="147" w:type="pct"/>
            <w:tcBorders>
              <w:top w:val="nil"/>
              <w:left w:val="nil"/>
              <w:bottom w:val="single" w:color="000000" w:sz="4" w:space="0"/>
              <w:right w:val="single" w:color="000000" w:sz="4" w:space="0"/>
            </w:tcBorders>
            <w:shd w:val="clear" w:color="auto" w:fill="auto"/>
            <w:noWrap/>
            <w:vAlign w:val="center"/>
          </w:tcPr>
          <w:p w14:paraId="524A0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69" w:type="pct"/>
            <w:tcBorders>
              <w:top w:val="nil"/>
              <w:left w:val="nil"/>
              <w:bottom w:val="single" w:color="000000" w:sz="4" w:space="0"/>
              <w:right w:val="single" w:color="000000" w:sz="4" w:space="0"/>
            </w:tcBorders>
            <w:shd w:val="clear" w:color="auto" w:fill="auto"/>
            <w:noWrap/>
            <w:vAlign w:val="center"/>
          </w:tcPr>
          <w:p w14:paraId="258F1D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57" w:type="pct"/>
            <w:tcBorders>
              <w:top w:val="nil"/>
              <w:left w:val="nil"/>
              <w:bottom w:val="single" w:color="000000" w:sz="4" w:space="0"/>
              <w:right w:val="single" w:color="000000" w:sz="4" w:space="0"/>
            </w:tcBorders>
            <w:shd w:val="clear" w:color="auto" w:fill="auto"/>
            <w:noWrap/>
            <w:vAlign w:val="center"/>
          </w:tcPr>
          <w:p w14:paraId="79FE9F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三、国防支出</w:t>
            </w:r>
          </w:p>
        </w:tc>
        <w:tc>
          <w:tcPr>
            <w:tcW w:w="184" w:type="pct"/>
            <w:tcBorders>
              <w:top w:val="nil"/>
              <w:left w:val="nil"/>
              <w:bottom w:val="single" w:color="000000" w:sz="4" w:space="0"/>
              <w:right w:val="single" w:color="000000" w:sz="4" w:space="0"/>
            </w:tcBorders>
            <w:shd w:val="clear" w:color="auto" w:fill="auto"/>
            <w:noWrap/>
            <w:vAlign w:val="center"/>
          </w:tcPr>
          <w:p w14:paraId="3228C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349" w:type="pct"/>
            <w:tcBorders>
              <w:top w:val="nil"/>
              <w:left w:val="nil"/>
              <w:bottom w:val="single" w:color="000000" w:sz="4" w:space="0"/>
              <w:right w:val="single" w:color="000000" w:sz="4" w:space="0"/>
            </w:tcBorders>
            <w:shd w:val="clear" w:color="auto" w:fill="auto"/>
            <w:noWrap/>
            <w:vAlign w:val="center"/>
          </w:tcPr>
          <w:p w14:paraId="14B345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115850E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130DE6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323AC78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FA4C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2332203C">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6E9C1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69" w:type="pct"/>
            <w:tcBorders>
              <w:top w:val="nil"/>
              <w:left w:val="nil"/>
              <w:bottom w:val="single" w:color="000000" w:sz="4" w:space="0"/>
              <w:right w:val="single" w:color="000000" w:sz="4" w:space="0"/>
            </w:tcBorders>
            <w:shd w:val="clear" w:color="auto" w:fill="auto"/>
            <w:noWrap/>
            <w:vAlign w:val="center"/>
          </w:tcPr>
          <w:p w14:paraId="33AE1690">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7A806E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四、公共安全支出</w:t>
            </w:r>
          </w:p>
        </w:tc>
        <w:tc>
          <w:tcPr>
            <w:tcW w:w="184" w:type="pct"/>
            <w:tcBorders>
              <w:top w:val="nil"/>
              <w:left w:val="nil"/>
              <w:bottom w:val="single" w:color="000000" w:sz="4" w:space="0"/>
              <w:right w:val="single" w:color="000000" w:sz="4" w:space="0"/>
            </w:tcBorders>
            <w:shd w:val="clear" w:color="auto" w:fill="auto"/>
            <w:noWrap/>
            <w:vAlign w:val="center"/>
          </w:tcPr>
          <w:p w14:paraId="3F5D0C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349" w:type="pct"/>
            <w:tcBorders>
              <w:top w:val="nil"/>
              <w:left w:val="nil"/>
              <w:bottom w:val="single" w:color="000000" w:sz="4" w:space="0"/>
              <w:right w:val="single" w:color="000000" w:sz="4" w:space="0"/>
            </w:tcBorders>
            <w:shd w:val="clear" w:color="auto" w:fill="auto"/>
            <w:noWrap/>
            <w:vAlign w:val="center"/>
          </w:tcPr>
          <w:p w14:paraId="4AD2E9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6170814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56E5A3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090CBA2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D3D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5A953166">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13C85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69" w:type="pct"/>
            <w:tcBorders>
              <w:top w:val="nil"/>
              <w:left w:val="nil"/>
              <w:bottom w:val="single" w:color="000000" w:sz="4" w:space="0"/>
              <w:right w:val="single" w:color="000000" w:sz="4" w:space="0"/>
            </w:tcBorders>
            <w:shd w:val="clear" w:color="auto" w:fill="auto"/>
            <w:noWrap/>
            <w:vAlign w:val="center"/>
          </w:tcPr>
          <w:p w14:paraId="305D7C80">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25EEEF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五、教育支出</w:t>
            </w:r>
          </w:p>
        </w:tc>
        <w:tc>
          <w:tcPr>
            <w:tcW w:w="184" w:type="pct"/>
            <w:tcBorders>
              <w:top w:val="nil"/>
              <w:left w:val="nil"/>
              <w:bottom w:val="single" w:color="000000" w:sz="4" w:space="0"/>
              <w:right w:val="single" w:color="000000" w:sz="4" w:space="0"/>
            </w:tcBorders>
            <w:shd w:val="clear" w:color="auto" w:fill="auto"/>
            <w:noWrap/>
            <w:vAlign w:val="center"/>
          </w:tcPr>
          <w:p w14:paraId="1FF18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349" w:type="pct"/>
            <w:tcBorders>
              <w:top w:val="nil"/>
              <w:left w:val="nil"/>
              <w:bottom w:val="single" w:color="000000" w:sz="4" w:space="0"/>
              <w:right w:val="single" w:color="000000" w:sz="4" w:space="0"/>
            </w:tcBorders>
            <w:shd w:val="clear" w:color="auto" w:fill="auto"/>
            <w:noWrap/>
            <w:vAlign w:val="center"/>
          </w:tcPr>
          <w:p w14:paraId="228F41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713295F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54FBF8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2A9273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0543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59DC12E7">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623E8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69" w:type="pct"/>
            <w:tcBorders>
              <w:top w:val="nil"/>
              <w:left w:val="nil"/>
              <w:bottom w:val="single" w:color="000000" w:sz="4" w:space="0"/>
              <w:right w:val="single" w:color="000000" w:sz="4" w:space="0"/>
            </w:tcBorders>
            <w:shd w:val="clear" w:color="auto" w:fill="auto"/>
            <w:noWrap/>
            <w:vAlign w:val="center"/>
          </w:tcPr>
          <w:p w14:paraId="500B0A43">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4DDCB7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六、科学技术支出</w:t>
            </w:r>
          </w:p>
        </w:tc>
        <w:tc>
          <w:tcPr>
            <w:tcW w:w="184" w:type="pct"/>
            <w:tcBorders>
              <w:top w:val="nil"/>
              <w:left w:val="nil"/>
              <w:bottom w:val="single" w:color="000000" w:sz="4" w:space="0"/>
              <w:right w:val="single" w:color="000000" w:sz="4" w:space="0"/>
            </w:tcBorders>
            <w:shd w:val="clear" w:color="auto" w:fill="auto"/>
            <w:noWrap/>
            <w:vAlign w:val="center"/>
          </w:tcPr>
          <w:p w14:paraId="7EE60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349" w:type="pct"/>
            <w:tcBorders>
              <w:top w:val="nil"/>
              <w:left w:val="nil"/>
              <w:bottom w:val="single" w:color="000000" w:sz="4" w:space="0"/>
              <w:right w:val="single" w:color="000000" w:sz="4" w:space="0"/>
            </w:tcBorders>
            <w:shd w:val="clear" w:color="auto" w:fill="auto"/>
            <w:noWrap/>
            <w:vAlign w:val="center"/>
          </w:tcPr>
          <w:p w14:paraId="157407C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786417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3B3C4A5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10E491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DD7A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3DB70C53">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1458D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69" w:type="pct"/>
            <w:tcBorders>
              <w:top w:val="nil"/>
              <w:left w:val="nil"/>
              <w:bottom w:val="single" w:color="000000" w:sz="4" w:space="0"/>
              <w:right w:val="single" w:color="000000" w:sz="4" w:space="0"/>
            </w:tcBorders>
            <w:shd w:val="clear" w:color="auto" w:fill="auto"/>
            <w:noWrap/>
            <w:vAlign w:val="center"/>
          </w:tcPr>
          <w:p w14:paraId="3A9A9AAB">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1691DA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七、文化旅游体育与传媒支出</w:t>
            </w:r>
          </w:p>
        </w:tc>
        <w:tc>
          <w:tcPr>
            <w:tcW w:w="184" w:type="pct"/>
            <w:tcBorders>
              <w:top w:val="nil"/>
              <w:left w:val="nil"/>
              <w:bottom w:val="single" w:color="000000" w:sz="4" w:space="0"/>
              <w:right w:val="single" w:color="000000" w:sz="4" w:space="0"/>
            </w:tcBorders>
            <w:shd w:val="clear" w:color="auto" w:fill="auto"/>
            <w:noWrap/>
            <w:vAlign w:val="center"/>
          </w:tcPr>
          <w:p w14:paraId="2E121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349" w:type="pct"/>
            <w:tcBorders>
              <w:top w:val="nil"/>
              <w:left w:val="nil"/>
              <w:bottom w:val="single" w:color="000000" w:sz="4" w:space="0"/>
              <w:right w:val="single" w:color="000000" w:sz="4" w:space="0"/>
            </w:tcBorders>
            <w:shd w:val="clear" w:color="auto" w:fill="auto"/>
            <w:noWrap/>
            <w:vAlign w:val="center"/>
          </w:tcPr>
          <w:p w14:paraId="65390F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6CBA078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4F176C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26E219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FB4A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2D14C101">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170A5A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69" w:type="pct"/>
            <w:tcBorders>
              <w:top w:val="nil"/>
              <w:left w:val="nil"/>
              <w:bottom w:val="single" w:color="000000" w:sz="4" w:space="0"/>
              <w:right w:val="single" w:color="000000" w:sz="4" w:space="0"/>
            </w:tcBorders>
            <w:shd w:val="clear" w:color="auto" w:fill="auto"/>
            <w:noWrap/>
            <w:vAlign w:val="center"/>
          </w:tcPr>
          <w:p w14:paraId="289B9B77">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158A58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八、社会保障和就业支出</w:t>
            </w:r>
          </w:p>
        </w:tc>
        <w:tc>
          <w:tcPr>
            <w:tcW w:w="184" w:type="pct"/>
            <w:tcBorders>
              <w:top w:val="nil"/>
              <w:left w:val="nil"/>
              <w:bottom w:val="single" w:color="000000" w:sz="4" w:space="0"/>
              <w:right w:val="single" w:color="000000" w:sz="4" w:space="0"/>
            </w:tcBorders>
            <w:shd w:val="clear" w:color="auto" w:fill="auto"/>
            <w:noWrap/>
            <w:vAlign w:val="center"/>
          </w:tcPr>
          <w:p w14:paraId="6B2FE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349" w:type="pct"/>
            <w:tcBorders>
              <w:top w:val="nil"/>
              <w:left w:val="nil"/>
              <w:bottom w:val="single" w:color="000000" w:sz="4" w:space="0"/>
              <w:right w:val="single" w:color="000000" w:sz="4" w:space="0"/>
            </w:tcBorders>
            <w:shd w:val="clear" w:color="auto" w:fill="auto"/>
            <w:noWrap/>
            <w:vAlign w:val="center"/>
          </w:tcPr>
          <w:p w14:paraId="644255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0B3A49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672C37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5157D77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153F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37B3448A">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740A4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69" w:type="pct"/>
            <w:tcBorders>
              <w:top w:val="nil"/>
              <w:left w:val="nil"/>
              <w:bottom w:val="single" w:color="000000" w:sz="4" w:space="0"/>
              <w:right w:val="single" w:color="000000" w:sz="4" w:space="0"/>
            </w:tcBorders>
            <w:shd w:val="clear" w:color="auto" w:fill="auto"/>
            <w:noWrap/>
            <w:vAlign w:val="center"/>
          </w:tcPr>
          <w:p w14:paraId="6C582146">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7EE815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九、卫生健康支出</w:t>
            </w:r>
          </w:p>
        </w:tc>
        <w:tc>
          <w:tcPr>
            <w:tcW w:w="184" w:type="pct"/>
            <w:tcBorders>
              <w:top w:val="nil"/>
              <w:left w:val="nil"/>
              <w:bottom w:val="single" w:color="000000" w:sz="4" w:space="0"/>
              <w:right w:val="single" w:color="000000" w:sz="4" w:space="0"/>
            </w:tcBorders>
            <w:shd w:val="clear" w:color="auto" w:fill="auto"/>
            <w:noWrap/>
            <w:vAlign w:val="center"/>
          </w:tcPr>
          <w:p w14:paraId="73D78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349" w:type="pct"/>
            <w:tcBorders>
              <w:top w:val="nil"/>
              <w:left w:val="nil"/>
              <w:bottom w:val="single" w:color="000000" w:sz="4" w:space="0"/>
              <w:right w:val="single" w:color="000000" w:sz="4" w:space="0"/>
            </w:tcBorders>
            <w:shd w:val="clear" w:color="auto" w:fill="auto"/>
            <w:noWrap/>
            <w:vAlign w:val="center"/>
          </w:tcPr>
          <w:p w14:paraId="14F6BB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486" w:type="pct"/>
            <w:tcBorders>
              <w:top w:val="nil"/>
              <w:left w:val="nil"/>
              <w:bottom w:val="single" w:color="000000" w:sz="4" w:space="0"/>
              <w:right w:val="single" w:color="000000" w:sz="4" w:space="0"/>
            </w:tcBorders>
            <w:shd w:val="clear" w:color="auto" w:fill="auto"/>
            <w:noWrap/>
            <w:vAlign w:val="center"/>
          </w:tcPr>
          <w:p w14:paraId="06A812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554" w:type="pct"/>
            <w:tcBorders>
              <w:top w:val="nil"/>
              <w:left w:val="nil"/>
              <w:bottom w:val="single" w:color="000000" w:sz="4" w:space="0"/>
              <w:right w:val="single" w:color="000000" w:sz="4" w:space="0"/>
            </w:tcBorders>
            <w:shd w:val="clear" w:color="auto" w:fill="auto"/>
            <w:noWrap/>
            <w:vAlign w:val="center"/>
          </w:tcPr>
          <w:p w14:paraId="369AF9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000E4F8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BD5E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5188C8BF">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2715D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69" w:type="pct"/>
            <w:tcBorders>
              <w:top w:val="nil"/>
              <w:left w:val="nil"/>
              <w:bottom w:val="single" w:color="000000" w:sz="4" w:space="0"/>
              <w:right w:val="single" w:color="000000" w:sz="4" w:space="0"/>
            </w:tcBorders>
            <w:shd w:val="clear" w:color="auto" w:fill="auto"/>
            <w:noWrap/>
            <w:vAlign w:val="center"/>
          </w:tcPr>
          <w:p w14:paraId="1D57EB15">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609422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十、节能环保支出</w:t>
            </w:r>
          </w:p>
        </w:tc>
        <w:tc>
          <w:tcPr>
            <w:tcW w:w="184" w:type="pct"/>
            <w:tcBorders>
              <w:top w:val="nil"/>
              <w:left w:val="nil"/>
              <w:bottom w:val="single" w:color="000000" w:sz="4" w:space="0"/>
              <w:right w:val="single" w:color="000000" w:sz="4" w:space="0"/>
            </w:tcBorders>
            <w:shd w:val="clear" w:color="auto" w:fill="auto"/>
            <w:noWrap/>
            <w:vAlign w:val="center"/>
          </w:tcPr>
          <w:p w14:paraId="335806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349" w:type="pct"/>
            <w:tcBorders>
              <w:top w:val="nil"/>
              <w:left w:val="nil"/>
              <w:bottom w:val="single" w:color="000000" w:sz="4" w:space="0"/>
              <w:right w:val="single" w:color="000000" w:sz="4" w:space="0"/>
            </w:tcBorders>
            <w:shd w:val="clear" w:color="auto" w:fill="auto"/>
            <w:noWrap/>
            <w:vAlign w:val="center"/>
          </w:tcPr>
          <w:p w14:paraId="5FED7F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65DB90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046D78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749ED8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9251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4A35BA00">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18C01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369" w:type="pct"/>
            <w:tcBorders>
              <w:top w:val="nil"/>
              <w:left w:val="nil"/>
              <w:bottom w:val="single" w:color="000000" w:sz="4" w:space="0"/>
              <w:right w:val="single" w:color="000000" w:sz="4" w:space="0"/>
            </w:tcBorders>
            <w:shd w:val="clear" w:color="auto" w:fill="auto"/>
            <w:noWrap/>
            <w:vAlign w:val="center"/>
          </w:tcPr>
          <w:p w14:paraId="36173218">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339C87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十一、城乡社区支出</w:t>
            </w:r>
          </w:p>
        </w:tc>
        <w:tc>
          <w:tcPr>
            <w:tcW w:w="184" w:type="pct"/>
            <w:tcBorders>
              <w:top w:val="nil"/>
              <w:left w:val="nil"/>
              <w:bottom w:val="single" w:color="000000" w:sz="4" w:space="0"/>
              <w:right w:val="single" w:color="000000" w:sz="4" w:space="0"/>
            </w:tcBorders>
            <w:shd w:val="clear" w:color="auto" w:fill="auto"/>
            <w:noWrap/>
            <w:vAlign w:val="center"/>
          </w:tcPr>
          <w:p w14:paraId="4B53E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349" w:type="pct"/>
            <w:tcBorders>
              <w:top w:val="nil"/>
              <w:left w:val="nil"/>
              <w:bottom w:val="single" w:color="000000" w:sz="4" w:space="0"/>
              <w:right w:val="single" w:color="000000" w:sz="4" w:space="0"/>
            </w:tcBorders>
            <w:shd w:val="clear" w:color="auto" w:fill="auto"/>
            <w:noWrap/>
            <w:vAlign w:val="center"/>
          </w:tcPr>
          <w:p w14:paraId="381234F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3D8C4D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506690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6E27D50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4F70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2A3744AC">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07614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69" w:type="pct"/>
            <w:tcBorders>
              <w:top w:val="nil"/>
              <w:left w:val="nil"/>
              <w:bottom w:val="single" w:color="000000" w:sz="4" w:space="0"/>
              <w:right w:val="single" w:color="000000" w:sz="4" w:space="0"/>
            </w:tcBorders>
            <w:shd w:val="clear" w:color="auto" w:fill="auto"/>
            <w:noWrap/>
            <w:vAlign w:val="center"/>
          </w:tcPr>
          <w:p w14:paraId="595F919B">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1ACD49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十二、农林水支出</w:t>
            </w:r>
          </w:p>
        </w:tc>
        <w:tc>
          <w:tcPr>
            <w:tcW w:w="184" w:type="pct"/>
            <w:tcBorders>
              <w:top w:val="nil"/>
              <w:left w:val="nil"/>
              <w:bottom w:val="single" w:color="000000" w:sz="4" w:space="0"/>
              <w:right w:val="single" w:color="000000" w:sz="4" w:space="0"/>
            </w:tcBorders>
            <w:shd w:val="clear" w:color="auto" w:fill="auto"/>
            <w:noWrap/>
            <w:vAlign w:val="center"/>
          </w:tcPr>
          <w:p w14:paraId="45052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349" w:type="pct"/>
            <w:tcBorders>
              <w:top w:val="nil"/>
              <w:left w:val="nil"/>
              <w:bottom w:val="single" w:color="000000" w:sz="4" w:space="0"/>
              <w:right w:val="single" w:color="000000" w:sz="4" w:space="0"/>
            </w:tcBorders>
            <w:shd w:val="clear" w:color="auto" w:fill="auto"/>
            <w:noWrap/>
            <w:vAlign w:val="center"/>
          </w:tcPr>
          <w:p w14:paraId="67E0C4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45F6178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06B41A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7F0C85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3250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52681537">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2EB1C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369" w:type="pct"/>
            <w:tcBorders>
              <w:top w:val="nil"/>
              <w:left w:val="nil"/>
              <w:bottom w:val="single" w:color="000000" w:sz="4" w:space="0"/>
              <w:right w:val="single" w:color="000000" w:sz="4" w:space="0"/>
            </w:tcBorders>
            <w:shd w:val="clear" w:color="auto" w:fill="auto"/>
            <w:noWrap/>
            <w:vAlign w:val="center"/>
          </w:tcPr>
          <w:p w14:paraId="552E8DED">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145BEE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十三、交通运输支出</w:t>
            </w:r>
          </w:p>
        </w:tc>
        <w:tc>
          <w:tcPr>
            <w:tcW w:w="184" w:type="pct"/>
            <w:tcBorders>
              <w:top w:val="nil"/>
              <w:left w:val="nil"/>
              <w:bottom w:val="single" w:color="000000" w:sz="4" w:space="0"/>
              <w:right w:val="single" w:color="000000" w:sz="4" w:space="0"/>
            </w:tcBorders>
            <w:shd w:val="clear" w:color="auto" w:fill="auto"/>
            <w:noWrap/>
            <w:vAlign w:val="center"/>
          </w:tcPr>
          <w:p w14:paraId="626B47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349" w:type="pct"/>
            <w:tcBorders>
              <w:top w:val="nil"/>
              <w:left w:val="nil"/>
              <w:bottom w:val="single" w:color="000000" w:sz="4" w:space="0"/>
              <w:right w:val="single" w:color="000000" w:sz="4" w:space="0"/>
            </w:tcBorders>
            <w:shd w:val="clear" w:color="auto" w:fill="auto"/>
            <w:noWrap/>
            <w:vAlign w:val="center"/>
          </w:tcPr>
          <w:p w14:paraId="6199154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6E6FFE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2E50BA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0D86C6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71AE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29426057">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216DC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69" w:type="pct"/>
            <w:tcBorders>
              <w:top w:val="nil"/>
              <w:left w:val="nil"/>
              <w:bottom w:val="single" w:color="000000" w:sz="4" w:space="0"/>
              <w:right w:val="single" w:color="000000" w:sz="4" w:space="0"/>
            </w:tcBorders>
            <w:shd w:val="clear" w:color="auto" w:fill="auto"/>
            <w:noWrap/>
            <w:vAlign w:val="center"/>
          </w:tcPr>
          <w:p w14:paraId="6D7A3B74">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7862E0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十四、资源勘探工业信息等支出</w:t>
            </w:r>
          </w:p>
        </w:tc>
        <w:tc>
          <w:tcPr>
            <w:tcW w:w="184" w:type="pct"/>
            <w:tcBorders>
              <w:top w:val="nil"/>
              <w:left w:val="nil"/>
              <w:bottom w:val="single" w:color="000000" w:sz="4" w:space="0"/>
              <w:right w:val="single" w:color="000000" w:sz="4" w:space="0"/>
            </w:tcBorders>
            <w:shd w:val="clear" w:color="auto" w:fill="auto"/>
            <w:noWrap/>
            <w:vAlign w:val="center"/>
          </w:tcPr>
          <w:p w14:paraId="208B1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349" w:type="pct"/>
            <w:tcBorders>
              <w:top w:val="nil"/>
              <w:left w:val="nil"/>
              <w:bottom w:val="single" w:color="000000" w:sz="4" w:space="0"/>
              <w:right w:val="single" w:color="000000" w:sz="4" w:space="0"/>
            </w:tcBorders>
            <w:shd w:val="clear" w:color="auto" w:fill="auto"/>
            <w:noWrap/>
            <w:vAlign w:val="center"/>
          </w:tcPr>
          <w:p w14:paraId="598920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6CF599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4FC839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6348EA6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D04B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1FB2BC48">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20BFB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69" w:type="pct"/>
            <w:tcBorders>
              <w:top w:val="nil"/>
              <w:left w:val="nil"/>
              <w:bottom w:val="single" w:color="000000" w:sz="4" w:space="0"/>
              <w:right w:val="single" w:color="000000" w:sz="4" w:space="0"/>
            </w:tcBorders>
            <w:shd w:val="clear" w:color="auto" w:fill="auto"/>
            <w:noWrap/>
            <w:vAlign w:val="center"/>
          </w:tcPr>
          <w:p w14:paraId="46CC14D3">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629F54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十五、商业服务业等支出</w:t>
            </w:r>
          </w:p>
        </w:tc>
        <w:tc>
          <w:tcPr>
            <w:tcW w:w="184" w:type="pct"/>
            <w:tcBorders>
              <w:top w:val="nil"/>
              <w:left w:val="nil"/>
              <w:bottom w:val="single" w:color="000000" w:sz="4" w:space="0"/>
              <w:right w:val="single" w:color="000000" w:sz="4" w:space="0"/>
            </w:tcBorders>
            <w:shd w:val="clear" w:color="auto" w:fill="auto"/>
            <w:noWrap/>
            <w:vAlign w:val="center"/>
          </w:tcPr>
          <w:p w14:paraId="03D09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349" w:type="pct"/>
            <w:tcBorders>
              <w:top w:val="nil"/>
              <w:left w:val="nil"/>
              <w:bottom w:val="single" w:color="000000" w:sz="4" w:space="0"/>
              <w:right w:val="single" w:color="000000" w:sz="4" w:space="0"/>
            </w:tcBorders>
            <w:shd w:val="clear" w:color="auto" w:fill="auto"/>
            <w:noWrap/>
            <w:vAlign w:val="center"/>
          </w:tcPr>
          <w:p w14:paraId="726AA84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6023CE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7FBDB6C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230451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47D3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59590F38">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33E82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69" w:type="pct"/>
            <w:tcBorders>
              <w:top w:val="nil"/>
              <w:left w:val="nil"/>
              <w:bottom w:val="single" w:color="000000" w:sz="4" w:space="0"/>
              <w:right w:val="single" w:color="000000" w:sz="4" w:space="0"/>
            </w:tcBorders>
            <w:shd w:val="clear" w:color="auto" w:fill="auto"/>
            <w:noWrap/>
            <w:vAlign w:val="center"/>
          </w:tcPr>
          <w:p w14:paraId="5C097DB2">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6ED601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十六、金融支出</w:t>
            </w:r>
          </w:p>
        </w:tc>
        <w:tc>
          <w:tcPr>
            <w:tcW w:w="184" w:type="pct"/>
            <w:tcBorders>
              <w:top w:val="nil"/>
              <w:left w:val="nil"/>
              <w:bottom w:val="single" w:color="000000" w:sz="4" w:space="0"/>
              <w:right w:val="single" w:color="000000" w:sz="4" w:space="0"/>
            </w:tcBorders>
            <w:shd w:val="clear" w:color="auto" w:fill="auto"/>
            <w:noWrap/>
            <w:vAlign w:val="center"/>
          </w:tcPr>
          <w:p w14:paraId="278D9A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349" w:type="pct"/>
            <w:tcBorders>
              <w:top w:val="nil"/>
              <w:left w:val="nil"/>
              <w:bottom w:val="single" w:color="000000" w:sz="4" w:space="0"/>
              <w:right w:val="single" w:color="000000" w:sz="4" w:space="0"/>
            </w:tcBorders>
            <w:shd w:val="clear" w:color="auto" w:fill="auto"/>
            <w:noWrap/>
            <w:vAlign w:val="center"/>
          </w:tcPr>
          <w:p w14:paraId="775432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3FF41C5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166515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297F93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8AE3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2A9103DA">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0531D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69" w:type="pct"/>
            <w:tcBorders>
              <w:top w:val="nil"/>
              <w:left w:val="nil"/>
              <w:bottom w:val="single" w:color="000000" w:sz="4" w:space="0"/>
              <w:right w:val="single" w:color="000000" w:sz="4" w:space="0"/>
            </w:tcBorders>
            <w:shd w:val="clear" w:color="auto" w:fill="auto"/>
            <w:noWrap/>
            <w:vAlign w:val="center"/>
          </w:tcPr>
          <w:p w14:paraId="11AF2372">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407A09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十七、援助其他地区支出</w:t>
            </w:r>
          </w:p>
        </w:tc>
        <w:tc>
          <w:tcPr>
            <w:tcW w:w="184" w:type="pct"/>
            <w:tcBorders>
              <w:top w:val="nil"/>
              <w:left w:val="nil"/>
              <w:bottom w:val="single" w:color="000000" w:sz="4" w:space="0"/>
              <w:right w:val="single" w:color="000000" w:sz="4" w:space="0"/>
            </w:tcBorders>
            <w:shd w:val="clear" w:color="auto" w:fill="auto"/>
            <w:noWrap/>
            <w:vAlign w:val="center"/>
          </w:tcPr>
          <w:p w14:paraId="2FF3E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349" w:type="pct"/>
            <w:tcBorders>
              <w:top w:val="nil"/>
              <w:left w:val="nil"/>
              <w:bottom w:val="single" w:color="000000" w:sz="4" w:space="0"/>
              <w:right w:val="single" w:color="000000" w:sz="4" w:space="0"/>
            </w:tcBorders>
            <w:shd w:val="clear" w:color="auto" w:fill="auto"/>
            <w:noWrap/>
            <w:vAlign w:val="center"/>
          </w:tcPr>
          <w:p w14:paraId="06A14A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143567B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4BBD67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385285A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202A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408F0B82">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061FC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69" w:type="pct"/>
            <w:tcBorders>
              <w:top w:val="nil"/>
              <w:left w:val="nil"/>
              <w:bottom w:val="single" w:color="000000" w:sz="4" w:space="0"/>
              <w:right w:val="single" w:color="000000" w:sz="4" w:space="0"/>
            </w:tcBorders>
            <w:shd w:val="clear" w:color="auto" w:fill="auto"/>
            <w:noWrap/>
            <w:vAlign w:val="center"/>
          </w:tcPr>
          <w:p w14:paraId="07A25C92">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769FED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十八、自然资源海洋气象等支出</w:t>
            </w:r>
          </w:p>
        </w:tc>
        <w:tc>
          <w:tcPr>
            <w:tcW w:w="184" w:type="pct"/>
            <w:tcBorders>
              <w:top w:val="nil"/>
              <w:left w:val="nil"/>
              <w:bottom w:val="single" w:color="000000" w:sz="4" w:space="0"/>
              <w:right w:val="single" w:color="000000" w:sz="4" w:space="0"/>
            </w:tcBorders>
            <w:shd w:val="clear" w:color="auto" w:fill="auto"/>
            <w:noWrap/>
            <w:vAlign w:val="center"/>
          </w:tcPr>
          <w:p w14:paraId="4AB6E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349" w:type="pct"/>
            <w:tcBorders>
              <w:top w:val="nil"/>
              <w:left w:val="nil"/>
              <w:bottom w:val="single" w:color="000000" w:sz="4" w:space="0"/>
              <w:right w:val="single" w:color="000000" w:sz="4" w:space="0"/>
            </w:tcBorders>
            <w:shd w:val="clear" w:color="auto" w:fill="auto"/>
            <w:noWrap/>
            <w:vAlign w:val="center"/>
          </w:tcPr>
          <w:p w14:paraId="2ACEF3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74B3C17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22EF81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5173AF8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81DE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740B17A2">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728BD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369" w:type="pct"/>
            <w:tcBorders>
              <w:top w:val="nil"/>
              <w:left w:val="nil"/>
              <w:bottom w:val="single" w:color="000000" w:sz="4" w:space="0"/>
              <w:right w:val="single" w:color="000000" w:sz="4" w:space="0"/>
            </w:tcBorders>
            <w:shd w:val="clear" w:color="auto" w:fill="auto"/>
            <w:noWrap/>
            <w:vAlign w:val="center"/>
          </w:tcPr>
          <w:p w14:paraId="2052E2CE">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0D4E38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十九、住房保障支出</w:t>
            </w:r>
          </w:p>
        </w:tc>
        <w:tc>
          <w:tcPr>
            <w:tcW w:w="184" w:type="pct"/>
            <w:tcBorders>
              <w:top w:val="nil"/>
              <w:left w:val="nil"/>
              <w:bottom w:val="single" w:color="000000" w:sz="4" w:space="0"/>
              <w:right w:val="single" w:color="000000" w:sz="4" w:space="0"/>
            </w:tcBorders>
            <w:shd w:val="clear" w:color="auto" w:fill="auto"/>
            <w:noWrap/>
            <w:vAlign w:val="center"/>
          </w:tcPr>
          <w:p w14:paraId="5E7EE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349" w:type="pct"/>
            <w:tcBorders>
              <w:top w:val="nil"/>
              <w:left w:val="nil"/>
              <w:bottom w:val="single" w:color="000000" w:sz="4" w:space="0"/>
              <w:right w:val="single" w:color="000000" w:sz="4" w:space="0"/>
            </w:tcBorders>
            <w:shd w:val="clear" w:color="auto" w:fill="auto"/>
            <w:noWrap/>
            <w:vAlign w:val="center"/>
          </w:tcPr>
          <w:p w14:paraId="6204DF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04C2770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1C4FE07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6F7B88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610D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3917C3C4">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68F76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69" w:type="pct"/>
            <w:tcBorders>
              <w:top w:val="nil"/>
              <w:left w:val="nil"/>
              <w:bottom w:val="single" w:color="000000" w:sz="4" w:space="0"/>
              <w:right w:val="single" w:color="000000" w:sz="4" w:space="0"/>
            </w:tcBorders>
            <w:shd w:val="clear" w:color="auto" w:fill="auto"/>
            <w:noWrap/>
            <w:vAlign w:val="center"/>
          </w:tcPr>
          <w:p w14:paraId="562039CD">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65400E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二十、粮油物资储备支出</w:t>
            </w:r>
          </w:p>
        </w:tc>
        <w:tc>
          <w:tcPr>
            <w:tcW w:w="184" w:type="pct"/>
            <w:tcBorders>
              <w:top w:val="nil"/>
              <w:left w:val="nil"/>
              <w:bottom w:val="single" w:color="000000" w:sz="4" w:space="0"/>
              <w:right w:val="single" w:color="000000" w:sz="4" w:space="0"/>
            </w:tcBorders>
            <w:shd w:val="clear" w:color="auto" w:fill="auto"/>
            <w:noWrap/>
            <w:vAlign w:val="center"/>
          </w:tcPr>
          <w:p w14:paraId="713DC0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349" w:type="pct"/>
            <w:tcBorders>
              <w:top w:val="nil"/>
              <w:left w:val="nil"/>
              <w:bottom w:val="single" w:color="000000" w:sz="4" w:space="0"/>
              <w:right w:val="single" w:color="000000" w:sz="4" w:space="0"/>
            </w:tcBorders>
            <w:shd w:val="clear" w:color="auto" w:fill="auto"/>
            <w:noWrap/>
            <w:vAlign w:val="center"/>
          </w:tcPr>
          <w:p w14:paraId="6A167C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74F2AD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58485E6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7E09AE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7F71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08978DC4">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3BE41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369" w:type="pct"/>
            <w:tcBorders>
              <w:top w:val="nil"/>
              <w:left w:val="nil"/>
              <w:bottom w:val="single" w:color="000000" w:sz="4" w:space="0"/>
              <w:right w:val="single" w:color="000000" w:sz="4" w:space="0"/>
            </w:tcBorders>
            <w:shd w:val="clear" w:color="auto" w:fill="auto"/>
            <w:noWrap/>
            <w:vAlign w:val="center"/>
          </w:tcPr>
          <w:p w14:paraId="1F9589A6">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1B2FD6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二十一、国有资本经营预算支出</w:t>
            </w:r>
          </w:p>
        </w:tc>
        <w:tc>
          <w:tcPr>
            <w:tcW w:w="184" w:type="pct"/>
            <w:tcBorders>
              <w:top w:val="nil"/>
              <w:left w:val="nil"/>
              <w:bottom w:val="single" w:color="000000" w:sz="4" w:space="0"/>
              <w:right w:val="single" w:color="000000" w:sz="4" w:space="0"/>
            </w:tcBorders>
            <w:shd w:val="clear" w:color="auto" w:fill="auto"/>
            <w:noWrap/>
            <w:vAlign w:val="center"/>
          </w:tcPr>
          <w:p w14:paraId="39E09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349" w:type="pct"/>
            <w:tcBorders>
              <w:top w:val="nil"/>
              <w:left w:val="nil"/>
              <w:bottom w:val="single" w:color="000000" w:sz="4" w:space="0"/>
              <w:right w:val="single" w:color="000000" w:sz="4" w:space="0"/>
            </w:tcBorders>
            <w:shd w:val="clear" w:color="auto" w:fill="auto"/>
            <w:noWrap/>
            <w:vAlign w:val="center"/>
          </w:tcPr>
          <w:p w14:paraId="07F45D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68C341D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54D51F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2D8223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3AB0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05F0AD5F">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1DC75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369" w:type="pct"/>
            <w:tcBorders>
              <w:top w:val="nil"/>
              <w:left w:val="nil"/>
              <w:bottom w:val="single" w:color="000000" w:sz="4" w:space="0"/>
              <w:right w:val="single" w:color="000000" w:sz="4" w:space="0"/>
            </w:tcBorders>
            <w:shd w:val="clear" w:color="auto" w:fill="auto"/>
            <w:noWrap/>
            <w:vAlign w:val="center"/>
          </w:tcPr>
          <w:p w14:paraId="0042312D">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07A2B0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二十二、灾害防治及应急管理支出</w:t>
            </w:r>
          </w:p>
        </w:tc>
        <w:tc>
          <w:tcPr>
            <w:tcW w:w="184" w:type="pct"/>
            <w:tcBorders>
              <w:top w:val="nil"/>
              <w:left w:val="nil"/>
              <w:bottom w:val="single" w:color="000000" w:sz="4" w:space="0"/>
              <w:right w:val="single" w:color="000000" w:sz="4" w:space="0"/>
            </w:tcBorders>
            <w:shd w:val="clear" w:color="auto" w:fill="auto"/>
            <w:noWrap/>
            <w:vAlign w:val="center"/>
          </w:tcPr>
          <w:p w14:paraId="1FC7D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349" w:type="pct"/>
            <w:tcBorders>
              <w:top w:val="nil"/>
              <w:left w:val="nil"/>
              <w:bottom w:val="single" w:color="000000" w:sz="4" w:space="0"/>
              <w:right w:val="single" w:color="000000" w:sz="4" w:space="0"/>
            </w:tcBorders>
            <w:shd w:val="clear" w:color="auto" w:fill="auto"/>
            <w:noWrap/>
            <w:vAlign w:val="center"/>
          </w:tcPr>
          <w:p w14:paraId="2AE10D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31274C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6DE0B5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15210D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0ADC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583D46AF">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0221F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369" w:type="pct"/>
            <w:tcBorders>
              <w:top w:val="nil"/>
              <w:left w:val="nil"/>
              <w:bottom w:val="single" w:color="000000" w:sz="4" w:space="0"/>
              <w:right w:val="single" w:color="000000" w:sz="4" w:space="0"/>
            </w:tcBorders>
            <w:shd w:val="clear" w:color="auto" w:fill="auto"/>
            <w:noWrap/>
            <w:vAlign w:val="center"/>
          </w:tcPr>
          <w:p w14:paraId="1944887E">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5809DF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二十三、其他支出</w:t>
            </w:r>
          </w:p>
        </w:tc>
        <w:tc>
          <w:tcPr>
            <w:tcW w:w="184" w:type="pct"/>
            <w:tcBorders>
              <w:top w:val="nil"/>
              <w:left w:val="nil"/>
              <w:bottom w:val="single" w:color="000000" w:sz="4" w:space="0"/>
              <w:right w:val="single" w:color="000000" w:sz="4" w:space="0"/>
            </w:tcBorders>
            <w:shd w:val="clear" w:color="auto" w:fill="auto"/>
            <w:noWrap/>
            <w:vAlign w:val="center"/>
          </w:tcPr>
          <w:p w14:paraId="613EC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349" w:type="pct"/>
            <w:tcBorders>
              <w:top w:val="nil"/>
              <w:left w:val="nil"/>
              <w:bottom w:val="single" w:color="000000" w:sz="4" w:space="0"/>
              <w:right w:val="single" w:color="000000" w:sz="4" w:space="0"/>
            </w:tcBorders>
            <w:shd w:val="clear" w:color="auto" w:fill="auto"/>
            <w:noWrap/>
            <w:vAlign w:val="center"/>
          </w:tcPr>
          <w:p w14:paraId="11B0583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2A0209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5D3096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090A68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C53B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249F60E3">
            <w:pPr>
              <w:jc w:val="center"/>
              <w:rPr>
                <w:rFonts w:hint="eastAsia" w:ascii="宋体" w:hAnsi="宋体" w:eastAsia="宋体" w:cs="宋体"/>
                <w:b/>
                <w:bCs/>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4720E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369" w:type="pct"/>
            <w:tcBorders>
              <w:top w:val="nil"/>
              <w:left w:val="nil"/>
              <w:bottom w:val="single" w:color="000000" w:sz="4" w:space="0"/>
              <w:right w:val="single" w:color="000000" w:sz="4" w:space="0"/>
            </w:tcBorders>
            <w:shd w:val="clear" w:color="auto" w:fill="auto"/>
            <w:noWrap/>
            <w:vAlign w:val="center"/>
          </w:tcPr>
          <w:p w14:paraId="7F68112A">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677111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二十四、债务还本支出</w:t>
            </w:r>
          </w:p>
        </w:tc>
        <w:tc>
          <w:tcPr>
            <w:tcW w:w="184" w:type="pct"/>
            <w:tcBorders>
              <w:top w:val="nil"/>
              <w:left w:val="nil"/>
              <w:bottom w:val="single" w:color="000000" w:sz="4" w:space="0"/>
              <w:right w:val="single" w:color="000000" w:sz="4" w:space="0"/>
            </w:tcBorders>
            <w:shd w:val="clear" w:color="auto" w:fill="auto"/>
            <w:noWrap/>
            <w:vAlign w:val="center"/>
          </w:tcPr>
          <w:p w14:paraId="77BAA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349" w:type="pct"/>
            <w:tcBorders>
              <w:top w:val="nil"/>
              <w:left w:val="nil"/>
              <w:bottom w:val="single" w:color="000000" w:sz="4" w:space="0"/>
              <w:right w:val="single" w:color="000000" w:sz="4" w:space="0"/>
            </w:tcBorders>
            <w:shd w:val="clear" w:color="auto" w:fill="auto"/>
            <w:noWrap/>
            <w:vAlign w:val="center"/>
          </w:tcPr>
          <w:p w14:paraId="756D86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234111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1F8B88A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320A22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533E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7814D7DE">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043B5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369" w:type="pct"/>
            <w:tcBorders>
              <w:top w:val="nil"/>
              <w:left w:val="nil"/>
              <w:bottom w:val="single" w:color="000000" w:sz="4" w:space="0"/>
              <w:right w:val="single" w:color="000000" w:sz="4" w:space="0"/>
            </w:tcBorders>
            <w:shd w:val="clear" w:color="auto" w:fill="auto"/>
            <w:noWrap/>
            <w:vAlign w:val="center"/>
          </w:tcPr>
          <w:p w14:paraId="6F3D0699">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2E6DF1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二十五、债务付息支出</w:t>
            </w:r>
          </w:p>
        </w:tc>
        <w:tc>
          <w:tcPr>
            <w:tcW w:w="184" w:type="pct"/>
            <w:tcBorders>
              <w:top w:val="nil"/>
              <w:left w:val="nil"/>
              <w:bottom w:val="single" w:color="000000" w:sz="4" w:space="0"/>
              <w:right w:val="single" w:color="000000" w:sz="4" w:space="0"/>
            </w:tcBorders>
            <w:shd w:val="clear" w:color="auto" w:fill="auto"/>
            <w:noWrap/>
            <w:vAlign w:val="center"/>
          </w:tcPr>
          <w:p w14:paraId="79D3F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349" w:type="pct"/>
            <w:tcBorders>
              <w:top w:val="nil"/>
              <w:left w:val="nil"/>
              <w:bottom w:val="single" w:color="000000" w:sz="4" w:space="0"/>
              <w:right w:val="single" w:color="000000" w:sz="4" w:space="0"/>
            </w:tcBorders>
            <w:shd w:val="clear" w:color="auto" w:fill="auto"/>
            <w:noWrap/>
            <w:vAlign w:val="center"/>
          </w:tcPr>
          <w:p w14:paraId="266C91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4B8BE1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7181DFF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6F2601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C594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2061DD7D">
            <w:pPr>
              <w:jc w:val="left"/>
              <w:rPr>
                <w:rFonts w:hint="eastAsia" w:ascii="宋体" w:hAnsi="宋体" w:eastAsia="宋体" w:cs="宋体"/>
                <w:i w:val="0"/>
                <w:iCs w:val="0"/>
                <w:color w:val="000000"/>
                <w:sz w:val="20"/>
                <w:szCs w:val="20"/>
                <w:u w:val="none"/>
              </w:rPr>
            </w:pPr>
          </w:p>
        </w:tc>
        <w:tc>
          <w:tcPr>
            <w:tcW w:w="147" w:type="pct"/>
            <w:tcBorders>
              <w:top w:val="nil"/>
              <w:left w:val="nil"/>
              <w:bottom w:val="single" w:color="000000" w:sz="4" w:space="0"/>
              <w:right w:val="single" w:color="000000" w:sz="4" w:space="0"/>
            </w:tcBorders>
            <w:shd w:val="clear" w:color="auto" w:fill="auto"/>
            <w:noWrap/>
            <w:vAlign w:val="center"/>
          </w:tcPr>
          <w:p w14:paraId="19DBD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369" w:type="pct"/>
            <w:tcBorders>
              <w:top w:val="nil"/>
              <w:left w:val="nil"/>
              <w:bottom w:val="single" w:color="000000" w:sz="4" w:space="0"/>
              <w:right w:val="single" w:color="000000" w:sz="4" w:space="0"/>
            </w:tcBorders>
            <w:shd w:val="clear" w:color="auto" w:fill="auto"/>
            <w:noWrap/>
            <w:vAlign w:val="center"/>
          </w:tcPr>
          <w:p w14:paraId="5FD6731F">
            <w:pPr>
              <w:jc w:val="right"/>
              <w:rPr>
                <w:rFonts w:hint="eastAsia" w:ascii="宋体" w:hAnsi="宋体" w:eastAsia="宋体" w:cs="宋体"/>
                <w:i w:val="0"/>
                <w:iCs w:val="0"/>
                <w:color w:val="000000"/>
                <w:sz w:val="20"/>
                <w:szCs w:val="20"/>
                <w:u w:val="none"/>
              </w:rPr>
            </w:pPr>
          </w:p>
        </w:tc>
        <w:tc>
          <w:tcPr>
            <w:tcW w:w="1257" w:type="pct"/>
            <w:tcBorders>
              <w:top w:val="nil"/>
              <w:left w:val="nil"/>
              <w:bottom w:val="single" w:color="000000" w:sz="4" w:space="0"/>
              <w:right w:val="single" w:color="000000" w:sz="4" w:space="0"/>
            </w:tcBorders>
            <w:shd w:val="clear" w:color="auto" w:fill="auto"/>
            <w:noWrap/>
            <w:vAlign w:val="center"/>
          </w:tcPr>
          <w:p w14:paraId="76F4AE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二十六、抗疫特别国债安排的支出</w:t>
            </w:r>
          </w:p>
        </w:tc>
        <w:tc>
          <w:tcPr>
            <w:tcW w:w="184" w:type="pct"/>
            <w:tcBorders>
              <w:top w:val="nil"/>
              <w:left w:val="nil"/>
              <w:bottom w:val="single" w:color="000000" w:sz="4" w:space="0"/>
              <w:right w:val="single" w:color="000000" w:sz="4" w:space="0"/>
            </w:tcBorders>
            <w:shd w:val="clear" w:color="auto" w:fill="auto"/>
            <w:noWrap/>
            <w:vAlign w:val="center"/>
          </w:tcPr>
          <w:p w14:paraId="18560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349" w:type="pct"/>
            <w:tcBorders>
              <w:top w:val="nil"/>
              <w:left w:val="nil"/>
              <w:bottom w:val="single" w:color="000000" w:sz="4" w:space="0"/>
              <w:right w:val="single" w:color="000000" w:sz="4" w:space="0"/>
            </w:tcBorders>
            <w:shd w:val="clear" w:color="auto" w:fill="auto"/>
            <w:noWrap/>
            <w:vAlign w:val="center"/>
          </w:tcPr>
          <w:p w14:paraId="51D4DD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234028F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2390DA1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11528E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473E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118C4A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本年收入合计</w:t>
            </w:r>
          </w:p>
        </w:tc>
        <w:tc>
          <w:tcPr>
            <w:tcW w:w="147" w:type="pct"/>
            <w:tcBorders>
              <w:top w:val="nil"/>
              <w:left w:val="nil"/>
              <w:bottom w:val="single" w:color="000000" w:sz="4" w:space="0"/>
              <w:right w:val="single" w:color="000000" w:sz="4" w:space="0"/>
            </w:tcBorders>
            <w:shd w:val="clear" w:color="auto" w:fill="auto"/>
            <w:noWrap/>
            <w:vAlign w:val="center"/>
          </w:tcPr>
          <w:p w14:paraId="1DB3F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369" w:type="pct"/>
            <w:tcBorders>
              <w:top w:val="nil"/>
              <w:left w:val="nil"/>
              <w:bottom w:val="single" w:color="000000" w:sz="4" w:space="0"/>
              <w:right w:val="single" w:color="000000" w:sz="4" w:space="0"/>
            </w:tcBorders>
            <w:shd w:val="clear" w:color="auto" w:fill="auto"/>
            <w:noWrap/>
            <w:vAlign w:val="center"/>
          </w:tcPr>
          <w:p w14:paraId="578F76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1257" w:type="pct"/>
            <w:tcBorders>
              <w:top w:val="nil"/>
              <w:left w:val="nil"/>
              <w:bottom w:val="single" w:color="000000" w:sz="4" w:space="0"/>
              <w:right w:val="single" w:color="000000" w:sz="4" w:space="0"/>
            </w:tcBorders>
            <w:shd w:val="clear" w:color="auto" w:fill="auto"/>
            <w:noWrap/>
            <w:vAlign w:val="center"/>
          </w:tcPr>
          <w:p w14:paraId="59528D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本年支出合计</w:t>
            </w:r>
          </w:p>
        </w:tc>
        <w:tc>
          <w:tcPr>
            <w:tcW w:w="184" w:type="pct"/>
            <w:tcBorders>
              <w:top w:val="nil"/>
              <w:left w:val="nil"/>
              <w:bottom w:val="single" w:color="000000" w:sz="4" w:space="0"/>
              <w:right w:val="single" w:color="000000" w:sz="4" w:space="0"/>
            </w:tcBorders>
            <w:shd w:val="clear" w:color="auto" w:fill="auto"/>
            <w:noWrap/>
            <w:vAlign w:val="center"/>
          </w:tcPr>
          <w:p w14:paraId="2AE5C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349" w:type="pct"/>
            <w:tcBorders>
              <w:top w:val="nil"/>
              <w:left w:val="nil"/>
              <w:bottom w:val="single" w:color="000000" w:sz="4" w:space="0"/>
              <w:right w:val="single" w:color="000000" w:sz="4" w:space="0"/>
            </w:tcBorders>
            <w:shd w:val="clear" w:color="auto" w:fill="auto"/>
            <w:noWrap/>
            <w:vAlign w:val="center"/>
          </w:tcPr>
          <w:p w14:paraId="1FB7490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486" w:type="pct"/>
            <w:tcBorders>
              <w:top w:val="nil"/>
              <w:left w:val="nil"/>
              <w:bottom w:val="single" w:color="000000" w:sz="4" w:space="0"/>
              <w:right w:val="single" w:color="000000" w:sz="4" w:space="0"/>
            </w:tcBorders>
            <w:shd w:val="clear" w:color="auto" w:fill="auto"/>
            <w:noWrap/>
            <w:vAlign w:val="center"/>
          </w:tcPr>
          <w:p w14:paraId="1062B5E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554" w:type="pct"/>
            <w:tcBorders>
              <w:top w:val="nil"/>
              <w:left w:val="nil"/>
              <w:bottom w:val="single" w:color="000000" w:sz="4" w:space="0"/>
              <w:right w:val="single" w:color="000000" w:sz="4" w:space="0"/>
            </w:tcBorders>
            <w:shd w:val="clear" w:color="auto" w:fill="auto"/>
            <w:noWrap/>
            <w:vAlign w:val="center"/>
          </w:tcPr>
          <w:p w14:paraId="155E112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74EE20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60E2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056316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年初结转和结余</w:t>
            </w:r>
          </w:p>
        </w:tc>
        <w:tc>
          <w:tcPr>
            <w:tcW w:w="147" w:type="pct"/>
            <w:tcBorders>
              <w:top w:val="nil"/>
              <w:left w:val="nil"/>
              <w:bottom w:val="single" w:color="000000" w:sz="4" w:space="0"/>
              <w:right w:val="single" w:color="000000" w:sz="4" w:space="0"/>
            </w:tcBorders>
            <w:shd w:val="clear" w:color="auto" w:fill="auto"/>
            <w:noWrap/>
            <w:vAlign w:val="center"/>
          </w:tcPr>
          <w:p w14:paraId="51964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369" w:type="pct"/>
            <w:tcBorders>
              <w:top w:val="nil"/>
              <w:left w:val="nil"/>
              <w:bottom w:val="single" w:color="000000" w:sz="4" w:space="0"/>
              <w:right w:val="single" w:color="000000" w:sz="4" w:space="0"/>
            </w:tcBorders>
            <w:shd w:val="clear" w:color="auto" w:fill="auto"/>
            <w:noWrap/>
            <w:vAlign w:val="center"/>
          </w:tcPr>
          <w:p w14:paraId="3FA73D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57" w:type="pct"/>
            <w:tcBorders>
              <w:top w:val="nil"/>
              <w:left w:val="nil"/>
              <w:bottom w:val="single" w:color="000000" w:sz="4" w:space="0"/>
              <w:right w:val="single" w:color="000000" w:sz="4" w:space="0"/>
            </w:tcBorders>
            <w:shd w:val="clear" w:color="auto" w:fill="auto"/>
            <w:noWrap/>
            <w:vAlign w:val="center"/>
          </w:tcPr>
          <w:p w14:paraId="69A0AB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年末结转和结余</w:t>
            </w:r>
          </w:p>
        </w:tc>
        <w:tc>
          <w:tcPr>
            <w:tcW w:w="184" w:type="pct"/>
            <w:tcBorders>
              <w:top w:val="nil"/>
              <w:left w:val="nil"/>
              <w:bottom w:val="single" w:color="000000" w:sz="4" w:space="0"/>
              <w:right w:val="single" w:color="000000" w:sz="4" w:space="0"/>
            </w:tcBorders>
            <w:shd w:val="clear" w:color="auto" w:fill="auto"/>
            <w:noWrap/>
            <w:vAlign w:val="center"/>
          </w:tcPr>
          <w:p w14:paraId="709DC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349" w:type="pct"/>
            <w:tcBorders>
              <w:top w:val="nil"/>
              <w:left w:val="nil"/>
              <w:bottom w:val="single" w:color="000000" w:sz="4" w:space="0"/>
              <w:right w:val="single" w:color="000000" w:sz="4" w:space="0"/>
            </w:tcBorders>
            <w:shd w:val="clear" w:color="auto" w:fill="auto"/>
            <w:noWrap/>
            <w:vAlign w:val="center"/>
          </w:tcPr>
          <w:p w14:paraId="5BF5F4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86" w:type="pct"/>
            <w:tcBorders>
              <w:top w:val="nil"/>
              <w:left w:val="nil"/>
              <w:bottom w:val="single" w:color="000000" w:sz="4" w:space="0"/>
              <w:right w:val="single" w:color="000000" w:sz="4" w:space="0"/>
            </w:tcBorders>
            <w:shd w:val="clear" w:color="auto" w:fill="auto"/>
            <w:noWrap/>
            <w:vAlign w:val="center"/>
          </w:tcPr>
          <w:p w14:paraId="483CE2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54" w:type="pct"/>
            <w:tcBorders>
              <w:top w:val="nil"/>
              <w:left w:val="nil"/>
              <w:bottom w:val="single" w:color="000000" w:sz="4" w:space="0"/>
              <w:right w:val="single" w:color="000000" w:sz="4" w:space="0"/>
            </w:tcBorders>
            <w:shd w:val="clear" w:color="auto" w:fill="auto"/>
            <w:noWrap/>
            <w:vAlign w:val="center"/>
          </w:tcPr>
          <w:p w14:paraId="3D5690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0EBAEE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5414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477C87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一般公共预算财政拨款</w:t>
            </w:r>
          </w:p>
        </w:tc>
        <w:tc>
          <w:tcPr>
            <w:tcW w:w="147" w:type="pct"/>
            <w:tcBorders>
              <w:top w:val="nil"/>
              <w:left w:val="nil"/>
              <w:bottom w:val="single" w:color="000000" w:sz="4" w:space="0"/>
              <w:right w:val="single" w:color="000000" w:sz="4" w:space="0"/>
            </w:tcBorders>
            <w:shd w:val="clear" w:color="auto" w:fill="auto"/>
            <w:noWrap/>
            <w:vAlign w:val="center"/>
          </w:tcPr>
          <w:p w14:paraId="609F6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369" w:type="pct"/>
            <w:tcBorders>
              <w:top w:val="nil"/>
              <w:left w:val="nil"/>
              <w:bottom w:val="single" w:color="000000" w:sz="4" w:space="0"/>
              <w:right w:val="single" w:color="000000" w:sz="4" w:space="0"/>
            </w:tcBorders>
            <w:shd w:val="clear" w:color="auto" w:fill="auto"/>
            <w:noWrap/>
            <w:vAlign w:val="center"/>
          </w:tcPr>
          <w:p w14:paraId="222C08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57" w:type="pct"/>
            <w:tcBorders>
              <w:top w:val="nil"/>
              <w:left w:val="nil"/>
              <w:bottom w:val="single" w:color="000000" w:sz="4" w:space="0"/>
              <w:right w:val="single" w:color="000000" w:sz="4" w:space="0"/>
            </w:tcBorders>
            <w:shd w:val="clear" w:color="auto" w:fill="auto"/>
            <w:noWrap/>
            <w:vAlign w:val="center"/>
          </w:tcPr>
          <w:p w14:paraId="2645EBCD">
            <w:pPr>
              <w:jc w:val="left"/>
              <w:rPr>
                <w:rFonts w:hint="eastAsia" w:ascii="宋体" w:hAnsi="宋体" w:eastAsia="宋体" w:cs="宋体"/>
                <w:i w:val="0"/>
                <w:iCs w:val="0"/>
                <w:color w:val="000000"/>
                <w:sz w:val="20"/>
                <w:szCs w:val="20"/>
                <w:u w:val="none"/>
              </w:rPr>
            </w:pPr>
          </w:p>
        </w:tc>
        <w:tc>
          <w:tcPr>
            <w:tcW w:w="184" w:type="pct"/>
            <w:tcBorders>
              <w:top w:val="nil"/>
              <w:left w:val="nil"/>
              <w:bottom w:val="single" w:color="000000" w:sz="4" w:space="0"/>
              <w:right w:val="single" w:color="000000" w:sz="4" w:space="0"/>
            </w:tcBorders>
            <w:shd w:val="clear" w:color="auto" w:fill="auto"/>
            <w:noWrap/>
            <w:vAlign w:val="center"/>
          </w:tcPr>
          <w:p w14:paraId="7D17F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349" w:type="pct"/>
            <w:tcBorders>
              <w:top w:val="nil"/>
              <w:left w:val="nil"/>
              <w:bottom w:val="single" w:color="000000" w:sz="4" w:space="0"/>
              <w:right w:val="single" w:color="000000" w:sz="4" w:space="0"/>
            </w:tcBorders>
            <w:shd w:val="clear" w:color="auto" w:fill="auto"/>
            <w:noWrap/>
            <w:vAlign w:val="center"/>
          </w:tcPr>
          <w:p w14:paraId="757FEFF4">
            <w:pPr>
              <w:jc w:val="right"/>
              <w:rPr>
                <w:rFonts w:hint="eastAsia" w:ascii="宋体" w:hAnsi="宋体" w:eastAsia="宋体" w:cs="宋体"/>
                <w:i w:val="0"/>
                <w:iCs w:val="0"/>
                <w:color w:val="000000"/>
                <w:sz w:val="20"/>
                <w:szCs w:val="20"/>
                <w:u w:val="none"/>
              </w:rPr>
            </w:pPr>
          </w:p>
        </w:tc>
        <w:tc>
          <w:tcPr>
            <w:tcW w:w="486" w:type="pct"/>
            <w:tcBorders>
              <w:top w:val="nil"/>
              <w:left w:val="nil"/>
              <w:bottom w:val="single" w:color="000000" w:sz="4" w:space="0"/>
              <w:right w:val="single" w:color="000000" w:sz="4" w:space="0"/>
            </w:tcBorders>
            <w:shd w:val="clear" w:color="auto" w:fill="auto"/>
            <w:noWrap/>
            <w:vAlign w:val="center"/>
          </w:tcPr>
          <w:p w14:paraId="538A3F24">
            <w:pPr>
              <w:jc w:val="right"/>
              <w:rPr>
                <w:rFonts w:hint="eastAsia" w:ascii="宋体" w:hAnsi="宋体" w:eastAsia="宋体" w:cs="宋体"/>
                <w:i w:val="0"/>
                <w:iCs w:val="0"/>
                <w:color w:val="000000"/>
                <w:sz w:val="20"/>
                <w:szCs w:val="20"/>
                <w:u w:val="none"/>
              </w:rPr>
            </w:pPr>
          </w:p>
        </w:tc>
        <w:tc>
          <w:tcPr>
            <w:tcW w:w="554" w:type="pct"/>
            <w:tcBorders>
              <w:top w:val="nil"/>
              <w:left w:val="nil"/>
              <w:bottom w:val="single" w:color="000000" w:sz="4" w:space="0"/>
              <w:right w:val="single" w:color="000000" w:sz="4" w:space="0"/>
            </w:tcBorders>
            <w:shd w:val="clear" w:color="auto" w:fill="auto"/>
            <w:noWrap/>
            <w:vAlign w:val="center"/>
          </w:tcPr>
          <w:p w14:paraId="6C6E44E6">
            <w:pPr>
              <w:jc w:val="right"/>
              <w:rPr>
                <w:rFonts w:hint="eastAsia" w:ascii="宋体" w:hAnsi="宋体" w:eastAsia="宋体" w:cs="宋体"/>
                <w:i w:val="0"/>
                <w:iCs w:val="0"/>
                <w:color w:val="000000"/>
                <w:sz w:val="20"/>
                <w:szCs w:val="20"/>
                <w:u w:val="none"/>
              </w:rPr>
            </w:pPr>
          </w:p>
        </w:tc>
        <w:tc>
          <w:tcPr>
            <w:tcW w:w="533" w:type="pct"/>
            <w:tcBorders>
              <w:top w:val="nil"/>
              <w:left w:val="nil"/>
              <w:bottom w:val="single" w:color="000000" w:sz="4" w:space="0"/>
              <w:right w:val="single" w:color="000000" w:sz="4" w:space="0"/>
            </w:tcBorders>
            <w:shd w:val="clear" w:color="auto" w:fill="auto"/>
            <w:noWrap/>
            <w:vAlign w:val="center"/>
          </w:tcPr>
          <w:p w14:paraId="24106205">
            <w:pPr>
              <w:jc w:val="right"/>
              <w:rPr>
                <w:rFonts w:hint="eastAsia" w:ascii="宋体" w:hAnsi="宋体" w:eastAsia="宋体" w:cs="宋体"/>
                <w:i w:val="0"/>
                <w:iCs w:val="0"/>
                <w:color w:val="000000"/>
                <w:sz w:val="20"/>
                <w:szCs w:val="20"/>
                <w:u w:val="none"/>
              </w:rPr>
            </w:pPr>
          </w:p>
        </w:tc>
      </w:tr>
      <w:tr w14:paraId="0D746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34A654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政府性基金预算财政拨款</w:t>
            </w:r>
          </w:p>
        </w:tc>
        <w:tc>
          <w:tcPr>
            <w:tcW w:w="147" w:type="pct"/>
            <w:tcBorders>
              <w:top w:val="nil"/>
              <w:left w:val="nil"/>
              <w:bottom w:val="single" w:color="000000" w:sz="4" w:space="0"/>
              <w:right w:val="single" w:color="000000" w:sz="4" w:space="0"/>
            </w:tcBorders>
            <w:shd w:val="clear" w:color="auto" w:fill="auto"/>
            <w:noWrap/>
            <w:vAlign w:val="center"/>
          </w:tcPr>
          <w:p w14:paraId="595E16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369" w:type="pct"/>
            <w:tcBorders>
              <w:top w:val="nil"/>
              <w:left w:val="nil"/>
              <w:bottom w:val="single" w:color="000000" w:sz="4" w:space="0"/>
              <w:right w:val="single" w:color="000000" w:sz="4" w:space="0"/>
            </w:tcBorders>
            <w:shd w:val="clear" w:color="auto" w:fill="auto"/>
            <w:noWrap/>
            <w:vAlign w:val="center"/>
          </w:tcPr>
          <w:p w14:paraId="361CD0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57" w:type="pct"/>
            <w:tcBorders>
              <w:top w:val="nil"/>
              <w:left w:val="nil"/>
              <w:bottom w:val="single" w:color="000000" w:sz="4" w:space="0"/>
              <w:right w:val="single" w:color="000000" w:sz="4" w:space="0"/>
            </w:tcBorders>
            <w:shd w:val="clear" w:color="auto" w:fill="auto"/>
            <w:noWrap/>
            <w:vAlign w:val="center"/>
          </w:tcPr>
          <w:p w14:paraId="52B2F95A">
            <w:pPr>
              <w:jc w:val="left"/>
              <w:rPr>
                <w:rFonts w:hint="eastAsia" w:ascii="宋体" w:hAnsi="宋体" w:eastAsia="宋体" w:cs="宋体"/>
                <w:i w:val="0"/>
                <w:iCs w:val="0"/>
                <w:color w:val="000000"/>
                <w:sz w:val="20"/>
                <w:szCs w:val="20"/>
                <w:u w:val="none"/>
              </w:rPr>
            </w:pPr>
          </w:p>
        </w:tc>
        <w:tc>
          <w:tcPr>
            <w:tcW w:w="184" w:type="pct"/>
            <w:tcBorders>
              <w:top w:val="nil"/>
              <w:left w:val="nil"/>
              <w:bottom w:val="single" w:color="000000" w:sz="4" w:space="0"/>
              <w:right w:val="single" w:color="000000" w:sz="4" w:space="0"/>
            </w:tcBorders>
            <w:shd w:val="clear" w:color="auto" w:fill="auto"/>
            <w:noWrap/>
            <w:vAlign w:val="center"/>
          </w:tcPr>
          <w:p w14:paraId="52355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349" w:type="pct"/>
            <w:tcBorders>
              <w:top w:val="nil"/>
              <w:left w:val="nil"/>
              <w:bottom w:val="single" w:color="000000" w:sz="4" w:space="0"/>
              <w:right w:val="single" w:color="000000" w:sz="4" w:space="0"/>
            </w:tcBorders>
            <w:shd w:val="clear" w:color="auto" w:fill="auto"/>
            <w:noWrap/>
            <w:vAlign w:val="center"/>
          </w:tcPr>
          <w:p w14:paraId="632851C8">
            <w:pPr>
              <w:jc w:val="right"/>
              <w:rPr>
                <w:rFonts w:hint="eastAsia" w:ascii="宋体" w:hAnsi="宋体" w:eastAsia="宋体" w:cs="宋体"/>
                <w:i w:val="0"/>
                <w:iCs w:val="0"/>
                <w:color w:val="000000"/>
                <w:sz w:val="20"/>
                <w:szCs w:val="20"/>
                <w:u w:val="none"/>
              </w:rPr>
            </w:pPr>
          </w:p>
        </w:tc>
        <w:tc>
          <w:tcPr>
            <w:tcW w:w="486" w:type="pct"/>
            <w:tcBorders>
              <w:top w:val="nil"/>
              <w:left w:val="nil"/>
              <w:bottom w:val="single" w:color="000000" w:sz="4" w:space="0"/>
              <w:right w:val="single" w:color="000000" w:sz="4" w:space="0"/>
            </w:tcBorders>
            <w:shd w:val="clear" w:color="auto" w:fill="auto"/>
            <w:noWrap/>
            <w:vAlign w:val="center"/>
          </w:tcPr>
          <w:p w14:paraId="380E2466">
            <w:pPr>
              <w:jc w:val="right"/>
              <w:rPr>
                <w:rFonts w:hint="eastAsia" w:ascii="宋体" w:hAnsi="宋体" w:eastAsia="宋体" w:cs="宋体"/>
                <w:i w:val="0"/>
                <w:iCs w:val="0"/>
                <w:color w:val="000000"/>
                <w:sz w:val="20"/>
                <w:szCs w:val="20"/>
                <w:u w:val="none"/>
              </w:rPr>
            </w:pPr>
          </w:p>
        </w:tc>
        <w:tc>
          <w:tcPr>
            <w:tcW w:w="554" w:type="pct"/>
            <w:tcBorders>
              <w:top w:val="nil"/>
              <w:left w:val="nil"/>
              <w:bottom w:val="single" w:color="000000" w:sz="4" w:space="0"/>
              <w:right w:val="single" w:color="000000" w:sz="4" w:space="0"/>
            </w:tcBorders>
            <w:shd w:val="clear" w:color="auto" w:fill="auto"/>
            <w:noWrap/>
            <w:vAlign w:val="center"/>
          </w:tcPr>
          <w:p w14:paraId="4E38AD6F">
            <w:pPr>
              <w:jc w:val="right"/>
              <w:rPr>
                <w:rFonts w:hint="eastAsia" w:ascii="宋体" w:hAnsi="宋体" w:eastAsia="宋体" w:cs="宋体"/>
                <w:i w:val="0"/>
                <w:iCs w:val="0"/>
                <w:color w:val="000000"/>
                <w:sz w:val="20"/>
                <w:szCs w:val="20"/>
                <w:u w:val="none"/>
              </w:rPr>
            </w:pPr>
          </w:p>
        </w:tc>
        <w:tc>
          <w:tcPr>
            <w:tcW w:w="533" w:type="pct"/>
            <w:tcBorders>
              <w:top w:val="nil"/>
              <w:left w:val="nil"/>
              <w:bottom w:val="single" w:color="000000" w:sz="4" w:space="0"/>
              <w:right w:val="single" w:color="000000" w:sz="4" w:space="0"/>
            </w:tcBorders>
            <w:shd w:val="clear" w:color="auto" w:fill="auto"/>
            <w:noWrap/>
            <w:vAlign w:val="center"/>
          </w:tcPr>
          <w:p w14:paraId="491ADFE4">
            <w:pPr>
              <w:jc w:val="right"/>
              <w:rPr>
                <w:rFonts w:hint="eastAsia" w:ascii="宋体" w:hAnsi="宋体" w:eastAsia="宋体" w:cs="宋体"/>
                <w:i w:val="0"/>
                <w:iCs w:val="0"/>
                <w:color w:val="000000"/>
                <w:sz w:val="20"/>
                <w:szCs w:val="20"/>
                <w:u w:val="none"/>
              </w:rPr>
            </w:pPr>
          </w:p>
        </w:tc>
      </w:tr>
      <w:tr w14:paraId="1BF6C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7CF50F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国有资本经营预算财政拨款</w:t>
            </w:r>
          </w:p>
        </w:tc>
        <w:tc>
          <w:tcPr>
            <w:tcW w:w="147" w:type="pct"/>
            <w:tcBorders>
              <w:top w:val="nil"/>
              <w:left w:val="nil"/>
              <w:bottom w:val="single" w:color="000000" w:sz="4" w:space="0"/>
              <w:right w:val="single" w:color="000000" w:sz="4" w:space="0"/>
            </w:tcBorders>
            <w:shd w:val="clear" w:color="auto" w:fill="auto"/>
            <w:noWrap/>
            <w:vAlign w:val="center"/>
          </w:tcPr>
          <w:p w14:paraId="55367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369" w:type="pct"/>
            <w:tcBorders>
              <w:top w:val="nil"/>
              <w:left w:val="nil"/>
              <w:bottom w:val="single" w:color="000000" w:sz="4" w:space="0"/>
              <w:right w:val="single" w:color="000000" w:sz="4" w:space="0"/>
            </w:tcBorders>
            <w:shd w:val="clear" w:color="auto" w:fill="auto"/>
            <w:noWrap/>
            <w:vAlign w:val="center"/>
          </w:tcPr>
          <w:p w14:paraId="7EFF40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57" w:type="pct"/>
            <w:tcBorders>
              <w:top w:val="nil"/>
              <w:left w:val="nil"/>
              <w:bottom w:val="single" w:color="000000" w:sz="4" w:space="0"/>
              <w:right w:val="single" w:color="000000" w:sz="4" w:space="0"/>
            </w:tcBorders>
            <w:shd w:val="clear" w:color="auto" w:fill="auto"/>
            <w:noWrap/>
            <w:vAlign w:val="center"/>
          </w:tcPr>
          <w:p w14:paraId="5ECE2F27">
            <w:pPr>
              <w:jc w:val="left"/>
              <w:rPr>
                <w:rFonts w:hint="eastAsia" w:ascii="宋体" w:hAnsi="宋体" w:eastAsia="宋体" w:cs="宋体"/>
                <w:i w:val="0"/>
                <w:iCs w:val="0"/>
                <w:color w:val="000000"/>
                <w:sz w:val="20"/>
                <w:szCs w:val="20"/>
                <w:u w:val="none"/>
              </w:rPr>
            </w:pPr>
          </w:p>
        </w:tc>
        <w:tc>
          <w:tcPr>
            <w:tcW w:w="184" w:type="pct"/>
            <w:tcBorders>
              <w:top w:val="nil"/>
              <w:left w:val="nil"/>
              <w:bottom w:val="single" w:color="000000" w:sz="4" w:space="0"/>
              <w:right w:val="single" w:color="000000" w:sz="4" w:space="0"/>
            </w:tcBorders>
            <w:shd w:val="clear" w:color="auto" w:fill="auto"/>
            <w:noWrap/>
            <w:vAlign w:val="center"/>
          </w:tcPr>
          <w:p w14:paraId="65EFC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349" w:type="pct"/>
            <w:tcBorders>
              <w:top w:val="nil"/>
              <w:left w:val="nil"/>
              <w:bottom w:val="single" w:color="000000" w:sz="4" w:space="0"/>
              <w:right w:val="single" w:color="000000" w:sz="4" w:space="0"/>
            </w:tcBorders>
            <w:shd w:val="clear" w:color="auto" w:fill="auto"/>
            <w:noWrap/>
            <w:vAlign w:val="center"/>
          </w:tcPr>
          <w:p w14:paraId="4FDCB907">
            <w:pPr>
              <w:jc w:val="right"/>
              <w:rPr>
                <w:rFonts w:hint="eastAsia" w:ascii="宋体" w:hAnsi="宋体" w:eastAsia="宋体" w:cs="宋体"/>
                <w:i w:val="0"/>
                <w:iCs w:val="0"/>
                <w:color w:val="000000"/>
                <w:sz w:val="20"/>
                <w:szCs w:val="20"/>
                <w:u w:val="none"/>
              </w:rPr>
            </w:pPr>
          </w:p>
        </w:tc>
        <w:tc>
          <w:tcPr>
            <w:tcW w:w="486" w:type="pct"/>
            <w:tcBorders>
              <w:top w:val="nil"/>
              <w:left w:val="nil"/>
              <w:bottom w:val="single" w:color="000000" w:sz="4" w:space="0"/>
              <w:right w:val="single" w:color="000000" w:sz="4" w:space="0"/>
            </w:tcBorders>
            <w:shd w:val="clear" w:color="auto" w:fill="auto"/>
            <w:noWrap/>
            <w:vAlign w:val="center"/>
          </w:tcPr>
          <w:p w14:paraId="261B5E06">
            <w:pPr>
              <w:jc w:val="right"/>
              <w:rPr>
                <w:rFonts w:hint="eastAsia" w:ascii="宋体" w:hAnsi="宋体" w:eastAsia="宋体" w:cs="宋体"/>
                <w:i w:val="0"/>
                <w:iCs w:val="0"/>
                <w:color w:val="000000"/>
                <w:sz w:val="20"/>
                <w:szCs w:val="20"/>
                <w:u w:val="none"/>
              </w:rPr>
            </w:pPr>
          </w:p>
        </w:tc>
        <w:tc>
          <w:tcPr>
            <w:tcW w:w="554" w:type="pct"/>
            <w:tcBorders>
              <w:top w:val="nil"/>
              <w:left w:val="nil"/>
              <w:bottom w:val="single" w:color="000000" w:sz="4" w:space="0"/>
              <w:right w:val="single" w:color="000000" w:sz="4" w:space="0"/>
            </w:tcBorders>
            <w:shd w:val="clear" w:color="auto" w:fill="auto"/>
            <w:noWrap/>
            <w:vAlign w:val="center"/>
          </w:tcPr>
          <w:p w14:paraId="4E9EDA05">
            <w:pPr>
              <w:jc w:val="right"/>
              <w:rPr>
                <w:rFonts w:hint="eastAsia" w:ascii="宋体" w:hAnsi="宋体" w:eastAsia="宋体" w:cs="宋体"/>
                <w:i w:val="0"/>
                <w:iCs w:val="0"/>
                <w:color w:val="000000"/>
                <w:sz w:val="20"/>
                <w:szCs w:val="20"/>
                <w:u w:val="none"/>
              </w:rPr>
            </w:pPr>
          </w:p>
        </w:tc>
        <w:tc>
          <w:tcPr>
            <w:tcW w:w="533" w:type="pct"/>
            <w:tcBorders>
              <w:top w:val="nil"/>
              <w:left w:val="nil"/>
              <w:bottom w:val="single" w:color="000000" w:sz="4" w:space="0"/>
              <w:right w:val="single" w:color="000000" w:sz="4" w:space="0"/>
            </w:tcBorders>
            <w:shd w:val="clear" w:color="auto" w:fill="auto"/>
            <w:noWrap/>
            <w:vAlign w:val="center"/>
          </w:tcPr>
          <w:p w14:paraId="0284DF22">
            <w:pPr>
              <w:jc w:val="right"/>
              <w:rPr>
                <w:rFonts w:hint="eastAsia" w:ascii="宋体" w:hAnsi="宋体" w:eastAsia="宋体" w:cs="宋体"/>
                <w:i w:val="0"/>
                <w:iCs w:val="0"/>
                <w:color w:val="000000"/>
                <w:sz w:val="20"/>
                <w:szCs w:val="20"/>
                <w:u w:val="none"/>
              </w:rPr>
            </w:pPr>
          </w:p>
        </w:tc>
      </w:tr>
      <w:tr w14:paraId="0D9DC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1117" w:type="pct"/>
            <w:tcBorders>
              <w:top w:val="nil"/>
              <w:left w:val="single" w:color="000000" w:sz="4" w:space="0"/>
              <w:bottom w:val="single" w:color="000000" w:sz="4" w:space="0"/>
              <w:right w:val="single" w:color="000000" w:sz="4" w:space="0"/>
            </w:tcBorders>
            <w:shd w:val="clear" w:color="auto" w:fill="auto"/>
            <w:noWrap/>
            <w:vAlign w:val="center"/>
          </w:tcPr>
          <w:p w14:paraId="6C9EAB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147" w:type="pct"/>
            <w:tcBorders>
              <w:top w:val="nil"/>
              <w:left w:val="nil"/>
              <w:bottom w:val="single" w:color="000000" w:sz="4" w:space="0"/>
              <w:right w:val="single" w:color="000000" w:sz="4" w:space="0"/>
            </w:tcBorders>
            <w:shd w:val="clear" w:color="auto" w:fill="auto"/>
            <w:noWrap/>
            <w:vAlign w:val="center"/>
          </w:tcPr>
          <w:p w14:paraId="48E15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369" w:type="pct"/>
            <w:tcBorders>
              <w:top w:val="nil"/>
              <w:left w:val="nil"/>
              <w:bottom w:val="single" w:color="000000" w:sz="4" w:space="0"/>
              <w:right w:val="single" w:color="000000" w:sz="4" w:space="0"/>
            </w:tcBorders>
            <w:shd w:val="clear" w:color="auto" w:fill="auto"/>
            <w:noWrap/>
            <w:vAlign w:val="center"/>
          </w:tcPr>
          <w:p w14:paraId="2B99D74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1257" w:type="pct"/>
            <w:tcBorders>
              <w:top w:val="nil"/>
              <w:left w:val="nil"/>
              <w:bottom w:val="single" w:color="000000" w:sz="4" w:space="0"/>
              <w:right w:val="single" w:color="000000" w:sz="4" w:space="0"/>
            </w:tcBorders>
            <w:shd w:val="clear" w:color="auto" w:fill="auto"/>
            <w:noWrap/>
            <w:vAlign w:val="center"/>
          </w:tcPr>
          <w:p w14:paraId="0299C0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184" w:type="pct"/>
            <w:tcBorders>
              <w:top w:val="nil"/>
              <w:left w:val="nil"/>
              <w:bottom w:val="single" w:color="000000" w:sz="4" w:space="0"/>
              <w:right w:val="single" w:color="000000" w:sz="4" w:space="0"/>
            </w:tcBorders>
            <w:shd w:val="clear" w:color="auto" w:fill="auto"/>
            <w:noWrap/>
            <w:vAlign w:val="center"/>
          </w:tcPr>
          <w:p w14:paraId="5AF41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349" w:type="pct"/>
            <w:tcBorders>
              <w:top w:val="nil"/>
              <w:left w:val="nil"/>
              <w:bottom w:val="single" w:color="000000" w:sz="4" w:space="0"/>
              <w:right w:val="single" w:color="000000" w:sz="4" w:space="0"/>
            </w:tcBorders>
            <w:shd w:val="clear" w:color="auto" w:fill="auto"/>
            <w:noWrap/>
            <w:vAlign w:val="center"/>
          </w:tcPr>
          <w:p w14:paraId="3C63C5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486" w:type="pct"/>
            <w:tcBorders>
              <w:top w:val="nil"/>
              <w:left w:val="nil"/>
              <w:bottom w:val="single" w:color="000000" w:sz="4" w:space="0"/>
              <w:right w:val="single" w:color="000000" w:sz="4" w:space="0"/>
            </w:tcBorders>
            <w:shd w:val="clear" w:color="auto" w:fill="auto"/>
            <w:noWrap/>
            <w:vAlign w:val="center"/>
          </w:tcPr>
          <w:p w14:paraId="12A150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554" w:type="pct"/>
            <w:tcBorders>
              <w:top w:val="nil"/>
              <w:left w:val="nil"/>
              <w:bottom w:val="single" w:color="000000" w:sz="4" w:space="0"/>
              <w:right w:val="single" w:color="000000" w:sz="4" w:space="0"/>
            </w:tcBorders>
            <w:shd w:val="clear" w:color="auto" w:fill="auto"/>
            <w:noWrap/>
            <w:vAlign w:val="center"/>
          </w:tcPr>
          <w:p w14:paraId="0DB7E4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533" w:type="pct"/>
            <w:tcBorders>
              <w:top w:val="nil"/>
              <w:left w:val="nil"/>
              <w:bottom w:val="single" w:color="000000" w:sz="4" w:space="0"/>
              <w:right w:val="single" w:color="000000" w:sz="4" w:space="0"/>
            </w:tcBorders>
            <w:shd w:val="clear" w:color="auto" w:fill="auto"/>
            <w:noWrap/>
            <w:vAlign w:val="center"/>
          </w:tcPr>
          <w:p w14:paraId="29645F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bl>
    <w:p w14:paraId="46750717">
      <w:pPr>
        <w:widowControl/>
        <w:shd w:val="clear"/>
        <w:jc w:val="left"/>
        <w:rPr>
          <w:rFonts w:hint="eastAsia" w:ascii="Times New Roman" w:hAnsi="Times New Roman" w:eastAsia="仿宋_GB2312" w:cs="Times New Roman"/>
          <w:i w:val="0"/>
          <w:iCs w:val="0"/>
          <w:spacing w:val="-6"/>
          <w:kern w:val="0"/>
          <w:sz w:val="24"/>
          <w:szCs w:val="24"/>
        </w:rPr>
      </w:pPr>
      <w:r>
        <w:rPr>
          <w:rFonts w:ascii="Times New Roman" w:hAnsi="Times New Roman" w:eastAsia="仿宋_GB2312" w:cs="Times New Roman"/>
          <w:i w:val="0"/>
          <w:iCs w:val="0"/>
          <w:kern w:val="0"/>
          <w:sz w:val="24"/>
          <w:szCs w:val="24"/>
        </w:rPr>
        <w:t>注：</w:t>
      </w:r>
      <w:r>
        <w:rPr>
          <w:rFonts w:hint="eastAsia" w:ascii="Times New Roman" w:hAnsi="Times New Roman" w:eastAsia="仿宋_GB2312" w:cs="Times New Roman"/>
          <w:i w:val="0"/>
          <w:iCs w:val="0"/>
          <w:spacing w:val="-6"/>
          <w:kern w:val="0"/>
          <w:sz w:val="24"/>
          <w:szCs w:val="24"/>
        </w:rPr>
        <w:t>1.本表依据《财政拨款收入支出决算总表》（财决01-1表）进行批复。</w:t>
      </w:r>
    </w:p>
    <w:p w14:paraId="1F9E7CDB">
      <w:pPr>
        <w:widowControl/>
        <w:shd w:val="clear"/>
        <w:jc w:val="left"/>
        <w:rPr>
          <w:rFonts w:ascii="Times New Roman" w:hAnsi="Times New Roman" w:eastAsia="仿宋_GB2312" w:cs="Times New Roman"/>
          <w:i w:val="0"/>
          <w:iCs w:val="0"/>
          <w:kern w:val="0"/>
          <w:sz w:val="24"/>
          <w:szCs w:val="24"/>
        </w:rPr>
      </w:pPr>
      <w:r>
        <w:rPr>
          <w:rFonts w:hint="eastAsia" w:ascii="Times New Roman" w:hAnsi="Times New Roman" w:eastAsia="仿宋_GB2312" w:cs="Times New Roman"/>
          <w:i w:val="0"/>
          <w:iCs w:val="0"/>
          <w:spacing w:val="-6"/>
          <w:kern w:val="0"/>
          <w:sz w:val="24"/>
          <w:szCs w:val="24"/>
        </w:rPr>
        <w:t xml:space="preserve">    2.本表以“万元”为金额单位（保留两位小数）。</w:t>
      </w:r>
    </w:p>
    <w:p w14:paraId="11060FDE">
      <w:pPr>
        <w:widowControl/>
        <w:shd w:val="clear"/>
        <w:jc w:val="center"/>
        <w:rPr>
          <w:rFonts w:ascii="Times New Roman" w:hAnsi="Times New Roman" w:eastAsia="方正小标宋_GBK" w:cs="Times New Roman"/>
          <w:i w:val="0"/>
          <w:iCs w:val="0"/>
          <w:kern w:val="0"/>
          <w:sz w:val="36"/>
          <w:szCs w:val="36"/>
        </w:rPr>
      </w:pPr>
    </w:p>
    <w:p w14:paraId="77819AF4">
      <w:pP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br w:type="page"/>
      </w:r>
    </w:p>
    <w:p w14:paraId="340A020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hint="eastAsia" w:ascii="方正小标宋简体" w:hAnsi="方正小标宋简体" w:eastAsia="方正小标宋简体" w:cs="方正小标宋简体"/>
          <w:b w:val="0"/>
          <w:bCs w:val="0"/>
          <w:i w:val="0"/>
          <w:iCs w:val="0"/>
          <w:caps w:val="0"/>
          <w:color w:val="000000"/>
          <w:spacing w:val="0"/>
          <w:sz w:val="44"/>
          <w:szCs w:val="44"/>
          <w:shd w:val="clear" w:color="auto" w:fill="FFFFFF"/>
        </w:rPr>
        <w:t>一般公共预算财政拨款收入支出决算批复</w:t>
      </w: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表</w:t>
      </w:r>
      <w:bookmarkEnd w:id="1"/>
    </w:p>
    <w:p w14:paraId="55B38787">
      <w:pPr>
        <w:widowControl/>
        <w:shd w:val="clear"/>
        <w:spacing w:before="156" w:beforeLines="50"/>
        <w:jc w:val="left"/>
        <w:rPr>
          <w:rFonts w:ascii="Times New Roman" w:hAnsi="Times New Roman" w:eastAsia="仿宋_GB2312" w:cs="Times New Roman"/>
          <w:i w:val="0"/>
          <w:iCs w:val="0"/>
          <w:color w:val="000000"/>
          <w:kern w:val="0"/>
          <w:szCs w:val="21"/>
        </w:rPr>
      </w:pPr>
      <w:r>
        <w:rPr>
          <w:rFonts w:ascii="Times New Roman" w:hAnsi="Times New Roman" w:eastAsia="仿宋_GB2312" w:cs="Times New Roman"/>
          <w:i w:val="0"/>
          <w:iCs w:val="0"/>
          <w:color w:val="000000"/>
          <w:kern w:val="0"/>
          <w:szCs w:val="21"/>
        </w:rPr>
        <w:t xml:space="preserve">     部门：</w:t>
      </w:r>
      <w:r>
        <w:rPr>
          <w:rFonts w:hint="eastAsia" w:ascii="Times New Roman" w:hAnsi="Times New Roman" w:eastAsia="仿宋_GB2312" w:cs="Times New Roman"/>
          <w:i w:val="0"/>
          <w:iCs w:val="0"/>
          <w:color w:val="000000"/>
          <w:kern w:val="0"/>
          <w:szCs w:val="21"/>
        </w:rPr>
        <w:t>怀化市医疗保障局</w:t>
      </w:r>
      <w:r>
        <w:rPr>
          <w:rFonts w:ascii="Times New Roman" w:hAnsi="Times New Roman" w:eastAsia="仿宋_GB2312" w:cs="Times New Roman"/>
          <w:i w:val="0"/>
          <w:iCs w:val="0"/>
          <w:color w:val="000000"/>
          <w:kern w:val="0"/>
          <w:szCs w:val="21"/>
        </w:rPr>
        <w:t xml:space="preserve">                                                                                                </w:t>
      </w:r>
      <w:r>
        <w:rPr>
          <w:rFonts w:hint="eastAsia" w:ascii="Times New Roman" w:hAnsi="Times New Roman" w:eastAsia="仿宋_GB2312" w:cs="Times New Roman"/>
          <w:i w:val="0"/>
          <w:iCs w:val="0"/>
          <w:color w:val="000000"/>
          <w:kern w:val="0"/>
          <w:szCs w:val="21"/>
        </w:rPr>
        <w:t>财决批复</w:t>
      </w:r>
      <w:r>
        <w:rPr>
          <w:rFonts w:ascii="Times New Roman" w:hAnsi="Times New Roman" w:eastAsia="仿宋_GB2312" w:cs="Times New Roman"/>
          <w:i w:val="0"/>
          <w:iCs w:val="0"/>
          <w:color w:val="000000"/>
          <w:kern w:val="0"/>
          <w:szCs w:val="21"/>
        </w:rPr>
        <w:t>05表</w:t>
      </w:r>
    </w:p>
    <w:p w14:paraId="5F6B02C3">
      <w:pPr>
        <w:widowControl/>
        <w:shd w:val="clear"/>
        <w:jc w:val="left"/>
        <w:rPr>
          <w:rFonts w:ascii="Times New Roman" w:hAnsi="Times New Roman" w:eastAsia="仿宋_GB2312" w:cs="Times New Roman"/>
          <w:i w:val="0"/>
          <w:iCs w:val="0"/>
          <w:color w:val="000000"/>
          <w:kern w:val="0"/>
          <w:szCs w:val="21"/>
        </w:rPr>
      </w:pPr>
      <w:r>
        <w:rPr>
          <w:rFonts w:ascii="Times New Roman" w:hAnsi="Times New Roman" w:eastAsia="仿宋_GB2312" w:cs="Times New Roman"/>
          <w:i w:val="0"/>
          <w:iCs w:val="0"/>
          <w:color w:val="000000"/>
          <w:kern w:val="0"/>
          <w:szCs w:val="21"/>
        </w:rPr>
        <w:t xml:space="preserve">                                                                                                              </w:t>
      </w:r>
      <w:r>
        <w:rPr>
          <w:rFonts w:hint="eastAsia" w:ascii="Times New Roman" w:hAnsi="Times New Roman" w:eastAsia="仿宋_GB2312" w:cs="Times New Roman"/>
          <w:i w:val="0"/>
          <w:iCs w:val="0"/>
          <w:color w:val="000000"/>
          <w:kern w:val="0"/>
          <w:szCs w:val="21"/>
          <w:lang w:val="en-US" w:eastAsia="zh-CN"/>
        </w:rPr>
        <w:t xml:space="preserve">           </w:t>
      </w:r>
      <w:r>
        <w:rPr>
          <w:rFonts w:ascii="Times New Roman" w:hAnsi="Times New Roman" w:eastAsia="仿宋_GB2312" w:cs="Times New Roman"/>
          <w:i w:val="0"/>
          <w:iCs w:val="0"/>
          <w:color w:val="000000"/>
          <w:kern w:val="0"/>
          <w:szCs w:val="21"/>
        </w:rPr>
        <w:t xml:space="preserve"> </w:t>
      </w:r>
      <w:r>
        <w:rPr>
          <w:rFonts w:hint="eastAsia" w:ascii="Times New Roman" w:hAnsi="Times New Roman" w:eastAsia="仿宋_GB2312" w:cs="Times New Roman"/>
          <w:i w:val="0"/>
          <w:iCs w:val="0"/>
          <w:color w:val="000000"/>
          <w:kern w:val="0"/>
          <w:szCs w:val="21"/>
          <w:lang w:eastAsia="zh-CN"/>
        </w:rPr>
        <w:t>金额</w:t>
      </w:r>
      <w:r>
        <w:rPr>
          <w:rFonts w:ascii="Times New Roman" w:hAnsi="Times New Roman" w:eastAsia="仿宋_GB2312" w:cs="Times New Roman"/>
          <w:i w:val="0"/>
          <w:iCs w:val="0"/>
          <w:color w:val="000000"/>
          <w:kern w:val="0"/>
          <w:szCs w:val="21"/>
        </w:rPr>
        <w:t>单位：万元</w:t>
      </w:r>
    </w:p>
    <w:tbl>
      <w:tblPr>
        <w:tblStyle w:val="9"/>
        <w:tblW w:w="484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3"/>
        <w:gridCol w:w="414"/>
        <w:gridCol w:w="420"/>
        <w:gridCol w:w="2665"/>
        <w:gridCol w:w="741"/>
        <w:gridCol w:w="736"/>
        <w:gridCol w:w="832"/>
        <w:gridCol w:w="878"/>
        <w:gridCol w:w="863"/>
        <w:gridCol w:w="898"/>
        <w:gridCol w:w="943"/>
        <w:gridCol w:w="825"/>
        <w:gridCol w:w="825"/>
        <w:gridCol w:w="666"/>
        <w:gridCol w:w="665"/>
        <w:gridCol w:w="806"/>
        <w:gridCol w:w="731"/>
      </w:tblGrid>
      <w:tr w14:paraId="6AB8D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3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C7E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科目代码</w:t>
            </w:r>
          </w:p>
        </w:tc>
        <w:tc>
          <w:tcPr>
            <w:tcW w:w="930" w:type="pct"/>
            <w:vMerge w:val="restart"/>
            <w:tcBorders>
              <w:top w:val="single" w:color="000000" w:sz="4" w:space="0"/>
              <w:left w:val="nil"/>
              <w:bottom w:val="single" w:color="000000" w:sz="4" w:space="0"/>
              <w:right w:val="single" w:color="000000" w:sz="4" w:space="0"/>
            </w:tcBorders>
            <w:shd w:val="clear" w:color="auto" w:fill="auto"/>
            <w:vAlign w:val="center"/>
          </w:tcPr>
          <w:p w14:paraId="6D683B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科目名称</w:t>
            </w:r>
          </w:p>
        </w:tc>
        <w:tc>
          <w:tcPr>
            <w:tcW w:w="806" w:type="pct"/>
            <w:gridSpan w:val="3"/>
            <w:tcBorders>
              <w:top w:val="single" w:color="000000" w:sz="4" w:space="0"/>
              <w:left w:val="nil"/>
              <w:bottom w:val="single" w:color="000000" w:sz="4" w:space="0"/>
              <w:right w:val="single" w:color="000000" w:sz="4" w:space="0"/>
            </w:tcBorders>
            <w:shd w:val="clear" w:color="auto" w:fill="auto"/>
            <w:vAlign w:val="center"/>
          </w:tcPr>
          <w:p w14:paraId="7BDDF6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年初结转和结余</w:t>
            </w:r>
          </w:p>
        </w:tc>
        <w:tc>
          <w:tcPr>
            <w:tcW w:w="921" w:type="pct"/>
            <w:gridSpan w:val="3"/>
            <w:tcBorders>
              <w:top w:val="single" w:color="000000" w:sz="4" w:space="0"/>
              <w:left w:val="nil"/>
              <w:bottom w:val="single" w:color="000000" w:sz="4" w:space="0"/>
              <w:right w:val="single" w:color="000000" w:sz="4" w:space="0"/>
            </w:tcBorders>
            <w:shd w:val="clear" w:color="auto" w:fill="auto"/>
            <w:vAlign w:val="center"/>
          </w:tcPr>
          <w:p w14:paraId="59F2BD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本年收入</w:t>
            </w:r>
          </w:p>
        </w:tc>
        <w:tc>
          <w:tcPr>
            <w:tcW w:w="905" w:type="pct"/>
            <w:gridSpan w:val="3"/>
            <w:tcBorders>
              <w:top w:val="single" w:color="000000" w:sz="4" w:space="0"/>
              <w:left w:val="nil"/>
              <w:bottom w:val="single" w:color="000000" w:sz="4" w:space="0"/>
              <w:right w:val="single" w:color="000000" w:sz="4" w:space="0"/>
            </w:tcBorders>
            <w:shd w:val="clear" w:color="auto" w:fill="auto"/>
            <w:vAlign w:val="center"/>
          </w:tcPr>
          <w:p w14:paraId="534DCA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本年支出</w:t>
            </w:r>
          </w:p>
        </w:tc>
        <w:tc>
          <w:tcPr>
            <w:tcW w:w="1001" w:type="pct"/>
            <w:gridSpan w:val="4"/>
            <w:tcBorders>
              <w:top w:val="single" w:color="000000" w:sz="4" w:space="0"/>
              <w:left w:val="nil"/>
              <w:bottom w:val="single" w:color="000000" w:sz="4" w:space="0"/>
              <w:right w:val="single" w:color="000000" w:sz="4" w:space="0"/>
            </w:tcBorders>
            <w:shd w:val="clear" w:color="auto" w:fill="auto"/>
            <w:vAlign w:val="center"/>
          </w:tcPr>
          <w:p w14:paraId="14E51C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年末结转和结余</w:t>
            </w:r>
          </w:p>
        </w:tc>
      </w:tr>
      <w:tr w14:paraId="029C3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3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C902D">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930" w:type="pct"/>
            <w:vMerge w:val="continue"/>
            <w:tcBorders>
              <w:top w:val="single" w:color="000000" w:sz="4" w:space="0"/>
              <w:left w:val="nil"/>
              <w:bottom w:val="single" w:color="000000" w:sz="4" w:space="0"/>
              <w:right w:val="single" w:color="000000" w:sz="4" w:space="0"/>
            </w:tcBorders>
            <w:shd w:val="clear" w:color="auto" w:fill="auto"/>
            <w:vAlign w:val="center"/>
          </w:tcPr>
          <w:p w14:paraId="0F02EC9D">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258" w:type="pct"/>
            <w:vMerge w:val="restart"/>
            <w:tcBorders>
              <w:top w:val="nil"/>
              <w:left w:val="nil"/>
              <w:bottom w:val="single" w:color="000000" w:sz="4" w:space="0"/>
              <w:right w:val="single" w:color="000000" w:sz="4" w:space="0"/>
            </w:tcBorders>
            <w:shd w:val="clear" w:color="auto" w:fill="auto"/>
            <w:vAlign w:val="center"/>
          </w:tcPr>
          <w:p w14:paraId="7F2FA9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合计</w:t>
            </w:r>
          </w:p>
        </w:tc>
        <w:tc>
          <w:tcPr>
            <w:tcW w:w="256" w:type="pct"/>
            <w:vMerge w:val="restart"/>
            <w:tcBorders>
              <w:top w:val="nil"/>
              <w:left w:val="nil"/>
              <w:bottom w:val="single" w:color="000000" w:sz="4" w:space="0"/>
              <w:right w:val="single" w:color="000000" w:sz="4" w:space="0"/>
            </w:tcBorders>
            <w:shd w:val="clear" w:color="auto" w:fill="auto"/>
            <w:vAlign w:val="center"/>
          </w:tcPr>
          <w:p w14:paraId="1C2CAD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基本支出结转</w:t>
            </w:r>
          </w:p>
        </w:tc>
        <w:tc>
          <w:tcPr>
            <w:tcW w:w="290" w:type="pct"/>
            <w:vMerge w:val="restart"/>
            <w:tcBorders>
              <w:top w:val="nil"/>
              <w:left w:val="nil"/>
              <w:bottom w:val="single" w:color="000000" w:sz="4" w:space="0"/>
              <w:right w:val="single" w:color="000000" w:sz="4" w:space="0"/>
            </w:tcBorders>
            <w:shd w:val="clear" w:color="auto" w:fill="auto"/>
            <w:vAlign w:val="center"/>
          </w:tcPr>
          <w:p w14:paraId="34F4A6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项目支出结转和结余</w:t>
            </w:r>
          </w:p>
        </w:tc>
        <w:tc>
          <w:tcPr>
            <w:tcW w:w="306" w:type="pct"/>
            <w:vMerge w:val="restart"/>
            <w:tcBorders>
              <w:top w:val="nil"/>
              <w:left w:val="nil"/>
              <w:bottom w:val="single" w:color="000000" w:sz="4" w:space="0"/>
              <w:right w:val="single" w:color="000000" w:sz="4" w:space="0"/>
            </w:tcBorders>
            <w:shd w:val="clear" w:color="auto" w:fill="auto"/>
            <w:vAlign w:val="center"/>
          </w:tcPr>
          <w:p w14:paraId="402A70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合计</w:t>
            </w:r>
          </w:p>
        </w:tc>
        <w:tc>
          <w:tcPr>
            <w:tcW w:w="301" w:type="pct"/>
            <w:vMerge w:val="restart"/>
            <w:tcBorders>
              <w:top w:val="nil"/>
              <w:left w:val="nil"/>
              <w:bottom w:val="single" w:color="000000" w:sz="4" w:space="0"/>
              <w:right w:val="single" w:color="000000" w:sz="4" w:space="0"/>
            </w:tcBorders>
            <w:shd w:val="clear" w:color="auto" w:fill="auto"/>
            <w:vAlign w:val="center"/>
          </w:tcPr>
          <w:p w14:paraId="34AE5D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基本支出</w:t>
            </w:r>
          </w:p>
        </w:tc>
        <w:tc>
          <w:tcPr>
            <w:tcW w:w="313" w:type="pct"/>
            <w:vMerge w:val="restart"/>
            <w:tcBorders>
              <w:top w:val="nil"/>
              <w:left w:val="nil"/>
              <w:bottom w:val="single" w:color="000000" w:sz="4" w:space="0"/>
              <w:right w:val="single" w:color="000000" w:sz="4" w:space="0"/>
            </w:tcBorders>
            <w:shd w:val="clear" w:color="auto" w:fill="auto"/>
            <w:vAlign w:val="center"/>
          </w:tcPr>
          <w:p w14:paraId="296CB9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项目支出</w:t>
            </w:r>
          </w:p>
        </w:tc>
        <w:tc>
          <w:tcPr>
            <w:tcW w:w="329" w:type="pct"/>
            <w:vMerge w:val="restart"/>
            <w:tcBorders>
              <w:top w:val="nil"/>
              <w:left w:val="nil"/>
              <w:bottom w:val="single" w:color="000000" w:sz="4" w:space="0"/>
              <w:right w:val="single" w:color="000000" w:sz="4" w:space="0"/>
            </w:tcBorders>
            <w:shd w:val="clear" w:color="auto" w:fill="auto"/>
            <w:vAlign w:val="center"/>
          </w:tcPr>
          <w:p w14:paraId="0CC2DB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合计</w:t>
            </w:r>
          </w:p>
        </w:tc>
        <w:tc>
          <w:tcPr>
            <w:tcW w:w="288" w:type="pct"/>
            <w:vMerge w:val="restart"/>
            <w:tcBorders>
              <w:top w:val="nil"/>
              <w:left w:val="nil"/>
              <w:bottom w:val="single" w:color="000000" w:sz="4" w:space="0"/>
              <w:right w:val="single" w:color="000000" w:sz="4" w:space="0"/>
            </w:tcBorders>
            <w:shd w:val="clear" w:color="auto" w:fill="auto"/>
            <w:vAlign w:val="center"/>
          </w:tcPr>
          <w:p w14:paraId="31FD5D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基本支出</w:t>
            </w:r>
          </w:p>
        </w:tc>
        <w:tc>
          <w:tcPr>
            <w:tcW w:w="288" w:type="pct"/>
            <w:vMerge w:val="restart"/>
            <w:tcBorders>
              <w:top w:val="nil"/>
              <w:left w:val="nil"/>
              <w:bottom w:val="single" w:color="000000" w:sz="4" w:space="0"/>
              <w:right w:val="single" w:color="000000" w:sz="4" w:space="0"/>
            </w:tcBorders>
            <w:shd w:val="clear" w:color="auto" w:fill="auto"/>
            <w:vAlign w:val="center"/>
          </w:tcPr>
          <w:p w14:paraId="3FC7D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项目支出</w:t>
            </w:r>
          </w:p>
        </w:tc>
        <w:tc>
          <w:tcPr>
            <w:tcW w:w="232" w:type="pct"/>
            <w:vMerge w:val="restart"/>
            <w:tcBorders>
              <w:top w:val="nil"/>
              <w:left w:val="nil"/>
              <w:bottom w:val="single" w:color="000000" w:sz="4" w:space="0"/>
              <w:right w:val="single" w:color="000000" w:sz="4" w:space="0"/>
            </w:tcBorders>
            <w:shd w:val="clear" w:color="auto" w:fill="auto"/>
            <w:vAlign w:val="center"/>
          </w:tcPr>
          <w:p w14:paraId="5AE615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合计</w:t>
            </w:r>
          </w:p>
        </w:tc>
        <w:tc>
          <w:tcPr>
            <w:tcW w:w="232" w:type="pct"/>
            <w:vMerge w:val="restart"/>
            <w:tcBorders>
              <w:top w:val="nil"/>
              <w:left w:val="nil"/>
              <w:bottom w:val="single" w:color="000000" w:sz="4" w:space="0"/>
              <w:right w:val="single" w:color="000000" w:sz="4" w:space="0"/>
            </w:tcBorders>
            <w:shd w:val="clear" w:color="auto" w:fill="auto"/>
            <w:vAlign w:val="center"/>
          </w:tcPr>
          <w:p w14:paraId="6161D0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基本支出结转</w:t>
            </w:r>
          </w:p>
        </w:tc>
        <w:tc>
          <w:tcPr>
            <w:tcW w:w="536" w:type="pct"/>
            <w:gridSpan w:val="2"/>
            <w:tcBorders>
              <w:top w:val="nil"/>
              <w:left w:val="nil"/>
              <w:bottom w:val="single" w:color="000000" w:sz="4" w:space="0"/>
              <w:right w:val="single" w:color="000000" w:sz="4" w:space="0"/>
            </w:tcBorders>
            <w:shd w:val="clear" w:color="auto" w:fill="auto"/>
            <w:vAlign w:val="center"/>
          </w:tcPr>
          <w:p w14:paraId="5F1D3E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项目支出结转</w:t>
            </w:r>
          </w:p>
          <w:p w14:paraId="361FAD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和结余</w:t>
            </w:r>
          </w:p>
        </w:tc>
      </w:tr>
      <w:tr w14:paraId="6B40A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43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7E52C">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930" w:type="pct"/>
            <w:vMerge w:val="continue"/>
            <w:tcBorders>
              <w:top w:val="single" w:color="000000" w:sz="4" w:space="0"/>
              <w:left w:val="nil"/>
              <w:bottom w:val="single" w:color="000000" w:sz="4" w:space="0"/>
              <w:right w:val="single" w:color="000000" w:sz="4" w:space="0"/>
            </w:tcBorders>
            <w:shd w:val="clear" w:color="auto" w:fill="auto"/>
            <w:vAlign w:val="center"/>
          </w:tcPr>
          <w:p w14:paraId="7DDB0E5B">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258" w:type="pct"/>
            <w:vMerge w:val="continue"/>
            <w:tcBorders>
              <w:top w:val="nil"/>
              <w:left w:val="nil"/>
              <w:bottom w:val="single" w:color="000000" w:sz="4" w:space="0"/>
              <w:right w:val="single" w:color="000000" w:sz="4" w:space="0"/>
            </w:tcBorders>
            <w:shd w:val="clear" w:color="auto" w:fill="auto"/>
            <w:vAlign w:val="center"/>
          </w:tcPr>
          <w:p w14:paraId="0C07845E">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256" w:type="pct"/>
            <w:vMerge w:val="continue"/>
            <w:tcBorders>
              <w:top w:val="nil"/>
              <w:left w:val="nil"/>
              <w:bottom w:val="single" w:color="000000" w:sz="4" w:space="0"/>
              <w:right w:val="single" w:color="000000" w:sz="4" w:space="0"/>
            </w:tcBorders>
            <w:shd w:val="clear" w:color="auto" w:fill="auto"/>
            <w:vAlign w:val="center"/>
          </w:tcPr>
          <w:p w14:paraId="29BE50FA">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290" w:type="pct"/>
            <w:vMerge w:val="continue"/>
            <w:tcBorders>
              <w:top w:val="nil"/>
              <w:left w:val="nil"/>
              <w:bottom w:val="single" w:color="000000" w:sz="4" w:space="0"/>
              <w:right w:val="single" w:color="000000" w:sz="4" w:space="0"/>
            </w:tcBorders>
            <w:shd w:val="clear" w:color="auto" w:fill="auto"/>
            <w:vAlign w:val="center"/>
          </w:tcPr>
          <w:p w14:paraId="3D238996">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306" w:type="pct"/>
            <w:vMerge w:val="continue"/>
            <w:tcBorders>
              <w:top w:val="nil"/>
              <w:left w:val="nil"/>
              <w:bottom w:val="single" w:color="000000" w:sz="4" w:space="0"/>
              <w:right w:val="single" w:color="000000" w:sz="4" w:space="0"/>
            </w:tcBorders>
            <w:shd w:val="clear" w:color="auto" w:fill="auto"/>
            <w:vAlign w:val="center"/>
          </w:tcPr>
          <w:p w14:paraId="450AE0C7">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301" w:type="pct"/>
            <w:vMerge w:val="continue"/>
            <w:tcBorders>
              <w:top w:val="nil"/>
              <w:left w:val="nil"/>
              <w:bottom w:val="single" w:color="000000" w:sz="4" w:space="0"/>
              <w:right w:val="single" w:color="000000" w:sz="4" w:space="0"/>
            </w:tcBorders>
            <w:shd w:val="clear" w:color="auto" w:fill="auto"/>
            <w:vAlign w:val="center"/>
          </w:tcPr>
          <w:p w14:paraId="5C5AF0CF">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313" w:type="pct"/>
            <w:vMerge w:val="continue"/>
            <w:tcBorders>
              <w:top w:val="nil"/>
              <w:left w:val="nil"/>
              <w:bottom w:val="single" w:color="000000" w:sz="4" w:space="0"/>
              <w:right w:val="single" w:color="000000" w:sz="4" w:space="0"/>
            </w:tcBorders>
            <w:shd w:val="clear" w:color="auto" w:fill="auto"/>
            <w:vAlign w:val="center"/>
          </w:tcPr>
          <w:p w14:paraId="5F462E97">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329" w:type="pct"/>
            <w:vMerge w:val="continue"/>
            <w:tcBorders>
              <w:top w:val="nil"/>
              <w:left w:val="nil"/>
              <w:bottom w:val="single" w:color="000000" w:sz="4" w:space="0"/>
              <w:right w:val="single" w:color="000000" w:sz="4" w:space="0"/>
            </w:tcBorders>
            <w:shd w:val="clear" w:color="auto" w:fill="auto"/>
            <w:vAlign w:val="center"/>
          </w:tcPr>
          <w:p w14:paraId="26C4EDAF">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288" w:type="pct"/>
            <w:vMerge w:val="continue"/>
            <w:tcBorders>
              <w:top w:val="nil"/>
              <w:left w:val="nil"/>
              <w:bottom w:val="single" w:color="000000" w:sz="4" w:space="0"/>
              <w:right w:val="single" w:color="000000" w:sz="4" w:space="0"/>
            </w:tcBorders>
            <w:shd w:val="clear" w:color="auto" w:fill="auto"/>
            <w:vAlign w:val="center"/>
          </w:tcPr>
          <w:p w14:paraId="21D134EC">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288" w:type="pct"/>
            <w:vMerge w:val="continue"/>
            <w:tcBorders>
              <w:top w:val="nil"/>
              <w:left w:val="nil"/>
              <w:bottom w:val="single" w:color="000000" w:sz="4" w:space="0"/>
              <w:right w:val="single" w:color="000000" w:sz="4" w:space="0"/>
            </w:tcBorders>
            <w:shd w:val="clear" w:color="auto" w:fill="auto"/>
            <w:vAlign w:val="center"/>
          </w:tcPr>
          <w:p w14:paraId="566C0EB5">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232" w:type="pct"/>
            <w:vMerge w:val="continue"/>
            <w:tcBorders>
              <w:top w:val="nil"/>
              <w:left w:val="nil"/>
              <w:bottom w:val="single" w:color="000000" w:sz="4" w:space="0"/>
              <w:right w:val="single" w:color="000000" w:sz="4" w:space="0"/>
            </w:tcBorders>
            <w:shd w:val="clear" w:color="auto" w:fill="auto"/>
            <w:vAlign w:val="center"/>
          </w:tcPr>
          <w:p w14:paraId="280859C5">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232" w:type="pct"/>
            <w:vMerge w:val="continue"/>
            <w:tcBorders>
              <w:top w:val="nil"/>
              <w:left w:val="nil"/>
              <w:bottom w:val="single" w:color="000000" w:sz="4" w:space="0"/>
              <w:right w:val="single" w:color="000000" w:sz="4" w:space="0"/>
            </w:tcBorders>
            <w:shd w:val="clear" w:color="auto" w:fill="auto"/>
            <w:vAlign w:val="center"/>
          </w:tcPr>
          <w:p w14:paraId="4CDE26EB">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281" w:type="pct"/>
            <w:tcBorders>
              <w:top w:val="nil"/>
              <w:left w:val="nil"/>
              <w:bottom w:val="single" w:color="000000" w:sz="4" w:space="0"/>
              <w:right w:val="single" w:color="000000" w:sz="4" w:space="0"/>
            </w:tcBorders>
            <w:shd w:val="clear" w:color="auto" w:fill="auto"/>
            <w:vAlign w:val="center"/>
          </w:tcPr>
          <w:p w14:paraId="61A276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项目支出结转</w:t>
            </w:r>
          </w:p>
        </w:tc>
        <w:tc>
          <w:tcPr>
            <w:tcW w:w="255" w:type="pct"/>
            <w:tcBorders>
              <w:top w:val="nil"/>
              <w:left w:val="nil"/>
              <w:bottom w:val="single" w:color="000000" w:sz="4" w:space="0"/>
              <w:right w:val="single" w:color="000000" w:sz="4" w:space="0"/>
            </w:tcBorders>
            <w:shd w:val="clear" w:color="auto" w:fill="auto"/>
            <w:vAlign w:val="center"/>
          </w:tcPr>
          <w:p w14:paraId="13545B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项目支出结余</w:t>
            </w:r>
          </w:p>
        </w:tc>
      </w:tr>
      <w:tr w14:paraId="00338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144" w:type="pct"/>
            <w:vMerge w:val="restart"/>
            <w:tcBorders>
              <w:top w:val="nil"/>
              <w:left w:val="single" w:color="000000" w:sz="4" w:space="0"/>
              <w:bottom w:val="single" w:color="000000" w:sz="4" w:space="0"/>
              <w:right w:val="single" w:color="000000" w:sz="4" w:space="0"/>
            </w:tcBorders>
            <w:shd w:val="clear" w:color="auto" w:fill="auto"/>
            <w:vAlign w:val="center"/>
          </w:tcPr>
          <w:p w14:paraId="1BFAC5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类</w:t>
            </w:r>
          </w:p>
        </w:tc>
        <w:tc>
          <w:tcPr>
            <w:tcW w:w="144" w:type="pct"/>
            <w:vMerge w:val="restart"/>
            <w:tcBorders>
              <w:top w:val="nil"/>
              <w:left w:val="nil"/>
              <w:bottom w:val="single" w:color="000000" w:sz="4" w:space="0"/>
              <w:right w:val="single" w:color="000000" w:sz="4" w:space="0"/>
            </w:tcBorders>
            <w:shd w:val="clear" w:color="auto" w:fill="auto"/>
            <w:vAlign w:val="center"/>
          </w:tcPr>
          <w:p w14:paraId="6D79B0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款</w:t>
            </w:r>
          </w:p>
        </w:tc>
        <w:tc>
          <w:tcPr>
            <w:tcW w:w="146" w:type="pct"/>
            <w:vMerge w:val="restart"/>
            <w:tcBorders>
              <w:top w:val="nil"/>
              <w:left w:val="nil"/>
              <w:bottom w:val="single" w:color="000000" w:sz="4" w:space="0"/>
              <w:right w:val="single" w:color="000000" w:sz="4" w:space="0"/>
            </w:tcBorders>
            <w:shd w:val="clear" w:color="auto" w:fill="auto"/>
            <w:vAlign w:val="center"/>
          </w:tcPr>
          <w:p w14:paraId="1A96F5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项</w:t>
            </w:r>
          </w:p>
        </w:tc>
        <w:tc>
          <w:tcPr>
            <w:tcW w:w="930" w:type="pct"/>
            <w:tcBorders>
              <w:top w:val="nil"/>
              <w:left w:val="nil"/>
              <w:bottom w:val="single" w:color="000000" w:sz="4" w:space="0"/>
              <w:right w:val="single" w:color="000000" w:sz="4" w:space="0"/>
            </w:tcBorders>
            <w:shd w:val="clear" w:color="auto" w:fill="auto"/>
            <w:vAlign w:val="center"/>
          </w:tcPr>
          <w:p w14:paraId="7F99FF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栏次</w:t>
            </w:r>
          </w:p>
        </w:tc>
        <w:tc>
          <w:tcPr>
            <w:tcW w:w="258" w:type="pct"/>
            <w:tcBorders>
              <w:top w:val="nil"/>
              <w:left w:val="nil"/>
              <w:bottom w:val="single" w:color="000000" w:sz="4" w:space="0"/>
              <w:right w:val="single" w:color="000000" w:sz="4" w:space="0"/>
            </w:tcBorders>
            <w:shd w:val="clear" w:color="auto" w:fill="auto"/>
            <w:noWrap/>
            <w:vAlign w:val="center"/>
          </w:tcPr>
          <w:p w14:paraId="443B26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1</w:t>
            </w:r>
          </w:p>
        </w:tc>
        <w:tc>
          <w:tcPr>
            <w:tcW w:w="256" w:type="pct"/>
            <w:tcBorders>
              <w:top w:val="nil"/>
              <w:left w:val="nil"/>
              <w:bottom w:val="single" w:color="000000" w:sz="4" w:space="0"/>
              <w:right w:val="single" w:color="000000" w:sz="4" w:space="0"/>
            </w:tcBorders>
            <w:shd w:val="clear" w:color="auto" w:fill="auto"/>
            <w:noWrap/>
            <w:vAlign w:val="center"/>
          </w:tcPr>
          <w:p w14:paraId="7220CD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2</w:t>
            </w:r>
          </w:p>
        </w:tc>
        <w:tc>
          <w:tcPr>
            <w:tcW w:w="290" w:type="pct"/>
            <w:tcBorders>
              <w:top w:val="nil"/>
              <w:left w:val="nil"/>
              <w:bottom w:val="single" w:color="000000" w:sz="4" w:space="0"/>
              <w:right w:val="single" w:color="000000" w:sz="4" w:space="0"/>
            </w:tcBorders>
            <w:shd w:val="clear" w:color="auto" w:fill="auto"/>
            <w:noWrap/>
            <w:vAlign w:val="center"/>
          </w:tcPr>
          <w:p w14:paraId="424359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3</w:t>
            </w:r>
          </w:p>
        </w:tc>
        <w:tc>
          <w:tcPr>
            <w:tcW w:w="306" w:type="pct"/>
            <w:tcBorders>
              <w:top w:val="nil"/>
              <w:left w:val="nil"/>
              <w:bottom w:val="single" w:color="000000" w:sz="4" w:space="0"/>
              <w:right w:val="single" w:color="000000" w:sz="4" w:space="0"/>
            </w:tcBorders>
            <w:shd w:val="clear" w:color="auto" w:fill="auto"/>
            <w:noWrap/>
            <w:vAlign w:val="center"/>
          </w:tcPr>
          <w:p w14:paraId="7F4DC6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4</w:t>
            </w:r>
          </w:p>
        </w:tc>
        <w:tc>
          <w:tcPr>
            <w:tcW w:w="301" w:type="pct"/>
            <w:tcBorders>
              <w:top w:val="nil"/>
              <w:left w:val="nil"/>
              <w:bottom w:val="single" w:color="000000" w:sz="4" w:space="0"/>
              <w:right w:val="single" w:color="000000" w:sz="4" w:space="0"/>
            </w:tcBorders>
            <w:shd w:val="clear" w:color="auto" w:fill="auto"/>
            <w:noWrap/>
            <w:vAlign w:val="center"/>
          </w:tcPr>
          <w:p w14:paraId="050A9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5</w:t>
            </w:r>
          </w:p>
        </w:tc>
        <w:tc>
          <w:tcPr>
            <w:tcW w:w="313" w:type="pct"/>
            <w:tcBorders>
              <w:top w:val="nil"/>
              <w:left w:val="nil"/>
              <w:bottom w:val="single" w:color="000000" w:sz="4" w:space="0"/>
              <w:right w:val="single" w:color="000000" w:sz="4" w:space="0"/>
            </w:tcBorders>
            <w:shd w:val="clear" w:color="auto" w:fill="auto"/>
            <w:noWrap/>
            <w:vAlign w:val="center"/>
          </w:tcPr>
          <w:p w14:paraId="0B41C5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6</w:t>
            </w:r>
          </w:p>
        </w:tc>
        <w:tc>
          <w:tcPr>
            <w:tcW w:w="329" w:type="pct"/>
            <w:tcBorders>
              <w:top w:val="nil"/>
              <w:left w:val="nil"/>
              <w:bottom w:val="single" w:color="000000" w:sz="4" w:space="0"/>
              <w:right w:val="single" w:color="000000" w:sz="4" w:space="0"/>
            </w:tcBorders>
            <w:shd w:val="clear" w:color="auto" w:fill="auto"/>
            <w:noWrap/>
            <w:vAlign w:val="center"/>
          </w:tcPr>
          <w:p w14:paraId="3E36E7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7</w:t>
            </w:r>
          </w:p>
        </w:tc>
        <w:tc>
          <w:tcPr>
            <w:tcW w:w="288" w:type="pct"/>
            <w:tcBorders>
              <w:top w:val="nil"/>
              <w:left w:val="nil"/>
              <w:bottom w:val="single" w:color="000000" w:sz="4" w:space="0"/>
              <w:right w:val="single" w:color="000000" w:sz="4" w:space="0"/>
            </w:tcBorders>
            <w:shd w:val="clear" w:color="auto" w:fill="auto"/>
            <w:noWrap/>
            <w:vAlign w:val="center"/>
          </w:tcPr>
          <w:p w14:paraId="78F697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8</w:t>
            </w:r>
          </w:p>
        </w:tc>
        <w:tc>
          <w:tcPr>
            <w:tcW w:w="288" w:type="pct"/>
            <w:tcBorders>
              <w:top w:val="nil"/>
              <w:left w:val="nil"/>
              <w:bottom w:val="single" w:color="000000" w:sz="4" w:space="0"/>
              <w:right w:val="single" w:color="000000" w:sz="4" w:space="0"/>
            </w:tcBorders>
            <w:shd w:val="clear" w:color="auto" w:fill="auto"/>
            <w:noWrap/>
            <w:vAlign w:val="center"/>
          </w:tcPr>
          <w:p w14:paraId="75C194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9</w:t>
            </w:r>
          </w:p>
        </w:tc>
        <w:tc>
          <w:tcPr>
            <w:tcW w:w="232" w:type="pct"/>
            <w:tcBorders>
              <w:top w:val="nil"/>
              <w:left w:val="nil"/>
              <w:bottom w:val="single" w:color="000000" w:sz="4" w:space="0"/>
              <w:right w:val="single" w:color="000000" w:sz="4" w:space="0"/>
            </w:tcBorders>
            <w:shd w:val="clear" w:color="auto" w:fill="auto"/>
            <w:noWrap/>
            <w:vAlign w:val="center"/>
          </w:tcPr>
          <w:p w14:paraId="637388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10</w:t>
            </w:r>
          </w:p>
        </w:tc>
        <w:tc>
          <w:tcPr>
            <w:tcW w:w="232" w:type="pct"/>
            <w:tcBorders>
              <w:top w:val="nil"/>
              <w:left w:val="nil"/>
              <w:bottom w:val="single" w:color="000000" w:sz="4" w:space="0"/>
              <w:right w:val="single" w:color="000000" w:sz="4" w:space="0"/>
            </w:tcBorders>
            <w:shd w:val="clear" w:color="auto" w:fill="auto"/>
            <w:noWrap/>
            <w:vAlign w:val="center"/>
          </w:tcPr>
          <w:p w14:paraId="119272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11</w:t>
            </w:r>
          </w:p>
        </w:tc>
        <w:tc>
          <w:tcPr>
            <w:tcW w:w="281" w:type="pct"/>
            <w:tcBorders>
              <w:top w:val="nil"/>
              <w:left w:val="nil"/>
              <w:bottom w:val="single" w:color="000000" w:sz="4" w:space="0"/>
              <w:right w:val="single" w:color="000000" w:sz="4" w:space="0"/>
            </w:tcBorders>
            <w:shd w:val="clear" w:color="auto" w:fill="auto"/>
            <w:noWrap/>
            <w:vAlign w:val="center"/>
          </w:tcPr>
          <w:p w14:paraId="0975C3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12</w:t>
            </w:r>
          </w:p>
        </w:tc>
        <w:tc>
          <w:tcPr>
            <w:tcW w:w="255" w:type="pct"/>
            <w:tcBorders>
              <w:top w:val="nil"/>
              <w:left w:val="nil"/>
              <w:bottom w:val="single" w:color="000000" w:sz="4" w:space="0"/>
              <w:right w:val="single" w:color="000000" w:sz="4" w:space="0"/>
            </w:tcBorders>
            <w:shd w:val="clear" w:color="auto" w:fill="auto"/>
            <w:noWrap/>
            <w:vAlign w:val="center"/>
          </w:tcPr>
          <w:p w14:paraId="0612B8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13</w:t>
            </w:r>
          </w:p>
        </w:tc>
      </w:tr>
      <w:tr w14:paraId="78083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144" w:type="pct"/>
            <w:vMerge w:val="continue"/>
            <w:tcBorders>
              <w:top w:val="nil"/>
              <w:left w:val="single" w:color="000000" w:sz="4" w:space="0"/>
              <w:bottom w:val="single" w:color="000000" w:sz="4" w:space="0"/>
              <w:right w:val="single" w:color="000000" w:sz="4" w:space="0"/>
            </w:tcBorders>
            <w:shd w:val="clear" w:color="auto" w:fill="auto"/>
            <w:vAlign w:val="center"/>
          </w:tcPr>
          <w:p w14:paraId="31D8909B">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144" w:type="pct"/>
            <w:vMerge w:val="continue"/>
            <w:tcBorders>
              <w:top w:val="nil"/>
              <w:left w:val="nil"/>
              <w:bottom w:val="single" w:color="000000" w:sz="4" w:space="0"/>
              <w:right w:val="single" w:color="000000" w:sz="4" w:space="0"/>
            </w:tcBorders>
            <w:shd w:val="clear" w:color="auto" w:fill="auto"/>
            <w:vAlign w:val="center"/>
          </w:tcPr>
          <w:p w14:paraId="22511D59">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146" w:type="pct"/>
            <w:vMerge w:val="continue"/>
            <w:tcBorders>
              <w:top w:val="nil"/>
              <w:left w:val="nil"/>
              <w:bottom w:val="single" w:color="000000" w:sz="4" w:space="0"/>
              <w:right w:val="single" w:color="000000" w:sz="4" w:space="0"/>
            </w:tcBorders>
            <w:shd w:val="clear" w:color="auto" w:fill="auto"/>
            <w:vAlign w:val="center"/>
          </w:tcPr>
          <w:p w14:paraId="479F72DA">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黑体" w:eastAsia="黑体" w:cs="黑体"/>
                <w:i w:val="0"/>
                <w:iCs w:val="0"/>
                <w:color w:val="000000"/>
                <w:sz w:val="20"/>
                <w:szCs w:val="20"/>
                <w:u w:val="none"/>
              </w:rPr>
            </w:pPr>
          </w:p>
        </w:tc>
        <w:tc>
          <w:tcPr>
            <w:tcW w:w="930" w:type="pct"/>
            <w:tcBorders>
              <w:top w:val="nil"/>
              <w:left w:val="nil"/>
              <w:bottom w:val="single" w:color="000000" w:sz="4" w:space="0"/>
              <w:right w:val="single" w:color="000000" w:sz="4" w:space="0"/>
            </w:tcBorders>
            <w:shd w:val="clear" w:color="auto" w:fill="auto"/>
            <w:vAlign w:val="center"/>
          </w:tcPr>
          <w:p w14:paraId="301DAB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合计</w:t>
            </w:r>
          </w:p>
        </w:tc>
        <w:tc>
          <w:tcPr>
            <w:tcW w:w="258" w:type="pct"/>
            <w:tcBorders>
              <w:top w:val="nil"/>
              <w:left w:val="nil"/>
              <w:bottom w:val="single" w:color="000000" w:sz="4" w:space="0"/>
              <w:right w:val="single" w:color="000000" w:sz="4" w:space="0"/>
            </w:tcBorders>
            <w:shd w:val="clear" w:color="auto" w:fill="auto"/>
            <w:noWrap/>
            <w:vAlign w:val="center"/>
          </w:tcPr>
          <w:p w14:paraId="656C0ED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0.00</w:t>
            </w:r>
          </w:p>
        </w:tc>
        <w:tc>
          <w:tcPr>
            <w:tcW w:w="256" w:type="pct"/>
            <w:tcBorders>
              <w:top w:val="nil"/>
              <w:left w:val="nil"/>
              <w:bottom w:val="single" w:color="000000" w:sz="4" w:space="0"/>
              <w:right w:val="single" w:color="000000" w:sz="4" w:space="0"/>
            </w:tcBorders>
            <w:shd w:val="clear" w:color="auto" w:fill="auto"/>
            <w:noWrap/>
            <w:vAlign w:val="center"/>
          </w:tcPr>
          <w:p w14:paraId="6CF467E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3CF0D93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14:paraId="134DAA6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990.15</w:t>
            </w:r>
          </w:p>
        </w:tc>
        <w:tc>
          <w:tcPr>
            <w:tcW w:w="301" w:type="pct"/>
            <w:tcBorders>
              <w:top w:val="nil"/>
              <w:left w:val="nil"/>
              <w:bottom w:val="single" w:color="000000" w:sz="4" w:space="0"/>
              <w:right w:val="single" w:color="000000" w:sz="4" w:space="0"/>
            </w:tcBorders>
            <w:shd w:val="clear" w:color="auto" w:fill="auto"/>
            <w:noWrap/>
            <w:vAlign w:val="center"/>
          </w:tcPr>
          <w:p w14:paraId="70FEDC1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394.41</w:t>
            </w:r>
          </w:p>
        </w:tc>
        <w:tc>
          <w:tcPr>
            <w:tcW w:w="313" w:type="pct"/>
            <w:tcBorders>
              <w:top w:val="nil"/>
              <w:left w:val="nil"/>
              <w:bottom w:val="single" w:color="000000" w:sz="4" w:space="0"/>
              <w:right w:val="single" w:color="000000" w:sz="4" w:space="0"/>
            </w:tcBorders>
            <w:shd w:val="clear" w:color="auto" w:fill="auto"/>
            <w:noWrap/>
            <w:vAlign w:val="center"/>
          </w:tcPr>
          <w:p w14:paraId="2B5CCAC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595.74</w:t>
            </w:r>
          </w:p>
        </w:tc>
        <w:tc>
          <w:tcPr>
            <w:tcW w:w="329" w:type="pct"/>
            <w:tcBorders>
              <w:top w:val="nil"/>
              <w:left w:val="nil"/>
              <w:bottom w:val="single" w:color="000000" w:sz="4" w:space="0"/>
              <w:right w:val="single" w:color="000000" w:sz="4" w:space="0"/>
            </w:tcBorders>
            <w:shd w:val="clear" w:color="auto" w:fill="auto"/>
            <w:noWrap/>
            <w:vAlign w:val="center"/>
          </w:tcPr>
          <w:p w14:paraId="18D1B88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990.15</w:t>
            </w:r>
          </w:p>
        </w:tc>
        <w:tc>
          <w:tcPr>
            <w:tcW w:w="288" w:type="pct"/>
            <w:tcBorders>
              <w:top w:val="nil"/>
              <w:left w:val="nil"/>
              <w:bottom w:val="single" w:color="000000" w:sz="4" w:space="0"/>
              <w:right w:val="single" w:color="000000" w:sz="4" w:space="0"/>
            </w:tcBorders>
            <w:shd w:val="clear" w:color="auto" w:fill="auto"/>
            <w:noWrap/>
            <w:vAlign w:val="center"/>
          </w:tcPr>
          <w:p w14:paraId="152BD1F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394.41</w:t>
            </w:r>
          </w:p>
        </w:tc>
        <w:tc>
          <w:tcPr>
            <w:tcW w:w="288" w:type="pct"/>
            <w:tcBorders>
              <w:top w:val="nil"/>
              <w:left w:val="nil"/>
              <w:bottom w:val="single" w:color="000000" w:sz="4" w:space="0"/>
              <w:right w:val="single" w:color="000000" w:sz="4" w:space="0"/>
            </w:tcBorders>
            <w:shd w:val="clear" w:color="auto" w:fill="auto"/>
            <w:noWrap/>
            <w:vAlign w:val="center"/>
          </w:tcPr>
          <w:p w14:paraId="63C7814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595.74</w:t>
            </w:r>
          </w:p>
        </w:tc>
        <w:tc>
          <w:tcPr>
            <w:tcW w:w="232" w:type="pct"/>
            <w:tcBorders>
              <w:top w:val="nil"/>
              <w:left w:val="nil"/>
              <w:bottom w:val="single" w:color="000000" w:sz="4" w:space="0"/>
              <w:right w:val="single" w:color="000000" w:sz="4" w:space="0"/>
            </w:tcBorders>
            <w:shd w:val="clear" w:color="auto" w:fill="auto"/>
            <w:noWrap/>
            <w:vAlign w:val="center"/>
          </w:tcPr>
          <w:p w14:paraId="02138E3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0.00</w:t>
            </w:r>
          </w:p>
        </w:tc>
        <w:tc>
          <w:tcPr>
            <w:tcW w:w="232" w:type="pct"/>
            <w:tcBorders>
              <w:top w:val="nil"/>
              <w:left w:val="nil"/>
              <w:bottom w:val="single" w:color="000000" w:sz="4" w:space="0"/>
              <w:right w:val="single" w:color="000000" w:sz="4" w:space="0"/>
            </w:tcBorders>
            <w:shd w:val="clear" w:color="auto" w:fill="auto"/>
            <w:noWrap/>
            <w:vAlign w:val="center"/>
          </w:tcPr>
          <w:p w14:paraId="0CAC68F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0.00</w:t>
            </w:r>
          </w:p>
        </w:tc>
        <w:tc>
          <w:tcPr>
            <w:tcW w:w="281" w:type="pct"/>
            <w:tcBorders>
              <w:top w:val="nil"/>
              <w:left w:val="nil"/>
              <w:bottom w:val="single" w:color="000000" w:sz="4" w:space="0"/>
              <w:right w:val="single" w:color="000000" w:sz="4" w:space="0"/>
            </w:tcBorders>
            <w:shd w:val="clear" w:color="auto" w:fill="auto"/>
            <w:noWrap/>
            <w:vAlign w:val="center"/>
          </w:tcPr>
          <w:p w14:paraId="23E4D44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0.00</w:t>
            </w:r>
          </w:p>
        </w:tc>
        <w:tc>
          <w:tcPr>
            <w:tcW w:w="255" w:type="pct"/>
            <w:tcBorders>
              <w:top w:val="nil"/>
              <w:left w:val="nil"/>
              <w:bottom w:val="single" w:color="000000" w:sz="4" w:space="0"/>
              <w:right w:val="single" w:color="000000" w:sz="4" w:space="0"/>
            </w:tcBorders>
            <w:shd w:val="clear" w:color="auto" w:fill="auto"/>
            <w:noWrap/>
            <w:vAlign w:val="center"/>
          </w:tcPr>
          <w:p w14:paraId="4E1B837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黑体" w:hAnsi="黑体" w:eastAsia="黑体" w:cs="黑体"/>
                <w:b/>
                <w:bCs/>
                <w:i w:val="0"/>
                <w:iCs w:val="0"/>
                <w:color w:val="000000"/>
                <w:sz w:val="20"/>
                <w:szCs w:val="20"/>
                <w:u w:val="none"/>
              </w:rPr>
            </w:pPr>
            <w:r>
              <w:rPr>
                <w:rFonts w:hint="eastAsia" w:ascii="黑体" w:hAnsi="黑体" w:eastAsia="黑体" w:cs="黑体"/>
                <w:b/>
                <w:bCs/>
                <w:i w:val="0"/>
                <w:iCs w:val="0"/>
                <w:color w:val="000000"/>
                <w:kern w:val="0"/>
                <w:sz w:val="20"/>
                <w:szCs w:val="20"/>
                <w:u w:val="none"/>
                <w:lang w:val="en-US" w:eastAsia="zh-CN" w:bidi="ar"/>
              </w:rPr>
              <w:t>0.00</w:t>
            </w:r>
          </w:p>
        </w:tc>
      </w:tr>
      <w:tr w14:paraId="24DF1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35" w:type="pct"/>
            <w:gridSpan w:val="3"/>
            <w:tcBorders>
              <w:top w:val="nil"/>
              <w:left w:val="single" w:color="000000" w:sz="4" w:space="0"/>
              <w:bottom w:val="single" w:color="000000" w:sz="4" w:space="0"/>
              <w:right w:val="single" w:color="000000" w:sz="4" w:space="0"/>
            </w:tcBorders>
            <w:shd w:val="clear" w:color="auto" w:fill="auto"/>
            <w:noWrap/>
            <w:vAlign w:val="center"/>
          </w:tcPr>
          <w:p w14:paraId="0FD7CE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930" w:type="pct"/>
            <w:tcBorders>
              <w:top w:val="nil"/>
              <w:left w:val="nil"/>
              <w:bottom w:val="single" w:color="000000" w:sz="4" w:space="0"/>
              <w:right w:val="single" w:color="000000" w:sz="4" w:space="0"/>
            </w:tcBorders>
            <w:shd w:val="clear" w:color="auto" w:fill="auto"/>
            <w:noWrap/>
            <w:vAlign w:val="center"/>
          </w:tcPr>
          <w:p w14:paraId="5B2F0F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258" w:type="pct"/>
            <w:tcBorders>
              <w:top w:val="nil"/>
              <w:left w:val="nil"/>
              <w:bottom w:val="single" w:color="000000" w:sz="4" w:space="0"/>
              <w:right w:val="single" w:color="000000" w:sz="4" w:space="0"/>
            </w:tcBorders>
            <w:shd w:val="clear" w:color="auto" w:fill="auto"/>
            <w:noWrap/>
            <w:vAlign w:val="center"/>
          </w:tcPr>
          <w:p w14:paraId="6AC7BB7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56" w:type="pct"/>
            <w:tcBorders>
              <w:top w:val="nil"/>
              <w:left w:val="nil"/>
              <w:bottom w:val="single" w:color="000000" w:sz="4" w:space="0"/>
              <w:right w:val="single" w:color="000000" w:sz="4" w:space="0"/>
            </w:tcBorders>
            <w:shd w:val="clear" w:color="auto" w:fill="auto"/>
            <w:noWrap/>
            <w:vAlign w:val="center"/>
          </w:tcPr>
          <w:p w14:paraId="36BB8EB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0D49ECF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14:paraId="35275DF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301" w:type="pct"/>
            <w:tcBorders>
              <w:top w:val="nil"/>
              <w:left w:val="nil"/>
              <w:bottom w:val="single" w:color="000000" w:sz="4" w:space="0"/>
              <w:right w:val="single" w:color="000000" w:sz="4" w:space="0"/>
            </w:tcBorders>
            <w:shd w:val="clear" w:color="auto" w:fill="auto"/>
            <w:noWrap/>
            <w:vAlign w:val="center"/>
          </w:tcPr>
          <w:p w14:paraId="5530375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394.41</w:t>
            </w:r>
          </w:p>
        </w:tc>
        <w:tc>
          <w:tcPr>
            <w:tcW w:w="313" w:type="pct"/>
            <w:tcBorders>
              <w:top w:val="nil"/>
              <w:left w:val="nil"/>
              <w:bottom w:val="single" w:color="000000" w:sz="4" w:space="0"/>
              <w:right w:val="single" w:color="000000" w:sz="4" w:space="0"/>
            </w:tcBorders>
            <w:shd w:val="clear" w:color="auto" w:fill="auto"/>
            <w:noWrap/>
            <w:vAlign w:val="center"/>
          </w:tcPr>
          <w:p w14:paraId="3C4D4A1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595.74</w:t>
            </w:r>
          </w:p>
        </w:tc>
        <w:tc>
          <w:tcPr>
            <w:tcW w:w="329" w:type="pct"/>
            <w:tcBorders>
              <w:top w:val="nil"/>
              <w:left w:val="nil"/>
              <w:bottom w:val="single" w:color="000000" w:sz="4" w:space="0"/>
              <w:right w:val="single" w:color="000000" w:sz="4" w:space="0"/>
            </w:tcBorders>
            <w:shd w:val="clear" w:color="auto" w:fill="auto"/>
            <w:noWrap/>
            <w:vAlign w:val="center"/>
          </w:tcPr>
          <w:p w14:paraId="13E690B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288" w:type="pct"/>
            <w:tcBorders>
              <w:top w:val="nil"/>
              <w:left w:val="nil"/>
              <w:bottom w:val="single" w:color="000000" w:sz="4" w:space="0"/>
              <w:right w:val="single" w:color="000000" w:sz="4" w:space="0"/>
            </w:tcBorders>
            <w:shd w:val="clear" w:color="auto" w:fill="auto"/>
            <w:noWrap/>
            <w:vAlign w:val="center"/>
          </w:tcPr>
          <w:p w14:paraId="504FDB9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394.41</w:t>
            </w:r>
          </w:p>
        </w:tc>
        <w:tc>
          <w:tcPr>
            <w:tcW w:w="288" w:type="pct"/>
            <w:tcBorders>
              <w:top w:val="nil"/>
              <w:left w:val="nil"/>
              <w:bottom w:val="single" w:color="000000" w:sz="4" w:space="0"/>
              <w:right w:val="single" w:color="000000" w:sz="4" w:space="0"/>
            </w:tcBorders>
            <w:shd w:val="clear" w:color="auto" w:fill="auto"/>
            <w:noWrap/>
            <w:vAlign w:val="center"/>
          </w:tcPr>
          <w:p w14:paraId="59B8BB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595.74</w:t>
            </w:r>
          </w:p>
        </w:tc>
        <w:tc>
          <w:tcPr>
            <w:tcW w:w="232" w:type="pct"/>
            <w:tcBorders>
              <w:top w:val="nil"/>
              <w:left w:val="nil"/>
              <w:bottom w:val="single" w:color="000000" w:sz="4" w:space="0"/>
              <w:right w:val="single" w:color="000000" w:sz="4" w:space="0"/>
            </w:tcBorders>
            <w:shd w:val="clear" w:color="auto" w:fill="auto"/>
            <w:noWrap/>
            <w:vAlign w:val="center"/>
          </w:tcPr>
          <w:p w14:paraId="017DAE1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32" w:type="pct"/>
            <w:tcBorders>
              <w:top w:val="nil"/>
              <w:left w:val="nil"/>
              <w:bottom w:val="single" w:color="000000" w:sz="4" w:space="0"/>
              <w:right w:val="single" w:color="000000" w:sz="4" w:space="0"/>
            </w:tcBorders>
            <w:shd w:val="clear" w:color="auto" w:fill="auto"/>
            <w:noWrap/>
            <w:vAlign w:val="center"/>
          </w:tcPr>
          <w:p w14:paraId="7E32FD7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81" w:type="pct"/>
            <w:tcBorders>
              <w:top w:val="nil"/>
              <w:left w:val="nil"/>
              <w:bottom w:val="single" w:color="000000" w:sz="4" w:space="0"/>
              <w:right w:val="single" w:color="000000" w:sz="4" w:space="0"/>
            </w:tcBorders>
            <w:shd w:val="clear" w:color="auto" w:fill="auto"/>
            <w:noWrap/>
            <w:vAlign w:val="center"/>
          </w:tcPr>
          <w:p w14:paraId="2DEECE2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55" w:type="pct"/>
            <w:tcBorders>
              <w:top w:val="nil"/>
              <w:left w:val="nil"/>
              <w:bottom w:val="single" w:color="000000" w:sz="4" w:space="0"/>
              <w:right w:val="single" w:color="000000" w:sz="4" w:space="0"/>
            </w:tcBorders>
            <w:shd w:val="clear" w:color="auto" w:fill="auto"/>
            <w:noWrap/>
            <w:vAlign w:val="center"/>
          </w:tcPr>
          <w:p w14:paraId="2CE9EB9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2156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35" w:type="pct"/>
            <w:gridSpan w:val="3"/>
            <w:tcBorders>
              <w:top w:val="nil"/>
              <w:left w:val="single" w:color="000000" w:sz="4" w:space="0"/>
              <w:bottom w:val="single" w:color="000000" w:sz="4" w:space="0"/>
              <w:right w:val="single" w:color="000000" w:sz="4" w:space="0"/>
            </w:tcBorders>
            <w:shd w:val="clear" w:color="auto" w:fill="auto"/>
            <w:noWrap/>
            <w:vAlign w:val="center"/>
          </w:tcPr>
          <w:p w14:paraId="741163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21015</w:t>
            </w:r>
          </w:p>
        </w:tc>
        <w:tc>
          <w:tcPr>
            <w:tcW w:w="930" w:type="pct"/>
            <w:tcBorders>
              <w:top w:val="nil"/>
              <w:left w:val="nil"/>
              <w:bottom w:val="single" w:color="000000" w:sz="4" w:space="0"/>
              <w:right w:val="single" w:color="000000" w:sz="4" w:space="0"/>
            </w:tcBorders>
            <w:shd w:val="clear" w:color="auto" w:fill="auto"/>
            <w:noWrap/>
            <w:vAlign w:val="center"/>
          </w:tcPr>
          <w:p w14:paraId="074270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医疗保障管理事务</w:t>
            </w:r>
          </w:p>
        </w:tc>
        <w:tc>
          <w:tcPr>
            <w:tcW w:w="258" w:type="pct"/>
            <w:tcBorders>
              <w:top w:val="nil"/>
              <w:left w:val="nil"/>
              <w:bottom w:val="single" w:color="000000" w:sz="4" w:space="0"/>
              <w:right w:val="single" w:color="000000" w:sz="4" w:space="0"/>
            </w:tcBorders>
            <w:shd w:val="clear" w:color="auto" w:fill="auto"/>
            <w:noWrap/>
            <w:vAlign w:val="center"/>
          </w:tcPr>
          <w:p w14:paraId="27E07D2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56" w:type="pct"/>
            <w:tcBorders>
              <w:top w:val="nil"/>
              <w:left w:val="nil"/>
              <w:bottom w:val="single" w:color="000000" w:sz="4" w:space="0"/>
              <w:right w:val="single" w:color="000000" w:sz="4" w:space="0"/>
            </w:tcBorders>
            <w:shd w:val="clear" w:color="auto" w:fill="auto"/>
            <w:noWrap/>
            <w:vAlign w:val="center"/>
          </w:tcPr>
          <w:p w14:paraId="30122A7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21CFF89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14:paraId="50CC2FA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301" w:type="pct"/>
            <w:tcBorders>
              <w:top w:val="nil"/>
              <w:left w:val="nil"/>
              <w:bottom w:val="single" w:color="000000" w:sz="4" w:space="0"/>
              <w:right w:val="single" w:color="000000" w:sz="4" w:space="0"/>
            </w:tcBorders>
            <w:shd w:val="clear" w:color="auto" w:fill="auto"/>
            <w:noWrap/>
            <w:vAlign w:val="center"/>
          </w:tcPr>
          <w:p w14:paraId="57BEE40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394.41</w:t>
            </w:r>
          </w:p>
        </w:tc>
        <w:tc>
          <w:tcPr>
            <w:tcW w:w="313" w:type="pct"/>
            <w:tcBorders>
              <w:top w:val="nil"/>
              <w:left w:val="nil"/>
              <w:bottom w:val="single" w:color="000000" w:sz="4" w:space="0"/>
              <w:right w:val="single" w:color="000000" w:sz="4" w:space="0"/>
            </w:tcBorders>
            <w:shd w:val="clear" w:color="auto" w:fill="auto"/>
            <w:noWrap/>
            <w:vAlign w:val="center"/>
          </w:tcPr>
          <w:p w14:paraId="46098A1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595.74</w:t>
            </w:r>
          </w:p>
        </w:tc>
        <w:tc>
          <w:tcPr>
            <w:tcW w:w="329" w:type="pct"/>
            <w:tcBorders>
              <w:top w:val="nil"/>
              <w:left w:val="nil"/>
              <w:bottom w:val="single" w:color="000000" w:sz="4" w:space="0"/>
              <w:right w:val="single" w:color="000000" w:sz="4" w:space="0"/>
            </w:tcBorders>
            <w:shd w:val="clear" w:color="auto" w:fill="auto"/>
            <w:noWrap/>
            <w:vAlign w:val="center"/>
          </w:tcPr>
          <w:p w14:paraId="5237259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288" w:type="pct"/>
            <w:tcBorders>
              <w:top w:val="nil"/>
              <w:left w:val="nil"/>
              <w:bottom w:val="single" w:color="000000" w:sz="4" w:space="0"/>
              <w:right w:val="single" w:color="000000" w:sz="4" w:space="0"/>
            </w:tcBorders>
            <w:shd w:val="clear" w:color="auto" w:fill="auto"/>
            <w:noWrap/>
            <w:vAlign w:val="center"/>
          </w:tcPr>
          <w:p w14:paraId="7DC6A59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394.41</w:t>
            </w:r>
          </w:p>
        </w:tc>
        <w:tc>
          <w:tcPr>
            <w:tcW w:w="288" w:type="pct"/>
            <w:tcBorders>
              <w:top w:val="nil"/>
              <w:left w:val="nil"/>
              <w:bottom w:val="single" w:color="000000" w:sz="4" w:space="0"/>
              <w:right w:val="single" w:color="000000" w:sz="4" w:space="0"/>
            </w:tcBorders>
            <w:shd w:val="clear" w:color="auto" w:fill="auto"/>
            <w:noWrap/>
            <w:vAlign w:val="center"/>
          </w:tcPr>
          <w:p w14:paraId="497F19E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595.74</w:t>
            </w:r>
          </w:p>
        </w:tc>
        <w:tc>
          <w:tcPr>
            <w:tcW w:w="232" w:type="pct"/>
            <w:tcBorders>
              <w:top w:val="nil"/>
              <w:left w:val="nil"/>
              <w:bottom w:val="single" w:color="000000" w:sz="4" w:space="0"/>
              <w:right w:val="single" w:color="000000" w:sz="4" w:space="0"/>
            </w:tcBorders>
            <w:shd w:val="clear" w:color="auto" w:fill="auto"/>
            <w:noWrap/>
            <w:vAlign w:val="center"/>
          </w:tcPr>
          <w:p w14:paraId="2F2ACF4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32" w:type="pct"/>
            <w:tcBorders>
              <w:top w:val="nil"/>
              <w:left w:val="nil"/>
              <w:bottom w:val="single" w:color="000000" w:sz="4" w:space="0"/>
              <w:right w:val="single" w:color="000000" w:sz="4" w:space="0"/>
            </w:tcBorders>
            <w:shd w:val="clear" w:color="auto" w:fill="auto"/>
            <w:noWrap/>
            <w:vAlign w:val="center"/>
          </w:tcPr>
          <w:p w14:paraId="6F1139F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81" w:type="pct"/>
            <w:tcBorders>
              <w:top w:val="nil"/>
              <w:left w:val="nil"/>
              <w:bottom w:val="single" w:color="000000" w:sz="4" w:space="0"/>
              <w:right w:val="single" w:color="000000" w:sz="4" w:space="0"/>
            </w:tcBorders>
            <w:shd w:val="clear" w:color="auto" w:fill="auto"/>
            <w:noWrap/>
            <w:vAlign w:val="center"/>
          </w:tcPr>
          <w:p w14:paraId="1ECE3A6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55" w:type="pct"/>
            <w:tcBorders>
              <w:top w:val="nil"/>
              <w:left w:val="nil"/>
              <w:bottom w:val="single" w:color="000000" w:sz="4" w:space="0"/>
              <w:right w:val="single" w:color="000000" w:sz="4" w:space="0"/>
            </w:tcBorders>
            <w:shd w:val="clear" w:color="auto" w:fill="auto"/>
            <w:noWrap/>
            <w:vAlign w:val="center"/>
          </w:tcPr>
          <w:p w14:paraId="73EBC63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F78E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35" w:type="pct"/>
            <w:gridSpan w:val="3"/>
            <w:tcBorders>
              <w:top w:val="nil"/>
              <w:left w:val="single" w:color="000000" w:sz="4" w:space="0"/>
              <w:bottom w:val="single" w:color="000000" w:sz="4" w:space="0"/>
              <w:right w:val="single" w:color="000000" w:sz="4" w:space="0"/>
            </w:tcBorders>
            <w:shd w:val="clear" w:color="auto" w:fill="auto"/>
            <w:noWrap/>
            <w:vAlign w:val="center"/>
          </w:tcPr>
          <w:p w14:paraId="27079E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2101501</w:t>
            </w:r>
          </w:p>
        </w:tc>
        <w:tc>
          <w:tcPr>
            <w:tcW w:w="930" w:type="pct"/>
            <w:tcBorders>
              <w:top w:val="nil"/>
              <w:left w:val="nil"/>
              <w:bottom w:val="single" w:color="000000" w:sz="4" w:space="0"/>
              <w:right w:val="single" w:color="000000" w:sz="4" w:space="0"/>
            </w:tcBorders>
            <w:shd w:val="clear" w:color="auto" w:fill="auto"/>
            <w:noWrap/>
            <w:vAlign w:val="center"/>
          </w:tcPr>
          <w:p w14:paraId="398F5E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行政运行</w:t>
            </w:r>
          </w:p>
        </w:tc>
        <w:tc>
          <w:tcPr>
            <w:tcW w:w="258" w:type="pct"/>
            <w:tcBorders>
              <w:top w:val="nil"/>
              <w:left w:val="nil"/>
              <w:bottom w:val="single" w:color="000000" w:sz="4" w:space="0"/>
              <w:right w:val="single" w:color="000000" w:sz="4" w:space="0"/>
            </w:tcBorders>
            <w:shd w:val="clear" w:color="auto" w:fill="auto"/>
            <w:noWrap/>
            <w:vAlign w:val="center"/>
          </w:tcPr>
          <w:p w14:paraId="40B7C70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56" w:type="pct"/>
            <w:tcBorders>
              <w:top w:val="nil"/>
              <w:left w:val="nil"/>
              <w:bottom w:val="single" w:color="000000" w:sz="4" w:space="0"/>
              <w:right w:val="single" w:color="000000" w:sz="4" w:space="0"/>
            </w:tcBorders>
            <w:shd w:val="clear" w:color="auto" w:fill="auto"/>
            <w:noWrap/>
            <w:vAlign w:val="center"/>
          </w:tcPr>
          <w:p w14:paraId="58AC01F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36706D9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14:paraId="53C1AD1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71.30</w:t>
            </w:r>
          </w:p>
        </w:tc>
        <w:tc>
          <w:tcPr>
            <w:tcW w:w="301" w:type="pct"/>
            <w:tcBorders>
              <w:top w:val="nil"/>
              <w:left w:val="nil"/>
              <w:bottom w:val="single" w:color="000000" w:sz="4" w:space="0"/>
              <w:right w:val="single" w:color="000000" w:sz="4" w:space="0"/>
            </w:tcBorders>
            <w:shd w:val="clear" w:color="auto" w:fill="auto"/>
            <w:noWrap/>
            <w:vAlign w:val="center"/>
          </w:tcPr>
          <w:p w14:paraId="4C952F5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71.30</w:t>
            </w:r>
          </w:p>
        </w:tc>
        <w:tc>
          <w:tcPr>
            <w:tcW w:w="313" w:type="pct"/>
            <w:tcBorders>
              <w:top w:val="nil"/>
              <w:left w:val="nil"/>
              <w:bottom w:val="single" w:color="000000" w:sz="4" w:space="0"/>
              <w:right w:val="single" w:color="000000" w:sz="4" w:space="0"/>
            </w:tcBorders>
            <w:shd w:val="clear" w:color="auto" w:fill="auto"/>
            <w:noWrap/>
            <w:vAlign w:val="center"/>
          </w:tcPr>
          <w:p w14:paraId="1BBD6CE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29" w:type="pct"/>
            <w:tcBorders>
              <w:top w:val="nil"/>
              <w:left w:val="nil"/>
              <w:bottom w:val="single" w:color="000000" w:sz="4" w:space="0"/>
              <w:right w:val="single" w:color="000000" w:sz="4" w:space="0"/>
            </w:tcBorders>
            <w:shd w:val="clear" w:color="auto" w:fill="auto"/>
            <w:noWrap/>
            <w:vAlign w:val="center"/>
          </w:tcPr>
          <w:p w14:paraId="1468D6D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71.30</w:t>
            </w:r>
          </w:p>
        </w:tc>
        <w:tc>
          <w:tcPr>
            <w:tcW w:w="288" w:type="pct"/>
            <w:tcBorders>
              <w:top w:val="nil"/>
              <w:left w:val="nil"/>
              <w:bottom w:val="single" w:color="000000" w:sz="4" w:space="0"/>
              <w:right w:val="single" w:color="000000" w:sz="4" w:space="0"/>
            </w:tcBorders>
            <w:shd w:val="clear" w:color="auto" w:fill="auto"/>
            <w:noWrap/>
            <w:vAlign w:val="center"/>
          </w:tcPr>
          <w:p w14:paraId="1D3623E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71.30</w:t>
            </w:r>
          </w:p>
        </w:tc>
        <w:tc>
          <w:tcPr>
            <w:tcW w:w="288" w:type="pct"/>
            <w:tcBorders>
              <w:top w:val="nil"/>
              <w:left w:val="nil"/>
              <w:bottom w:val="single" w:color="000000" w:sz="4" w:space="0"/>
              <w:right w:val="single" w:color="000000" w:sz="4" w:space="0"/>
            </w:tcBorders>
            <w:shd w:val="clear" w:color="auto" w:fill="auto"/>
            <w:noWrap/>
            <w:vAlign w:val="center"/>
          </w:tcPr>
          <w:p w14:paraId="1C66C9F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32" w:type="pct"/>
            <w:tcBorders>
              <w:top w:val="nil"/>
              <w:left w:val="nil"/>
              <w:bottom w:val="single" w:color="000000" w:sz="4" w:space="0"/>
              <w:right w:val="single" w:color="000000" w:sz="4" w:space="0"/>
            </w:tcBorders>
            <w:shd w:val="clear" w:color="auto" w:fill="auto"/>
            <w:noWrap/>
            <w:vAlign w:val="center"/>
          </w:tcPr>
          <w:p w14:paraId="1B6841D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32" w:type="pct"/>
            <w:tcBorders>
              <w:top w:val="nil"/>
              <w:left w:val="nil"/>
              <w:bottom w:val="single" w:color="000000" w:sz="4" w:space="0"/>
              <w:right w:val="single" w:color="000000" w:sz="4" w:space="0"/>
            </w:tcBorders>
            <w:shd w:val="clear" w:color="auto" w:fill="auto"/>
            <w:noWrap/>
            <w:vAlign w:val="center"/>
          </w:tcPr>
          <w:p w14:paraId="7264DAD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81" w:type="pct"/>
            <w:tcBorders>
              <w:top w:val="nil"/>
              <w:left w:val="nil"/>
              <w:bottom w:val="single" w:color="000000" w:sz="4" w:space="0"/>
              <w:right w:val="single" w:color="000000" w:sz="4" w:space="0"/>
            </w:tcBorders>
            <w:shd w:val="clear" w:color="auto" w:fill="auto"/>
            <w:noWrap/>
            <w:vAlign w:val="center"/>
          </w:tcPr>
          <w:p w14:paraId="33F5E10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55" w:type="pct"/>
            <w:tcBorders>
              <w:top w:val="nil"/>
              <w:left w:val="nil"/>
              <w:bottom w:val="single" w:color="000000" w:sz="4" w:space="0"/>
              <w:right w:val="single" w:color="000000" w:sz="4" w:space="0"/>
            </w:tcBorders>
            <w:shd w:val="clear" w:color="auto" w:fill="auto"/>
            <w:noWrap/>
            <w:vAlign w:val="center"/>
          </w:tcPr>
          <w:p w14:paraId="01CA283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0FED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35" w:type="pct"/>
            <w:gridSpan w:val="3"/>
            <w:tcBorders>
              <w:top w:val="nil"/>
              <w:left w:val="single" w:color="000000" w:sz="4" w:space="0"/>
              <w:bottom w:val="single" w:color="000000" w:sz="4" w:space="0"/>
              <w:right w:val="single" w:color="000000" w:sz="4" w:space="0"/>
            </w:tcBorders>
            <w:shd w:val="clear" w:color="auto" w:fill="auto"/>
            <w:noWrap/>
            <w:vAlign w:val="center"/>
          </w:tcPr>
          <w:p w14:paraId="71053B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2101505</w:t>
            </w:r>
          </w:p>
        </w:tc>
        <w:tc>
          <w:tcPr>
            <w:tcW w:w="930" w:type="pct"/>
            <w:tcBorders>
              <w:top w:val="nil"/>
              <w:left w:val="nil"/>
              <w:bottom w:val="single" w:color="000000" w:sz="4" w:space="0"/>
              <w:right w:val="single" w:color="000000" w:sz="4" w:space="0"/>
            </w:tcBorders>
            <w:shd w:val="clear" w:color="auto" w:fill="auto"/>
            <w:noWrap/>
            <w:vAlign w:val="center"/>
          </w:tcPr>
          <w:p w14:paraId="024F4F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医疗保障政策管理</w:t>
            </w:r>
          </w:p>
        </w:tc>
        <w:tc>
          <w:tcPr>
            <w:tcW w:w="258" w:type="pct"/>
            <w:tcBorders>
              <w:top w:val="nil"/>
              <w:left w:val="nil"/>
              <w:bottom w:val="single" w:color="000000" w:sz="4" w:space="0"/>
              <w:right w:val="single" w:color="000000" w:sz="4" w:space="0"/>
            </w:tcBorders>
            <w:shd w:val="clear" w:color="auto" w:fill="auto"/>
            <w:noWrap/>
            <w:vAlign w:val="center"/>
          </w:tcPr>
          <w:p w14:paraId="2802B9A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56" w:type="pct"/>
            <w:tcBorders>
              <w:top w:val="nil"/>
              <w:left w:val="nil"/>
              <w:bottom w:val="single" w:color="000000" w:sz="4" w:space="0"/>
              <w:right w:val="single" w:color="000000" w:sz="4" w:space="0"/>
            </w:tcBorders>
            <w:shd w:val="clear" w:color="auto" w:fill="auto"/>
            <w:noWrap/>
            <w:vAlign w:val="center"/>
          </w:tcPr>
          <w:p w14:paraId="79D773D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3DDF168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14:paraId="2CBA9D9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490.00</w:t>
            </w:r>
          </w:p>
        </w:tc>
        <w:tc>
          <w:tcPr>
            <w:tcW w:w="301" w:type="pct"/>
            <w:tcBorders>
              <w:top w:val="nil"/>
              <w:left w:val="nil"/>
              <w:bottom w:val="single" w:color="000000" w:sz="4" w:space="0"/>
              <w:right w:val="single" w:color="000000" w:sz="4" w:space="0"/>
            </w:tcBorders>
            <w:shd w:val="clear" w:color="auto" w:fill="auto"/>
            <w:noWrap/>
            <w:vAlign w:val="center"/>
          </w:tcPr>
          <w:p w14:paraId="5210247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13" w:type="pct"/>
            <w:tcBorders>
              <w:top w:val="nil"/>
              <w:left w:val="nil"/>
              <w:bottom w:val="single" w:color="000000" w:sz="4" w:space="0"/>
              <w:right w:val="single" w:color="000000" w:sz="4" w:space="0"/>
            </w:tcBorders>
            <w:shd w:val="clear" w:color="auto" w:fill="auto"/>
            <w:noWrap/>
            <w:vAlign w:val="center"/>
          </w:tcPr>
          <w:p w14:paraId="44689B7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490.00</w:t>
            </w:r>
          </w:p>
        </w:tc>
        <w:tc>
          <w:tcPr>
            <w:tcW w:w="329" w:type="pct"/>
            <w:tcBorders>
              <w:top w:val="nil"/>
              <w:left w:val="nil"/>
              <w:bottom w:val="single" w:color="000000" w:sz="4" w:space="0"/>
              <w:right w:val="single" w:color="000000" w:sz="4" w:space="0"/>
            </w:tcBorders>
            <w:shd w:val="clear" w:color="auto" w:fill="auto"/>
            <w:noWrap/>
            <w:vAlign w:val="center"/>
          </w:tcPr>
          <w:p w14:paraId="45E83E9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490.00</w:t>
            </w:r>
          </w:p>
        </w:tc>
        <w:tc>
          <w:tcPr>
            <w:tcW w:w="288" w:type="pct"/>
            <w:tcBorders>
              <w:top w:val="nil"/>
              <w:left w:val="nil"/>
              <w:bottom w:val="single" w:color="000000" w:sz="4" w:space="0"/>
              <w:right w:val="single" w:color="000000" w:sz="4" w:space="0"/>
            </w:tcBorders>
            <w:shd w:val="clear" w:color="auto" w:fill="auto"/>
            <w:noWrap/>
            <w:vAlign w:val="center"/>
          </w:tcPr>
          <w:p w14:paraId="2C0648B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88" w:type="pct"/>
            <w:tcBorders>
              <w:top w:val="nil"/>
              <w:left w:val="nil"/>
              <w:bottom w:val="single" w:color="000000" w:sz="4" w:space="0"/>
              <w:right w:val="single" w:color="000000" w:sz="4" w:space="0"/>
            </w:tcBorders>
            <w:shd w:val="clear" w:color="auto" w:fill="auto"/>
            <w:noWrap/>
            <w:vAlign w:val="center"/>
          </w:tcPr>
          <w:p w14:paraId="0718191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490.00</w:t>
            </w:r>
          </w:p>
        </w:tc>
        <w:tc>
          <w:tcPr>
            <w:tcW w:w="232" w:type="pct"/>
            <w:tcBorders>
              <w:top w:val="nil"/>
              <w:left w:val="nil"/>
              <w:bottom w:val="single" w:color="000000" w:sz="4" w:space="0"/>
              <w:right w:val="single" w:color="000000" w:sz="4" w:space="0"/>
            </w:tcBorders>
            <w:shd w:val="clear" w:color="auto" w:fill="auto"/>
            <w:noWrap/>
            <w:vAlign w:val="center"/>
          </w:tcPr>
          <w:p w14:paraId="40B564B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32" w:type="pct"/>
            <w:tcBorders>
              <w:top w:val="nil"/>
              <w:left w:val="nil"/>
              <w:bottom w:val="single" w:color="000000" w:sz="4" w:space="0"/>
              <w:right w:val="single" w:color="000000" w:sz="4" w:space="0"/>
            </w:tcBorders>
            <w:shd w:val="clear" w:color="auto" w:fill="auto"/>
            <w:noWrap/>
            <w:vAlign w:val="center"/>
          </w:tcPr>
          <w:p w14:paraId="4B6ECDA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81" w:type="pct"/>
            <w:tcBorders>
              <w:top w:val="nil"/>
              <w:left w:val="nil"/>
              <w:bottom w:val="single" w:color="000000" w:sz="4" w:space="0"/>
              <w:right w:val="single" w:color="000000" w:sz="4" w:space="0"/>
            </w:tcBorders>
            <w:shd w:val="clear" w:color="auto" w:fill="auto"/>
            <w:noWrap/>
            <w:vAlign w:val="center"/>
          </w:tcPr>
          <w:p w14:paraId="6E601B7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55" w:type="pct"/>
            <w:tcBorders>
              <w:top w:val="nil"/>
              <w:left w:val="nil"/>
              <w:bottom w:val="single" w:color="000000" w:sz="4" w:space="0"/>
              <w:right w:val="single" w:color="000000" w:sz="4" w:space="0"/>
            </w:tcBorders>
            <w:shd w:val="clear" w:color="auto" w:fill="auto"/>
            <w:noWrap/>
            <w:vAlign w:val="center"/>
          </w:tcPr>
          <w:p w14:paraId="6C54038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99A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35" w:type="pct"/>
            <w:gridSpan w:val="3"/>
            <w:tcBorders>
              <w:top w:val="nil"/>
              <w:left w:val="single" w:color="000000" w:sz="4" w:space="0"/>
              <w:bottom w:val="single" w:color="000000" w:sz="4" w:space="0"/>
              <w:right w:val="single" w:color="000000" w:sz="4" w:space="0"/>
            </w:tcBorders>
            <w:shd w:val="clear" w:color="auto" w:fill="auto"/>
            <w:noWrap/>
            <w:vAlign w:val="center"/>
          </w:tcPr>
          <w:p w14:paraId="63627E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2101599</w:t>
            </w:r>
          </w:p>
        </w:tc>
        <w:tc>
          <w:tcPr>
            <w:tcW w:w="930" w:type="pct"/>
            <w:tcBorders>
              <w:top w:val="nil"/>
              <w:left w:val="nil"/>
              <w:bottom w:val="single" w:color="000000" w:sz="4" w:space="0"/>
              <w:right w:val="single" w:color="000000" w:sz="4" w:space="0"/>
            </w:tcBorders>
            <w:shd w:val="clear" w:color="auto" w:fill="auto"/>
            <w:noWrap/>
            <w:vAlign w:val="center"/>
          </w:tcPr>
          <w:p w14:paraId="715F54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其他医疗保障管理事务支出</w:t>
            </w:r>
          </w:p>
        </w:tc>
        <w:tc>
          <w:tcPr>
            <w:tcW w:w="258" w:type="pct"/>
            <w:tcBorders>
              <w:top w:val="nil"/>
              <w:left w:val="nil"/>
              <w:bottom w:val="single" w:color="000000" w:sz="4" w:space="0"/>
              <w:right w:val="single" w:color="000000" w:sz="4" w:space="0"/>
            </w:tcBorders>
            <w:shd w:val="clear" w:color="auto" w:fill="auto"/>
            <w:noWrap/>
            <w:vAlign w:val="center"/>
          </w:tcPr>
          <w:p w14:paraId="55738A6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56" w:type="pct"/>
            <w:tcBorders>
              <w:top w:val="nil"/>
              <w:left w:val="nil"/>
              <w:bottom w:val="single" w:color="000000" w:sz="4" w:space="0"/>
              <w:right w:val="single" w:color="000000" w:sz="4" w:space="0"/>
            </w:tcBorders>
            <w:shd w:val="clear" w:color="auto" w:fill="auto"/>
            <w:noWrap/>
            <w:vAlign w:val="center"/>
          </w:tcPr>
          <w:p w14:paraId="59920EF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90" w:type="pct"/>
            <w:tcBorders>
              <w:top w:val="nil"/>
              <w:left w:val="nil"/>
              <w:bottom w:val="single" w:color="000000" w:sz="4" w:space="0"/>
              <w:right w:val="single" w:color="000000" w:sz="4" w:space="0"/>
            </w:tcBorders>
            <w:shd w:val="clear" w:color="auto" w:fill="auto"/>
            <w:noWrap/>
            <w:vAlign w:val="center"/>
          </w:tcPr>
          <w:p w14:paraId="5441C7A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14:paraId="26B9FFB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428.86</w:t>
            </w:r>
          </w:p>
        </w:tc>
        <w:tc>
          <w:tcPr>
            <w:tcW w:w="301" w:type="pct"/>
            <w:tcBorders>
              <w:top w:val="nil"/>
              <w:left w:val="nil"/>
              <w:bottom w:val="single" w:color="000000" w:sz="4" w:space="0"/>
              <w:right w:val="single" w:color="000000" w:sz="4" w:space="0"/>
            </w:tcBorders>
            <w:shd w:val="clear" w:color="auto" w:fill="auto"/>
            <w:noWrap/>
            <w:vAlign w:val="center"/>
          </w:tcPr>
          <w:p w14:paraId="680741F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323.12</w:t>
            </w:r>
          </w:p>
        </w:tc>
        <w:tc>
          <w:tcPr>
            <w:tcW w:w="313" w:type="pct"/>
            <w:tcBorders>
              <w:top w:val="nil"/>
              <w:left w:val="nil"/>
              <w:bottom w:val="single" w:color="000000" w:sz="4" w:space="0"/>
              <w:right w:val="single" w:color="000000" w:sz="4" w:space="0"/>
            </w:tcBorders>
            <w:shd w:val="clear" w:color="auto" w:fill="auto"/>
            <w:noWrap/>
            <w:vAlign w:val="center"/>
          </w:tcPr>
          <w:p w14:paraId="1E8CAF3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105.74</w:t>
            </w:r>
          </w:p>
        </w:tc>
        <w:tc>
          <w:tcPr>
            <w:tcW w:w="329" w:type="pct"/>
            <w:tcBorders>
              <w:top w:val="nil"/>
              <w:left w:val="nil"/>
              <w:bottom w:val="single" w:color="000000" w:sz="4" w:space="0"/>
              <w:right w:val="single" w:color="000000" w:sz="4" w:space="0"/>
            </w:tcBorders>
            <w:shd w:val="clear" w:color="auto" w:fill="auto"/>
            <w:noWrap/>
            <w:vAlign w:val="center"/>
          </w:tcPr>
          <w:p w14:paraId="0D2A3C7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428.86</w:t>
            </w:r>
          </w:p>
        </w:tc>
        <w:tc>
          <w:tcPr>
            <w:tcW w:w="288" w:type="pct"/>
            <w:tcBorders>
              <w:top w:val="nil"/>
              <w:left w:val="nil"/>
              <w:bottom w:val="single" w:color="000000" w:sz="4" w:space="0"/>
              <w:right w:val="single" w:color="000000" w:sz="4" w:space="0"/>
            </w:tcBorders>
            <w:shd w:val="clear" w:color="auto" w:fill="auto"/>
            <w:noWrap/>
            <w:vAlign w:val="center"/>
          </w:tcPr>
          <w:p w14:paraId="23A1785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323.12</w:t>
            </w:r>
          </w:p>
        </w:tc>
        <w:tc>
          <w:tcPr>
            <w:tcW w:w="288" w:type="pct"/>
            <w:tcBorders>
              <w:top w:val="nil"/>
              <w:left w:val="nil"/>
              <w:bottom w:val="single" w:color="000000" w:sz="4" w:space="0"/>
              <w:right w:val="single" w:color="000000" w:sz="4" w:space="0"/>
            </w:tcBorders>
            <w:shd w:val="clear" w:color="auto" w:fill="auto"/>
            <w:noWrap/>
            <w:vAlign w:val="center"/>
          </w:tcPr>
          <w:p w14:paraId="68B106E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105.74</w:t>
            </w:r>
          </w:p>
        </w:tc>
        <w:tc>
          <w:tcPr>
            <w:tcW w:w="232" w:type="pct"/>
            <w:tcBorders>
              <w:top w:val="nil"/>
              <w:left w:val="nil"/>
              <w:bottom w:val="single" w:color="000000" w:sz="4" w:space="0"/>
              <w:right w:val="single" w:color="000000" w:sz="4" w:space="0"/>
            </w:tcBorders>
            <w:shd w:val="clear" w:color="auto" w:fill="auto"/>
            <w:noWrap/>
            <w:vAlign w:val="center"/>
          </w:tcPr>
          <w:p w14:paraId="0098AA8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32" w:type="pct"/>
            <w:tcBorders>
              <w:top w:val="nil"/>
              <w:left w:val="nil"/>
              <w:bottom w:val="single" w:color="000000" w:sz="4" w:space="0"/>
              <w:right w:val="single" w:color="000000" w:sz="4" w:space="0"/>
            </w:tcBorders>
            <w:shd w:val="clear" w:color="auto" w:fill="auto"/>
            <w:noWrap/>
            <w:vAlign w:val="center"/>
          </w:tcPr>
          <w:p w14:paraId="32DFA33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81" w:type="pct"/>
            <w:tcBorders>
              <w:top w:val="nil"/>
              <w:left w:val="nil"/>
              <w:bottom w:val="single" w:color="000000" w:sz="4" w:space="0"/>
              <w:right w:val="single" w:color="000000" w:sz="4" w:space="0"/>
            </w:tcBorders>
            <w:shd w:val="clear" w:color="auto" w:fill="auto"/>
            <w:noWrap/>
            <w:vAlign w:val="center"/>
          </w:tcPr>
          <w:p w14:paraId="5053C18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55" w:type="pct"/>
            <w:tcBorders>
              <w:top w:val="nil"/>
              <w:left w:val="nil"/>
              <w:bottom w:val="single" w:color="000000" w:sz="4" w:space="0"/>
              <w:right w:val="single" w:color="000000" w:sz="4" w:space="0"/>
            </w:tcBorders>
            <w:shd w:val="clear" w:color="auto" w:fill="auto"/>
            <w:noWrap/>
            <w:vAlign w:val="center"/>
          </w:tcPr>
          <w:p w14:paraId="3516BD3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bl>
    <w:p w14:paraId="6B8000E1">
      <w:pPr>
        <w:keepNext w:val="0"/>
        <w:keepLines w:val="0"/>
        <w:pageBreakBefore w:val="0"/>
        <w:widowControl/>
        <w:shd w:val="clear"/>
        <w:kinsoku/>
        <w:wordWrap/>
        <w:overflowPunct/>
        <w:topLinePunct w:val="0"/>
        <w:autoSpaceDE/>
        <w:autoSpaceDN/>
        <w:bidi w:val="0"/>
        <w:adjustRightInd/>
        <w:snapToGrid/>
        <w:jc w:val="left"/>
        <w:textAlignment w:val="auto"/>
        <w:rPr>
          <w:rFonts w:hint="eastAsia" w:ascii="Times New Roman" w:hAnsi="Times New Roman" w:eastAsia="仿宋_GB2312" w:cs="Times New Roman"/>
          <w:i w:val="0"/>
          <w:iCs w:val="0"/>
          <w:kern w:val="0"/>
          <w:szCs w:val="21"/>
        </w:rPr>
      </w:pPr>
      <w:r>
        <w:rPr>
          <w:rFonts w:ascii="Times New Roman" w:hAnsi="Times New Roman" w:eastAsia="仿宋_GB2312" w:cs="Times New Roman"/>
          <w:i w:val="0"/>
          <w:iCs w:val="0"/>
          <w:kern w:val="0"/>
          <w:szCs w:val="21"/>
        </w:rPr>
        <w:t>注：</w:t>
      </w:r>
      <w:r>
        <w:rPr>
          <w:rFonts w:hint="eastAsia" w:ascii="Times New Roman" w:hAnsi="Times New Roman" w:eastAsia="仿宋_GB2312" w:cs="Times New Roman"/>
          <w:i w:val="0"/>
          <w:iCs w:val="0"/>
          <w:kern w:val="0"/>
          <w:szCs w:val="21"/>
        </w:rPr>
        <w:t>1.本表依据《一般公共预算财政拨款收入支出决算表》（财决07表）进行批复。</w:t>
      </w:r>
    </w:p>
    <w:p w14:paraId="72B09B57">
      <w:pPr>
        <w:keepNext w:val="0"/>
        <w:keepLines w:val="0"/>
        <w:pageBreakBefore w:val="0"/>
        <w:widowControl/>
        <w:shd w:val="clear"/>
        <w:kinsoku/>
        <w:wordWrap/>
        <w:overflowPunct/>
        <w:topLinePunct w:val="0"/>
        <w:autoSpaceDE/>
        <w:autoSpaceDN/>
        <w:bidi w:val="0"/>
        <w:adjustRightInd/>
        <w:snapToGrid/>
        <w:jc w:val="left"/>
        <w:textAlignment w:val="auto"/>
        <w:rPr>
          <w:rFonts w:hint="eastAsia" w:ascii="Times New Roman" w:hAnsi="Times New Roman" w:eastAsia="仿宋_GB2312" w:cs="Times New Roman"/>
          <w:i w:val="0"/>
          <w:iCs w:val="0"/>
          <w:kern w:val="0"/>
          <w:szCs w:val="21"/>
        </w:rPr>
      </w:pPr>
      <w:r>
        <w:rPr>
          <w:rFonts w:hint="eastAsia" w:ascii="Times New Roman" w:hAnsi="Times New Roman" w:eastAsia="仿宋_GB2312" w:cs="Times New Roman"/>
          <w:i w:val="0"/>
          <w:iCs w:val="0"/>
          <w:kern w:val="0"/>
          <w:szCs w:val="21"/>
        </w:rPr>
        <w:t xml:space="preserve">    2.本表批复到项级科目。</w:t>
      </w:r>
    </w:p>
    <w:p w14:paraId="464071A8">
      <w:pPr>
        <w:keepNext w:val="0"/>
        <w:keepLines w:val="0"/>
        <w:pageBreakBefore w:val="0"/>
        <w:widowControl/>
        <w:shd w:val="clear"/>
        <w:kinsoku/>
        <w:wordWrap/>
        <w:overflowPunct/>
        <w:topLinePunct w:val="0"/>
        <w:autoSpaceDE/>
        <w:autoSpaceDN/>
        <w:bidi w:val="0"/>
        <w:adjustRightInd/>
        <w:snapToGrid/>
        <w:jc w:val="left"/>
        <w:textAlignment w:val="auto"/>
        <w:rPr>
          <w:rFonts w:ascii="Times New Roman" w:hAnsi="Times New Roman" w:eastAsia="仿宋_GB2312" w:cs="Times New Roman"/>
          <w:i w:val="0"/>
          <w:iCs w:val="0"/>
          <w:kern w:val="0"/>
          <w:szCs w:val="21"/>
        </w:rPr>
      </w:pPr>
      <w:r>
        <w:rPr>
          <w:rFonts w:hint="eastAsia" w:ascii="Times New Roman" w:hAnsi="Times New Roman" w:eastAsia="仿宋_GB2312" w:cs="Times New Roman"/>
          <w:i w:val="0"/>
          <w:iCs w:val="0"/>
          <w:kern w:val="0"/>
          <w:szCs w:val="21"/>
        </w:rPr>
        <w:t xml:space="preserve">    3.本表以“万元”为金额单位（保留两位小数）。</w:t>
      </w:r>
    </w:p>
    <w:p w14:paraId="7510C917">
      <w:pPr>
        <w:widowControl/>
        <w:shd w:val="clear"/>
        <w:jc w:val="left"/>
        <w:rPr>
          <w:rFonts w:ascii="Times New Roman" w:hAnsi="Times New Roman" w:eastAsia="仿宋_GB2312" w:cs="Times New Roman"/>
          <w:bCs/>
          <w:i w:val="0"/>
          <w:iCs w:val="0"/>
          <w:kern w:val="0"/>
          <w:szCs w:val="21"/>
        </w:rPr>
      </w:pPr>
    </w:p>
    <w:p w14:paraId="4212F90D">
      <w:pPr>
        <w:widowControl/>
        <w:shd w:val="clear"/>
        <w:jc w:val="left"/>
        <w:rPr>
          <w:rFonts w:ascii="Times New Roman" w:hAnsi="Times New Roman" w:eastAsia="仿宋_GB2312" w:cs="Times New Roman"/>
          <w:bCs/>
          <w:i w:val="0"/>
          <w:iCs w:val="0"/>
          <w:kern w:val="0"/>
          <w:szCs w:val="21"/>
        </w:rPr>
      </w:pPr>
      <w:r>
        <w:rPr>
          <w:rFonts w:ascii="Times New Roman" w:hAnsi="Times New Roman" w:eastAsia="仿宋_GB2312" w:cs="Times New Roman"/>
          <w:bCs/>
          <w:i w:val="0"/>
          <w:iCs w:val="0"/>
          <w:kern w:val="0"/>
          <w:szCs w:val="21"/>
        </w:rPr>
        <w:br w:type="page"/>
      </w:r>
    </w:p>
    <w:p w14:paraId="14C116A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bookmarkStart w:id="2" w:name="RANGE!A1:I34"/>
      <w:r>
        <w:rPr>
          <w:rFonts w:hint="eastAsia" w:ascii="方正小标宋简体" w:hAnsi="方正小标宋简体" w:eastAsia="方正小标宋简体" w:cs="方正小标宋简体"/>
          <w:b w:val="0"/>
          <w:bCs w:val="0"/>
          <w:i w:val="0"/>
          <w:iCs w:val="0"/>
          <w:caps w:val="0"/>
          <w:color w:val="000000"/>
          <w:spacing w:val="0"/>
          <w:sz w:val="44"/>
          <w:szCs w:val="44"/>
          <w:shd w:val="clear" w:color="auto" w:fill="FFFFFF"/>
        </w:rPr>
        <w:t>一般公共预算财政拨款基本支出决算明细批复</w:t>
      </w: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表</w:t>
      </w:r>
      <w:bookmarkEnd w:id="2"/>
    </w:p>
    <w:p w14:paraId="513984FB">
      <w:pPr>
        <w:widowControl/>
        <w:shd w:val="clear"/>
        <w:wordWrap w:val="0"/>
        <w:spacing w:line="240" w:lineRule="exact"/>
        <w:jc w:val="right"/>
        <w:rPr>
          <w:rFonts w:ascii="Times New Roman" w:hAnsi="Times New Roman" w:eastAsia="仿宋_GB2312" w:cs="Times New Roman"/>
          <w:i w:val="0"/>
          <w:iCs w:val="0"/>
          <w:color w:val="000000"/>
          <w:kern w:val="0"/>
          <w:szCs w:val="21"/>
        </w:rPr>
      </w:pPr>
      <w:r>
        <w:rPr>
          <w:rFonts w:ascii="Times New Roman" w:hAnsi="Times New Roman" w:eastAsia="仿宋_GB2312" w:cs="Times New Roman"/>
          <w:i w:val="0"/>
          <w:iCs w:val="0"/>
          <w:color w:val="000000"/>
          <w:kern w:val="0"/>
          <w:szCs w:val="21"/>
        </w:rPr>
        <w:t xml:space="preserve">  部门：</w:t>
      </w:r>
      <w:r>
        <w:rPr>
          <w:rFonts w:hint="eastAsia" w:ascii="Times New Roman" w:hAnsi="Times New Roman" w:eastAsia="仿宋_GB2312" w:cs="Times New Roman"/>
          <w:i w:val="0"/>
          <w:iCs w:val="0"/>
          <w:color w:val="000000"/>
          <w:kern w:val="0"/>
          <w:szCs w:val="21"/>
        </w:rPr>
        <w:t>怀化市医疗保障局</w:t>
      </w:r>
      <w:r>
        <w:rPr>
          <w:rFonts w:ascii="Times New Roman" w:hAnsi="Times New Roman" w:eastAsia="仿宋_GB2312" w:cs="Times New Roman"/>
          <w:i w:val="0"/>
          <w:iCs w:val="0"/>
          <w:color w:val="000000"/>
          <w:kern w:val="0"/>
          <w:szCs w:val="21"/>
        </w:rPr>
        <w:t xml:space="preserve">                                                                                                      </w:t>
      </w:r>
      <w:r>
        <w:rPr>
          <w:rFonts w:hint="eastAsia" w:ascii="Times New Roman" w:hAnsi="Times New Roman" w:eastAsia="仿宋_GB2312" w:cs="Times New Roman"/>
          <w:i w:val="0"/>
          <w:iCs w:val="0"/>
          <w:color w:val="000000"/>
          <w:kern w:val="0"/>
          <w:szCs w:val="21"/>
        </w:rPr>
        <w:t>财决批复</w:t>
      </w:r>
      <w:r>
        <w:rPr>
          <w:rFonts w:ascii="Times New Roman" w:hAnsi="Times New Roman" w:eastAsia="仿宋_GB2312" w:cs="Times New Roman"/>
          <w:i w:val="0"/>
          <w:iCs w:val="0"/>
          <w:color w:val="000000"/>
          <w:kern w:val="0"/>
          <w:szCs w:val="21"/>
        </w:rPr>
        <w:t>06表</w:t>
      </w:r>
    </w:p>
    <w:p w14:paraId="09F51616">
      <w:pPr>
        <w:widowControl/>
        <w:shd w:val="clear"/>
        <w:spacing w:line="240" w:lineRule="exact"/>
        <w:jc w:val="right"/>
        <w:rPr>
          <w:rFonts w:ascii="Times New Roman" w:hAnsi="Times New Roman" w:eastAsia="华文中宋" w:cs="Times New Roman"/>
          <w:i w:val="0"/>
          <w:iCs w:val="0"/>
          <w:color w:val="000000"/>
          <w:kern w:val="0"/>
          <w:szCs w:val="32"/>
        </w:rPr>
      </w:pPr>
      <w:r>
        <w:rPr>
          <w:rFonts w:hint="eastAsia" w:ascii="Times New Roman" w:hAnsi="Times New Roman" w:eastAsia="仿宋_GB2312" w:cs="Times New Roman"/>
          <w:i w:val="0"/>
          <w:iCs w:val="0"/>
          <w:color w:val="000000"/>
          <w:kern w:val="0"/>
          <w:szCs w:val="21"/>
          <w:lang w:eastAsia="zh-CN"/>
        </w:rPr>
        <w:t>金额</w:t>
      </w:r>
      <w:r>
        <w:rPr>
          <w:rFonts w:ascii="Times New Roman" w:hAnsi="Times New Roman" w:eastAsia="仿宋_GB2312" w:cs="Times New Roman"/>
          <w:i w:val="0"/>
          <w:iCs w:val="0"/>
          <w:color w:val="000000"/>
          <w:kern w:val="0"/>
          <w:szCs w:val="21"/>
        </w:rPr>
        <w:t>单位：万元</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6"/>
        <w:gridCol w:w="3216"/>
        <w:gridCol w:w="1157"/>
        <w:gridCol w:w="716"/>
        <w:gridCol w:w="2216"/>
        <w:gridCol w:w="870"/>
        <w:gridCol w:w="717"/>
        <w:gridCol w:w="4017"/>
        <w:gridCol w:w="1155"/>
      </w:tblGrid>
      <w:tr w14:paraId="3CB0A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172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000E">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人员经费</w:t>
            </w:r>
          </w:p>
        </w:tc>
        <w:tc>
          <w:tcPr>
            <w:tcW w:w="3278" w:type="pct"/>
            <w:gridSpan w:val="6"/>
            <w:tcBorders>
              <w:top w:val="single" w:color="000000" w:sz="4" w:space="0"/>
              <w:left w:val="nil"/>
              <w:bottom w:val="single" w:color="000000" w:sz="4" w:space="0"/>
              <w:right w:val="single" w:color="000000" w:sz="4" w:space="0"/>
            </w:tcBorders>
            <w:shd w:val="clear" w:color="auto" w:fill="auto"/>
            <w:noWrap/>
            <w:vAlign w:val="center"/>
          </w:tcPr>
          <w:p w14:paraId="680ACC89">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公用经费</w:t>
            </w:r>
          </w:p>
        </w:tc>
      </w:tr>
      <w:tr w14:paraId="3D5E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blHeader/>
        </w:trPr>
        <w:tc>
          <w:tcPr>
            <w:tcW w:w="242" w:type="pct"/>
            <w:tcBorders>
              <w:top w:val="nil"/>
              <w:left w:val="single" w:color="000000" w:sz="4" w:space="0"/>
              <w:bottom w:val="single" w:color="000000" w:sz="4" w:space="0"/>
              <w:right w:val="single" w:color="000000" w:sz="4" w:space="0"/>
            </w:tcBorders>
            <w:shd w:val="clear" w:color="auto" w:fill="auto"/>
            <w:vAlign w:val="center"/>
          </w:tcPr>
          <w:p w14:paraId="1EFCF75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科目编码</w:t>
            </w:r>
          </w:p>
        </w:tc>
        <w:tc>
          <w:tcPr>
            <w:tcW w:w="1087" w:type="pct"/>
            <w:tcBorders>
              <w:top w:val="nil"/>
              <w:left w:val="nil"/>
              <w:bottom w:val="single" w:color="000000" w:sz="4" w:space="0"/>
              <w:right w:val="single" w:color="000000" w:sz="4" w:space="0"/>
            </w:tcBorders>
            <w:shd w:val="clear" w:color="auto" w:fill="auto"/>
            <w:vAlign w:val="center"/>
          </w:tcPr>
          <w:p w14:paraId="777882B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科目名称</w:t>
            </w:r>
          </w:p>
        </w:tc>
        <w:tc>
          <w:tcPr>
            <w:tcW w:w="391" w:type="pct"/>
            <w:tcBorders>
              <w:top w:val="nil"/>
              <w:left w:val="nil"/>
              <w:bottom w:val="single" w:color="000000" w:sz="4" w:space="0"/>
              <w:right w:val="single" w:color="000000" w:sz="4" w:space="0"/>
            </w:tcBorders>
            <w:shd w:val="clear" w:color="auto" w:fill="auto"/>
            <w:vAlign w:val="center"/>
          </w:tcPr>
          <w:p w14:paraId="5BFAF0A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决算数</w:t>
            </w:r>
          </w:p>
        </w:tc>
        <w:tc>
          <w:tcPr>
            <w:tcW w:w="242" w:type="pct"/>
            <w:tcBorders>
              <w:top w:val="nil"/>
              <w:left w:val="nil"/>
              <w:bottom w:val="single" w:color="000000" w:sz="4" w:space="0"/>
              <w:right w:val="single" w:color="000000" w:sz="4" w:space="0"/>
            </w:tcBorders>
            <w:shd w:val="clear" w:color="auto" w:fill="auto"/>
            <w:vAlign w:val="center"/>
          </w:tcPr>
          <w:p w14:paraId="773E447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科目编码</w:t>
            </w:r>
          </w:p>
        </w:tc>
        <w:tc>
          <w:tcPr>
            <w:tcW w:w="749" w:type="pct"/>
            <w:tcBorders>
              <w:top w:val="nil"/>
              <w:left w:val="nil"/>
              <w:bottom w:val="single" w:color="000000" w:sz="4" w:space="0"/>
              <w:right w:val="single" w:color="000000" w:sz="4" w:space="0"/>
            </w:tcBorders>
            <w:shd w:val="clear" w:color="auto" w:fill="auto"/>
            <w:vAlign w:val="center"/>
          </w:tcPr>
          <w:p w14:paraId="3DCD081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科目名称</w:t>
            </w:r>
          </w:p>
        </w:tc>
        <w:tc>
          <w:tcPr>
            <w:tcW w:w="295" w:type="pct"/>
            <w:tcBorders>
              <w:top w:val="nil"/>
              <w:left w:val="nil"/>
              <w:bottom w:val="single" w:color="000000" w:sz="4" w:space="0"/>
              <w:right w:val="single" w:color="000000" w:sz="4" w:space="0"/>
            </w:tcBorders>
            <w:shd w:val="clear" w:color="auto" w:fill="auto"/>
            <w:vAlign w:val="center"/>
          </w:tcPr>
          <w:p w14:paraId="1194040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决算数</w:t>
            </w:r>
          </w:p>
        </w:tc>
        <w:tc>
          <w:tcPr>
            <w:tcW w:w="242" w:type="pct"/>
            <w:tcBorders>
              <w:top w:val="nil"/>
              <w:left w:val="nil"/>
              <w:bottom w:val="single" w:color="000000" w:sz="4" w:space="0"/>
              <w:right w:val="single" w:color="000000" w:sz="4" w:space="0"/>
            </w:tcBorders>
            <w:shd w:val="clear" w:color="auto" w:fill="auto"/>
            <w:vAlign w:val="center"/>
          </w:tcPr>
          <w:p w14:paraId="68AB73E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科目编码</w:t>
            </w:r>
          </w:p>
        </w:tc>
        <w:tc>
          <w:tcPr>
            <w:tcW w:w="1358" w:type="pct"/>
            <w:tcBorders>
              <w:top w:val="nil"/>
              <w:left w:val="nil"/>
              <w:bottom w:val="single" w:color="000000" w:sz="4" w:space="0"/>
              <w:right w:val="single" w:color="000000" w:sz="4" w:space="0"/>
            </w:tcBorders>
            <w:shd w:val="clear" w:color="auto" w:fill="auto"/>
            <w:vAlign w:val="center"/>
          </w:tcPr>
          <w:p w14:paraId="562A215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科目名称</w:t>
            </w:r>
          </w:p>
        </w:tc>
        <w:tc>
          <w:tcPr>
            <w:tcW w:w="391" w:type="pct"/>
            <w:tcBorders>
              <w:top w:val="nil"/>
              <w:left w:val="nil"/>
              <w:bottom w:val="single" w:color="000000" w:sz="4" w:space="0"/>
              <w:right w:val="single" w:color="000000" w:sz="4" w:space="0"/>
            </w:tcBorders>
            <w:shd w:val="clear" w:color="auto" w:fill="auto"/>
            <w:vAlign w:val="center"/>
          </w:tcPr>
          <w:p w14:paraId="0D32E99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决算数</w:t>
            </w:r>
          </w:p>
        </w:tc>
      </w:tr>
      <w:tr w14:paraId="42C5E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0BF6AB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1087" w:type="pct"/>
            <w:tcBorders>
              <w:top w:val="nil"/>
              <w:left w:val="nil"/>
              <w:bottom w:val="single" w:color="000000" w:sz="4" w:space="0"/>
              <w:right w:val="single" w:color="000000" w:sz="4" w:space="0"/>
            </w:tcBorders>
            <w:shd w:val="clear" w:color="auto" w:fill="auto"/>
            <w:noWrap/>
            <w:vAlign w:val="center"/>
          </w:tcPr>
          <w:p w14:paraId="0A7E22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391" w:type="pct"/>
            <w:tcBorders>
              <w:top w:val="nil"/>
              <w:left w:val="nil"/>
              <w:bottom w:val="single" w:color="000000" w:sz="4" w:space="0"/>
              <w:right w:val="single" w:color="000000" w:sz="4" w:space="0"/>
            </w:tcBorders>
            <w:shd w:val="clear" w:color="auto" w:fill="auto"/>
            <w:noWrap/>
            <w:vAlign w:val="center"/>
          </w:tcPr>
          <w:p w14:paraId="3603CDE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346.64</w:t>
            </w:r>
          </w:p>
        </w:tc>
        <w:tc>
          <w:tcPr>
            <w:tcW w:w="242" w:type="pct"/>
            <w:tcBorders>
              <w:top w:val="nil"/>
              <w:left w:val="nil"/>
              <w:bottom w:val="single" w:color="000000" w:sz="4" w:space="0"/>
              <w:right w:val="single" w:color="000000" w:sz="4" w:space="0"/>
            </w:tcBorders>
            <w:shd w:val="clear" w:color="auto" w:fill="auto"/>
            <w:noWrap/>
            <w:vAlign w:val="center"/>
          </w:tcPr>
          <w:p w14:paraId="4E104B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749" w:type="pct"/>
            <w:tcBorders>
              <w:top w:val="nil"/>
              <w:left w:val="nil"/>
              <w:bottom w:val="single" w:color="000000" w:sz="4" w:space="0"/>
              <w:right w:val="single" w:color="000000" w:sz="4" w:space="0"/>
            </w:tcBorders>
            <w:shd w:val="clear" w:color="auto" w:fill="auto"/>
            <w:noWrap/>
            <w:vAlign w:val="center"/>
          </w:tcPr>
          <w:p w14:paraId="56507C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295" w:type="pct"/>
            <w:tcBorders>
              <w:top w:val="nil"/>
              <w:left w:val="nil"/>
              <w:bottom w:val="single" w:color="000000" w:sz="4" w:space="0"/>
              <w:right w:val="single" w:color="000000" w:sz="4" w:space="0"/>
            </w:tcBorders>
            <w:shd w:val="clear" w:color="auto" w:fill="auto"/>
            <w:noWrap/>
            <w:vAlign w:val="center"/>
          </w:tcPr>
          <w:p w14:paraId="125C5A2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46.54</w:t>
            </w:r>
          </w:p>
        </w:tc>
        <w:tc>
          <w:tcPr>
            <w:tcW w:w="242" w:type="pct"/>
            <w:tcBorders>
              <w:top w:val="nil"/>
              <w:left w:val="nil"/>
              <w:bottom w:val="single" w:color="000000" w:sz="4" w:space="0"/>
              <w:right w:val="single" w:color="000000" w:sz="4" w:space="0"/>
            </w:tcBorders>
            <w:shd w:val="clear" w:color="auto" w:fill="auto"/>
            <w:noWrap/>
            <w:vAlign w:val="center"/>
          </w:tcPr>
          <w:p w14:paraId="424754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1358" w:type="pct"/>
            <w:tcBorders>
              <w:top w:val="nil"/>
              <w:left w:val="nil"/>
              <w:bottom w:val="single" w:color="000000" w:sz="4" w:space="0"/>
              <w:right w:val="single" w:color="000000" w:sz="4" w:space="0"/>
            </w:tcBorders>
            <w:shd w:val="clear" w:color="auto" w:fill="auto"/>
            <w:noWrap/>
            <w:vAlign w:val="center"/>
          </w:tcPr>
          <w:p w14:paraId="06E738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391" w:type="pct"/>
            <w:tcBorders>
              <w:top w:val="nil"/>
              <w:left w:val="nil"/>
              <w:bottom w:val="single" w:color="000000" w:sz="4" w:space="0"/>
              <w:right w:val="single" w:color="000000" w:sz="4" w:space="0"/>
            </w:tcBorders>
            <w:shd w:val="clear" w:color="auto" w:fill="auto"/>
            <w:noWrap/>
            <w:vAlign w:val="center"/>
          </w:tcPr>
          <w:p w14:paraId="712B611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E159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36E741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1087" w:type="pct"/>
            <w:tcBorders>
              <w:top w:val="nil"/>
              <w:left w:val="nil"/>
              <w:bottom w:val="single" w:color="000000" w:sz="4" w:space="0"/>
              <w:right w:val="single" w:color="000000" w:sz="4" w:space="0"/>
            </w:tcBorders>
            <w:shd w:val="clear" w:color="auto" w:fill="auto"/>
            <w:noWrap/>
            <w:vAlign w:val="center"/>
          </w:tcPr>
          <w:p w14:paraId="7C3BA8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391" w:type="pct"/>
            <w:tcBorders>
              <w:top w:val="nil"/>
              <w:left w:val="nil"/>
              <w:bottom w:val="single" w:color="000000" w:sz="4" w:space="0"/>
              <w:right w:val="single" w:color="000000" w:sz="4" w:space="0"/>
            </w:tcBorders>
            <w:shd w:val="clear" w:color="auto" w:fill="auto"/>
            <w:noWrap/>
            <w:vAlign w:val="center"/>
          </w:tcPr>
          <w:p w14:paraId="338356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66.00</w:t>
            </w:r>
          </w:p>
        </w:tc>
        <w:tc>
          <w:tcPr>
            <w:tcW w:w="242" w:type="pct"/>
            <w:tcBorders>
              <w:top w:val="nil"/>
              <w:left w:val="nil"/>
              <w:bottom w:val="single" w:color="000000" w:sz="4" w:space="0"/>
              <w:right w:val="single" w:color="000000" w:sz="4" w:space="0"/>
            </w:tcBorders>
            <w:shd w:val="clear" w:color="auto" w:fill="auto"/>
            <w:noWrap/>
            <w:vAlign w:val="center"/>
          </w:tcPr>
          <w:p w14:paraId="184446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749" w:type="pct"/>
            <w:tcBorders>
              <w:top w:val="nil"/>
              <w:left w:val="nil"/>
              <w:bottom w:val="single" w:color="000000" w:sz="4" w:space="0"/>
              <w:right w:val="single" w:color="000000" w:sz="4" w:space="0"/>
            </w:tcBorders>
            <w:shd w:val="clear" w:color="auto" w:fill="auto"/>
            <w:noWrap/>
            <w:vAlign w:val="center"/>
          </w:tcPr>
          <w:p w14:paraId="7EA4F4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295" w:type="pct"/>
            <w:tcBorders>
              <w:top w:val="nil"/>
              <w:left w:val="nil"/>
              <w:bottom w:val="single" w:color="000000" w:sz="4" w:space="0"/>
              <w:right w:val="single" w:color="000000" w:sz="4" w:space="0"/>
            </w:tcBorders>
            <w:shd w:val="clear" w:color="auto" w:fill="auto"/>
            <w:noWrap/>
            <w:vAlign w:val="center"/>
          </w:tcPr>
          <w:p w14:paraId="02E6E75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w:t>
            </w:r>
          </w:p>
        </w:tc>
        <w:tc>
          <w:tcPr>
            <w:tcW w:w="242" w:type="pct"/>
            <w:tcBorders>
              <w:top w:val="nil"/>
              <w:left w:val="nil"/>
              <w:bottom w:val="single" w:color="000000" w:sz="4" w:space="0"/>
              <w:right w:val="single" w:color="000000" w:sz="4" w:space="0"/>
            </w:tcBorders>
            <w:shd w:val="clear" w:color="auto" w:fill="auto"/>
            <w:noWrap/>
            <w:vAlign w:val="center"/>
          </w:tcPr>
          <w:p w14:paraId="13BF47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30701</w:t>
            </w:r>
          </w:p>
        </w:tc>
        <w:tc>
          <w:tcPr>
            <w:tcW w:w="1358" w:type="pct"/>
            <w:tcBorders>
              <w:top w:val="nil"/>
              <w:left w:val="nil"/>
              <w:bottom w:val="single" w:color="000000" w:sz="4" w:space="0"/>
              <w:right w:val="single" w:color="000000" w:sz="4" w:space="0"/>
            </w:tcBorders>
            <w:shd w:val="clear" w:color="auto" w:fill="auto"/>
            <w:noWrap/>
            <w:vAlign w:val="center"/>
          </w:tcPr>
          <w:p w14:paraId="745238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391" w:type="pct"/>
            <w:tcBorders>
              <w:top w:val="nil"/>
              <w:left w:val="nil"/>
              <w:bottom w:val="single" w:color="000000" w:sz="4" w:space="0"/>
              <w:right w:val="single" w:color="000000" w:sz="4" w:space="0"/>
            </w:tcBorders>
            <w:shd w:val="clear" w:color="auto" w:fill="auto"/>
            <w:noWrap/>
            <w:vAlign w:val="center"/>
          </w:tcPr>
          <w:p w14:paraId="795387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14E4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626BCA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30102</w:t>
            </w:r>
          </w:p>
        </w:tc>
        <w:tc>
          <w:tcPr>
            <w:tcW w:w="1087" w:type="pct"/>
            <w:tcBorders>
              <w:top w:val="nil"/>
              <w:left w:val="nil"/>
              <w:bottom w:val="single" w:color="000000" w:sz="4" w:space="0"/>
              <w:right w:val="single" w:color="000000" w:sz="4" w:space="0"/>
            </w:tcBorders>
            <w:shd w:val="clear" w:color="auto" w:fill="auto"/>
            <w:noWrap/>
            <w:vAlign w:val="center"/>
          </w:tcPr>
          <w:p w14:paraId="04AC8E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391" w:type="pct"/>
            <w:tcBorders>
              <w:top w:val="nil"/>
              <w:left w:val="nil"/>
              <w:bottom w:val="single" w:color="000000" w:sz="4" w:space="0"/>
              <w:right w:val="single" w:color="000000" w:sz="4" w:space="0"/>
            </w:tcBorders>
            <w:shd w:val="clear" w:color="auto" w:fill="auto"/>
            <w:noWrap/>
            <w:vAlign w:val="center"/>
          </w:tcPr>
          <w:p w14:paraId="2077E9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56.26</w:t>
            </w:r>
          </w:p>
        </w:tc>
        <w:tc>
          <w:tcPr>
            <w:tcW w:w="242" w:type="pct"/>
            <w:tcBorders>
              <w:top w:val="nil"/>
              <w:left w:val="nil"/>
              <w:bottom w:val="single" w:color="000000" w:sz="4" w:space="0"/>
              <w:right w:val="single" w:color="000000" w:sz="4" w:space="0"/>
            </w:tcBorders>
            <w:shd w:val="clear" w:color="auto" w:fill="auto"/>
            <w:noWrap/>
            <w:vAlign w:val="center"/>
          </w:tcPr>
          <w:p w14:paraId="48250F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30202</w:t>
            </w:r>
          </w:p>
        </w:tc>
        <w:tc>
          <w:tcPr>
            <w:tcW w:w="749" w:type="pct"/>
            <w:tcBorders>
              <w:top w:val="nil"/>
              <w:left w:val="nil"/>
              <w:bottom w:val="single" w:color="000000" w:sz="4" w:space="0"/>
              <w:right w:val="single" w:color="000000" w:sz="4" w:space="0"/>
            </w:tcBorders>
            <w:shd w:val="clear" w:color="auto" w:fill="auto"/>
            <w:noWrap/>
            <w:vAlign w:val="center"/>
          </w:tcPr>
          <w:p w14:paraId="75FFF2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295" w:type="pct"/>
            <w:tcBorders>
              <w:top w:val="nil"/>
              <w:left w:val="nil"/>
              <w:bottom w:val="single" w:color="000000" w:sz="4" w:space="0"/>
              <w:right w:val="single" w:color="000000" w:sz="4" w:space="0"/>
            </w:tcBorders>
            <w:shd w:val="clear" w:color="auto" w:fill="auto"/>
            <w:noWrap/>
            <w:vAlign w:val="center"/>
          </w:tcPr>
          <w:p w14:paraId="5D0361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0.08</w:t>
            </w:r>
          </w:p>
        </w:tc>
        <w:tc>
          <w:tcPr>
            <w:tcW w:w="242" w:type="pct"/>
            <w:tcBorders>
              <w:top w:val="nil"/>
              <w:left w:val="nil"/>
              <w:bottom w:val="single" w:color="000000" w:sz="4" w:space="0"/>
              <w:right w:val="single" w:color="000000" w:sz="4" w:space="0"/>
            </w:tcBorders>
            <w:shd w:val="clear" w:color="auto" w:fill="auto"/>
            <w:noWrap/>
            <w:vAlign w:val="center"/>
          </w:tcPr>
          <w:p w14:paraId="48E5E3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30702</w:t>
            </w:r>
          </w:p>
        </w:tc>
        <w:tc>
          <w:tcPr>
            <w:tcW w:w="1358" w:type="pct"/>
            <w:tcBorders>
              <w:top w:val="nil"/>
              <w:left w:val="nil"/>
              <w:bottom w:val="single" w:color="000000" w:sz="4" w:space="0"/>
              <w:right w:val="single" w:color="000000" w:sz="4" w:space="0"/>
            </w:tcBorders>
            <w:shd w:val="clear" w:color="auto" w:fill="auto"/>
            <w:noWrap/>
            <w:vAlign w:val="center"/>
          </w:tcPr>
          <w:p w14:paraId="70FE4F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391" w:type="pct"/>
            <w:tcBorders>
              <w:top w:val="nil"/>
              <w:left w:val="nil"/>
              <w:bottom w:val="single" w:color="000000" w:sz="4" w:space="0"/>
              <w:right w:val="single" w:color="000000" w:sz="4" w:space="0"/>
            </w:tcBorders>
            <w:shd w:val="clear" w:color="auto" w:fill="auto"/>
            <w:noWrap/>
            <w:vAlign w:val="center"/>
          </w:tcPr>
          <w:p w14:paraId="438278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6DB6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0A1061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w:t>
            </w:r>
          </w:p>
        </w:tc>
        <w:tc>
          <w:tcPr>
            <w:tcW w:w="1087" w:type="pct"/>
            <w:tcBorders>
              <w:top w:val="nil"/>
              <w:left w:val="nil"/>
              <w:bottom w:val="single" w:color="000000" w:sz="4" w:space="0"/>
              <w:right w:val="single" w:color="000000" w:sz="4" w:space="0"/>
            </w:tcBorders>
            <w:shd w:val="clear" w:color="auto" w:fill="auto"/>
            <w:noWrap/>
            <w:vAlign w:val="center"/>
          </w:tcPr>
          <w:p w14:paraId="20B82F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奖金</w:t>
            </w:r>
          </w:p>
        </w:tc>
        <w:tc>
          <w:tcPr>
            <w:tcW w:w="391" w:type="pct"/>
            <w:tcBorders>
              <w:top w:val="nil"/>
              <w:left w:val="nil"/>
              <w:bottom w:val="single" w:color="000000" w:sz="4" w:space="0"/>
              <w:right w:val="single" w:color="000000" w:sz="4" w:space="0"/>
            </w:tcBorders>
            <w:shd w:val="clear" w:color="auto" w:fill="auto"/>
            <w:noWrap/>
            <w:vAlign w:val="center"/>
          </w:tcPr>
          <w:p w14:paraId="27B8C5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44.48</w:t>
            </w:r>
          </w:p>
        </w:tc>
        <w:tc>
          <w:tcPr>
            <w:tcW w:w="242" w:type="pct"/>
            <w:tcBorders>
              <w:top w:val="nil"/>
              <w:left w:val="nil"/>
              <w:bottom w:val="single" w:color="000000" w:sz="4" w:space="0"/>
              <w:right w:val="single" w:color="000000" w:sz="4" w:space="0"/>
            </w:tcBorders>
            <w:shd w:val="clear" w:color="auto" w:fill="auto"/>
            <w:noWrap/>
            <w:vAlign w:val="center"/>
          </w:tcPr>
          <w:p w14:paraId="60DA66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30204</w:t>
            </w:r>
          </w:p>
        </w:tc>
        <w:tc>
          <w:tcPr>
            <w:tcW w:w="749" w:type="pct"/>
            <w:tcBorders>
              <w:top w:val="nil"/>
              <w:left w:val="nil"/>
              <w:bottom w:val="single" w:color="000000" w:sz="4" w:space="0"/>
              <w:right w:val="single" w:color="000000" w:sz="4" w:space="0"/>
            </w:tcBorders>
            <w:shd w:val="clear" w:color="auto" w:fill="auto"/>
            <w:noWrap/>
            <w:vAlign w:val="center"/>
          </w:tcPr>
          <w:p w14:paraId="3A52E0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295" w:type="pct"/>
            <w:tcBorders>
              <w:top w:val="nil"/>
              <w:left w:val="nil"/>
              <w:bottom w:val="single" w:color="000000" w:sz="4" w:space="0"/>
              <w:right w:val="single" w:color="000000" w:sz="4" w:space="0"/>
            </w:tcBorders>
            <w:shd w:val="clear" w:color="auto" w:fill="auto"/>
            <w:noWrap/>
            <w:vAlign w:val="center"/>
          </w:tcPr>
          <w:p w14:paraId="6E84F6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42C2CA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1358" w:type="pct"/>
            <w:tcBorders>
              <w:top w:val="nil"/>
              <w:left w:val="nil"/>
              <w:bottom w:val="single" w:color="000000" w:sz="4" w:space="0"/>
              <w:right w:val="single" w:color="000000" w:sz="4" w:space="0"/>
            </w:tcBorders>
            <w:shd w:val="clear" w:color="auto" w:fill="auto"/>
            <w:noWrap/>
            <w:vAlign w:val="center"/>
          </w:tcPr>
          <w:p w14:paraId="18C5FB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w:t>
            </w:r>
          </w:p>
        </w:tc>
        <w:tc>
          <w:tcPr>
            <w:tcW w:w="391" w:type="pct"/>
            <w:tcBorders>
              <w:top w:val="nil"/>
              <w:left w:val="nil"/>
              <w:bottom w:val="single" w:color="000000" w:sz="4" w:space="0"/>
              <w:right w:val="single" w:color="000000" w:sz="4" w:space="0"/>
            </w:tcBorders>
            <w:shd w:val="clear" w:color="auto" w:fill="auto"/>
            <w:noWrap/>
            <w:vAlign w:val="center"/>
          </w:tcPr>
          <w:p w14:paraId="01E0016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41CB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4FB9E9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30106</w:t>
            </w:r>
          </w:p>
        </w:tc>
        <w:tc>
          <w:tcPr>
            <w:tcW w:w="1087" w:type="pct"/>
            <w:tcBorders>
              <w:top w:val="nil"/>
              <w:left w:val="nil"/>
              <w:bottom w:val="single" w:color="000000" w:sz="4" w:space="0"/>
              <w:right w:val="single" w:color="000000" w:sz="4" w:space="0"/>
            </w:tcBorders>
            <w:shd w:val="clear" w:color="auto" w:fill="auto"/>
            <w:noWrap/>
            <w:vAlign w:val="center"/>
          </w:tcPr>
          <w:p w14:paraId="2214E5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391" w:type="pct"/>
            <w:tcBorders>
              <w:top w:val="nil"/>
              <w:left w:val="nil"/>
              <w:bottom w:val="single" w:color="000000" w:sz="4" w:space="0"/>
              <w:right w:val="single" w:color="000000" w:sz="4" w:space="0"/>
            </w:tcBorders>
            <w:shd w:val="clear" w:color="auto" w:fill="auto"/>
            <w:noWrap/>
            <w:vAlign w:val="center"/>
          </w:tcPr>
          <w:p w14:paraId="2A6FB2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7C304B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w:t>
            </w:r>
          </w:p>
        </w:tc>
        <w:tc>
          <w:tcPr>
            <w:tcW w:w="749" w:type="pct"/>
            <w:tcBorders>
              <w:top w:val="nil"/>
              <w:left w:val="nil"/>
              <w:bottom w:val="single" w:color="000000" w:sz="4" w:space="0"/>
              <w:right w:val="single" w:color="000000" w:sz="4" w:space="0"/>
            </w:tcBorders>
            <w:shd w:val="clear" w:color="auto" w:fill="auto"/>
            <w:noWrap/>
            <w:vAlign w:val="center"/>
          </w:tcPr>
          <w:p w14:paraId="5B727D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水费</w:t>
            </w:r>
          </w:p>
        </w:tc>
        <w:tc>
          <w:tcPr>
            <w:tcW w:w="295" w:type="pct"/>
            <w:tcBorders>
              <w:top w:val="nil"/>
              <w:left w:val="nil"/>
              <w:bottom w:val="single" w:color="000000" w:sz="4" w:space="0"/>
              <w:right w:val="single" w:color="000000" w:sz="4" w:space="0"/>
            </w:tcBorders>
            <w:shd w:val="clear" w:color="auto" w:fill="auto"/>
            <w:noWrap/>
            <w:vAlign w:val="center"/>
          </w:tcPr>
          <w:p w14:paraId="34A1E8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19330A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31001</w:t>
            </w:r>
          </w:p>
        </w:tc>
        <w:tc>
          <w:tcPr>
            <w:tcW w:w="1358" w:type="pct"/>
            <w:tcBorders>
              <w:top w:val="nil"/>
              <w:left w:val="nil"/>
              <w:bottom w:val="single" w:color="000000" w:sz="4" w:space="0"/>
              <w:right w:val="single" w:color="000000" w:sz="4" w:space="0"/>
            </w:tcBorders>
            <w:shd w:val="clear" w:color="auto" w:fill="auto"/>
            <w:noWrap/>
            <w:vAlign w:val="center"/>
          </w:tcPr>
          <w:p w14:paraId="7E7CA9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房屋建筑物购建</w:t>
            </w:r>
          </w:p>
        </w:tc>
        <w:tc>
          <w:tcPr>
            <w:tcW w:w="391" w:type="pct"/>
            <w:tcBorders>
              <w:top w:val="nil"/>
              <w:left w:val="nil"/>
              <w:bottom w:val="single" w:color="000000" w:sz="4" w:space="0"/>
              <w:right w:val="single" w:color="000000" w:sz="4" w:space="0"/>
            </w:tcBorders>
            <w:shd w:val="clear" w:color="auto" w:fill="auto"/>
            <w:noWrap/>
            <w:vAlign w:val="center"/>
          </w:tcPr>
          <w:p w14:paraId="23355E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7087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06C503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1087" w:type="pct"/>
            <w:tcBorders>
              <w:top w:val="nil"/>
              <w:left w:val="nil"/>
              <w:bottom w:val="single" w:color="000000" w:sz="4" w:space="0"/>
              <w:right w:val="single" w:color="000000" w:sz="4" w:space="0"/>
            </w:tcBorders>
            <w:shd w:val="clear" w:color="auto" w:fill="auto"/>
            <w:noWrap/>
            <w:vAlign w:val="center"/>
          </w:tcPr>
          <w:p w14:paraId="4DF568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391" w:type="pct"/>
            <w:tcBorders>
              <w:top w:val="nil"/>
              <w:left w:val="nil"/>
              <w:bottom w:val="single" w:color="000000" w:sz="4" w:space="0"/>
              <w:right w:val="single" w:color="000000" w:sz="4" w:space="0"/>
            </w:tcBorders>
            <w:shd w:val="clear" w:color="auto" w:fill="auto"/>
            <w:noWrap/>
            <w:vAlign w:val="center"/>
          </w:tcPr>
          <w:p w14:paraId="628A85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42.21</w:t>
            </w:r>
          </w:p>
        </w:tc>
        <w:tc>
          <w:tcPr>
            <w:tcW w:w="242" w:type="pct"/>
            <w:tcBorders>
              <w:top w:val="nil"/>
              <w:left w:val="nil"/>
              <w:bottom w:val="single" w:color="000000" w:sz="4" w:space="0"/>
              <w:right w:val="single" w:color="000000" w:sz="4" w:space="0"/>
            </w:tcBorders>
            <w:shd w:val="clear" w:color="auto" w:fill="auto"/>
            <w:noWrap/>
            <w:vAlign w:val="center"/>
          </w:tcPr>
          <w:p w14:paraId="0172E8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30206</w:t>
            </w:r>
          </w:p>
        </w:tc>
        <w:tc>
          <w:tcPr>
            <w:tcW w:w="749" w:type="pct"/>
            <w:tcBorders>
              <w:top w:val="nil"/>
              <w:left w:val="nil"/>
              <w:bottom w:val="single" w:color="000000" w:sz="4" w:space="0"/>
              <w:right w:val="single" w:color="000000" w:sz="4" w:space="0"/>
            </w:tcBorders>
            <w:shd w:val="clear" w:color="auto" w:fill="auto"/>
            <w:noWrap/>
            <w:vAlign w:val="center"/>
          </w:tcPr>
          <w:p w14:paraId="32563F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电费</w:t>
            </w:r>
          </w:p>
        </w:tc>
        <w:tc>
          <w:tcPr>
            <w:tcW w:w="295" w:type="pct"/>
            <w:tcBorders>
              <w:top w:val="nil"/>
              <w:left w:val="nil"/>
              <w:bottom w:val="single" w:color="000000" w:sz="4" w:space="0"/>
              <w:right w:val="single" w:color="000000" w:sz="4" w:space="0"/>
            </w:tcBorders>
            <w:shd w:val="clear" w:color="auto" w:fill="auto"/>
            <w:noWrap/>
            <w:vAlign w:val="center"/>
          </w:tcPr>
          <w:p w14:paraId="0D6CCC6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0.14</w:t>
            </w:r>
          </w:p>
        </w:tc>
        <w:tc>
          <w:tcPr>
            <w:tcW w:w="242" w:type="pct"/>
            <w:tcBorders>
              <w:top w:val="nil"/>
              <w:left w:val="nil"/>
              <w:bottom w:val="single" w:color="000000" w:sz="4" w:space="0"/>
              <w:right w:val="single" w:color="000000" w:sz="4" w:space="0"/>
            </w:tcBorders>
            <w:shd w:val="clear" w:color="auto" w:fill="auto"/>
            <w:noWrap/>
            <w:vAlign w:val="center"/>
          </w:tcPr>
          <w:p w14:paraId="3AC27F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31002</w:t>
            </w:r>
          </w:p>
        </w:tc>
        <w:tc>
          <w:tcPr>
            <w:tcW w:w="1358" w:type="pct"/>
            <w:tcBorders>
              <w:top w:val="nil"/>
              <w:left w:val="nil"/>
              <w:bottom w:val="single" w:color="000000" w:sz="4" w:space="0"/>
              <w:right w:val="single" w:color="000000" w:sz="4" w:space="0"/>
            </w:tcBorders>
            <w:shd w:val="clear" w:color="auto" w:fill="auto"/>
            <w:noWrap/>
            <w:vAlign w:val="center"/>
          </w:tcPr>
          <w:p w14:paraId="7508AF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391" w:type="pct"/>
            <w:tcBorders>
              <w:top w:val="nil"/>
              <w:left w:val="nil"/>
              <w:bottom w:val="single" w:color="000000" w:sz="4" w:space="0"/>
              <w:right w:val="single" w:color="000000" w:sz="4" w:space="0"/>
            </w:tcBorders>
            <w:shd w:val="clear" w:color="auto" w:fill="auto"/>
            <w:noWrap/>
            <w:vAlign w:val="center"/>
          </w:tcPr>
          <w:p w14:paraId="299B0A5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7992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32B1EC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1087" w:type="pct"/>
            <w:tcBorders>
              <w:top w:val="nil"/>
              <w:left w:val="nil"/>
              <w:bottom w:val="single" w:color="000000" w:sz="4" w:space="0"/>
              <w:right w:val="single" w:color="000000" w:sz="4" w:space="0"/>
            </w:tcBorders>
            <w:shd w:val="clear" w:color="auto" w:fill="auto"/>
            <w:noWrap/>
            <w:vAlign w:val="center"/>
          </w:tcPr>
          <w:p w14:paraId="1BE82A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391" w:type="pct"/>
            <w:tcBorders>
              <w:top w:val="nil"/>
              <w:left w:val="nil"/>
              <w:bottom w:val="single" w:color="000000" w:sz="4" w:space="0"/>
              <w:right w:val="single" w:color="000000" w:sz="4" w:space="0"/>
            </w:tcBorders>
            <w:shd w:val="clear" w:color="auto" w:fill="auto"/>
            <w:noWrap/>
            <w:vAlign w:val="center"/>
          </w:tcPr>
          <w:p w14:paraId="36A5C63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49.49</w:t>
            </w:r>
          </w:p>
        </w:tc>
        <w:tc>
          <w:tcPr>
            <w:tcW w:w="242" w:type="pct"/>
            <w:tcBorders>
              <w:top w:val="nil"/>
              <w:left w:val="nil"/>
              <w:bottom w:val="single" w:color="000000" w:sz="4" w:space="0"/>
              <w:right w:val="single" w:color="000000" w:sz="4" w:space="0"/>
            </w:tcBorders>
            <w:shd w:val="clear" w:color="auto" w:fill="auto"/>
            <w:noWrap/>
            <w:vAlign w:val="center"/>
          </w:tcPr>
          <w:p w14:paraId="7724DB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30207</w:t>
            </w:r>
          </w:p>
        </w:tc>
        <w:tc>
          <w:tcPr>
            <w:tcW w:w="749" w:type="pct"/>
            <w:tcBorders>
              <w:top w:val="nil"/>
              <w:left w:val="nil"/>
              <w:bottom w:val="single" w:color="000000" w:sz="4" w:space="0"/>
              <w:right w:val="single" w:color="000000" w:sz="4" w:space="0"/>
            </w:tcBorders>
            <w:shd w:val="clear" w:color="auto" w:fill="auto"/>
            <w:noWrap/>
            <w:vAlign w:val="center"/>
          </w:tcPr>
          <w:p w14:paraId="775E97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295" w:type="pct"/>
            <w:tcBorders>
              <w:top w:val="nil"/>
              <w:left w:val="nil"/>
              <w:bottom w:val="single" w:color="000000" w:sz="4" w:space="0"/>
              <w:right w:val="single" w:color="000000" w:sz="4" w:space="0"/>
            </w:tcBorders>
            <w:shd w:val="clear" w:color="auto" w:fill="auto"/>
            <w:noWrap/>
            <w:vAlign w:val="center"/>
          </w:tcPr>
          <w:p w14:paraId="4DD35E3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0.59</w:t>
            </w:r>
          </w:p>
        </w:tc>
        <w:tc>
          <w:tcPr>
            <w:tcW w:w="242" w:type="pct"/>
            <w:tcBorders>
              <w:top w:val="nil"/>
              <w:left w:val="nil"/>
              <w:bottom w:val="single" w:color="000000" w:sz="4" w:space="0"/>
              <w:right w:val="single" w:color="000000" w:sz="4" w:space="0"/>
            </w:tcBorders>
            <w:shd w:val="clear" w:color="auto" w:fill="auto"/>
            <w:noWrap/>
            <w:vAlign w:val="center"/>
          </w:tcPr>
          <w:p w14:paraId="2DDA90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31003</w:t>
            </w:r>
          </w:p>
        </w:tc>
        <w:tc>
          <w:tcPr>
            <w:tcW w:w="1358" w:type="pct"/>
            <w:tcBorders>
              <w:top w:val="nil"/>
              <w:left w:val="nil"/>
              <w:bottom w:val="single" w:color="000000" w:sz="4" w:space="0"/>
              <w:right w:val="single" w:color="000000" w:sz="4" w:space="0"/>
            </w:tcBorders>
            <w:shd w:val="clear" w:color="auto" w:fill="auto"/>
            <w:noWrap/>
            <w:vAlign w:val="center"/>
          </w:tcPr>
          <w:p w14:paraId="5B7C41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391" w:type="pct"/>
            <w:tcBorders>
              <w:top w:val="nil"/>
              <w:left w:val="nil"/>
              <w:bottom w:val="single" w:color="000000" w:sz="4" w:space="0"/>
              <w:right w:val="single" w:color="000000" w:sz="4" w:space="0"/>
            </w:tcBorders>
            <w:shd w:val="clear" w:color="auto" w:fill="auto"/>
            <w:noWrap/>
            <w:vAlign w:val="center"/>
          </w:tcPr>
          <w:p w14:paraId="5DC2A5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2AD5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0C7B50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30109</w:t>
            </w:r>
          </w:p>
        </w:tc>
        <w:tc>
          <w:tcPr>
            <w:tcW w:w="1087" w:type="pct"/>
            <w:tcBorders>
              <w:top w:val="nil"/>
              <w:left w:val="nil"/>
              <w:bottom w:val="single" w:color="000000" w:sz="4" w:space="0"/>
              <w:right w:val="single" w:color="000000" w:sz="4" w:space="0"/>
            </w:tcBorders>
            <w:shd w:val="clear" w:color="auto" w:fill="auto"/>
            <w:noWrap/>
            <w:vAlign w:val="center"/>
          </w:tcPr>
          <w:p w14:paraId="600D16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391" w:type="pct"/>
            <w:tcBorders>
              <w:top w:val="nil"/>
              <w:left w:val="nil"/>
              <w:bottom w:val="single" w:color="000000" w:sz="4" w:space="0"/>
              <w:right w:val="single" w:color="000000" w:sz="4" w:space="0"/>
            </w:tcBorders>
            <w:shd w:val="clear" w:color="auto" w:fill="auto"/>
            <w:noWrap/>
            <w:vAlign w:val="center"/>
          </w:tcPr>
          <w:p w14:paraId="2BDD63D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9.17</w:t>
            </w:r>
          </w:p>
        </w:tc>
        <w:tc>
          <w:tcPr>
            <w:tcW w:w="242" w:type="pct"/>
            <w:tcBorders>
              <w:top w:val="nil"/>
              <w:left w:val="nil"/>
              <w:bottom w:val="single" w:color="000000" w:sz="4" w:space="0"/>
              <w:right w:val="single" w:color="000000" w:sz="4" w:space="0"/>
            </w:tcBorders>
            <w:shd w:val="clear" w:color="auto" w:fill="auto"/>
            <w:noWrap/>
            <w:vAlign w:val="center"/>
          </w:tcPr>
          <w:p w14:paraId="4ECB69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30208</w:t>
            </w:r>
          </w:p>
        </w:tc>
        <w:tc>
          <w:tcPr>
            <w:tcW w:w="749" w:type="pct"/>
            <w:tcBorders>
              <w:top w:val="nil"/>
              <w:left w:val="nil"/>
              <w:bottom w:val="single" w:color="000000" w:sz="4" w:space="0"/>
              <w:right w:val="single" w:color="000000" w:sz="4" w:space="0"/>
            </w:tcBorders>
            <w:shd w:val="clear" w:color="auto" w:fill="auto"/>
            <w:noWrap/>
            <w:vAlign w:val="center"/>
          </w:tcPr>
          <w:p w14:paraId="46D1CB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295" w:type="pct"/>
            <w:tcBorders>
              <w:top w:val="nil"/>
              <w:left w:val="nil"/>
              <w:bottom w:val="single" w:color="000000" w:sz="4" w:space="0"/>
              <w:right w:val="single" w:color="000000" w:sz="4" w:space="0"/>
            </w:tcBorders>
            <w:shd w:val="clear" w:color="auto" w:fill="auto"/>
            <w:noWrap/>
            <w:vAlign w:val="center"/>
          </w:tcPr>
          <w:p w14:paraId="6DB714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70737D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31005</w:t>
            </w:r>
          </w:p>
        </w:tc>
        <w:tc>
          <w:tcPr>
            <w:tcW w:w="1358" w:type="pct"/>
            <w:tcBorders>
              <w:top w:val="nil"/>
              <w:left w:val="nil"/>
              <w:bottom w:val="single" w:color="000000" w:sz="4" w:space="0"/>
              <w:right w:val="single" w:color="000000" w:sz="4" w:space="0"/>
            </w:tcBorders>
            <w:shd w:val="clear" w:color="auto" w:fill="auto"/>
            <w:noWrap/>
            <w:vAlign w:val="center"/>
          </w:tcPr>
          <w:p w14:paraId="0302C2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391" w:type="pct"/>
            <w:tcBorders>
              <w:top w:val="nil"/>
              <w:left w:val="nil"/>
              <w:bottom w:val="single" w:color="000000" w:sz="4" w:space="0"/>
              <w:right w:val="single" w:color="000000" w:sz="4" w:space="0"/>
            </w:tcBorders>
            <w:shd w:val="clear" w:color="auto" w:fill="auto"/>
            <w:noWrap/>
            <w:vAlign w:val="center"/>
          </w:tcPr>
          <w:p w14:paraId="4F4DBF2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862B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579413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1087" w:type="pct"/>
            <w:tcBorders>
              <w:top w:val="nil"/>
              <w:left w:val="nil"/>
              <w:bottom w:val="single" w:color="000000" w:sz="4" w:space="0"/>
              <w:right w:val="single" w:color="000000" w:sz="4" w:space="0"/>
            </w:tcBorders>
            <w:shd w:val="clear" w:color="auto" w:fill="auto"/>
            <w:noWrap/>
            <w:vAlign w:val="center"/>
          </w:tcPr>
          <w:p w14:paraId="0CCCCA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391" w:type="pct"/>
            <w:tcBorders>
              <w:top w:val="nil"/>
              <w:left w:val="nil"/>
              <w:bottom w:val="single" w:color="000000" w:sz="4" w:space="0"/>
              <w:right w:val="single" w:color="000000" w:sz="4" w:space="0"/>
            </w:tcBorders>
            <w:shd w:val="clear" w:color="auto" w:fill="auto"/>
            <w:noWrap/>
            <w:vAlign w:val="center"/>
          </w:tcPr>
          <w:p w14:paraId="4134B2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18.92</w:t>
            </w:r>
          </w:p>
        </w:tc>
        <w:tc>
          <w:tcPr>
            <w:tcW w:w="242" w:type="pct"/>
            <w:tcBorders>
              <w:top w:val="nil"/>
              <w:left w:val="nil"/>
              <w:bottom w:val="single" w:color="000000" w:sz="4" w:space="0"/>
              <w:right w:val="single" w:color="000000" w:sz="4" w:space="0"/>
            </w:tcBorders>
            <w:shd w:val="clear" w:color="auto" w:fill="auto"/>
            <w:noWrap/>
            <w:vAlign w:val="center"/>
          </w:tcPr>
          <w:p w14:paraId="294303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30209</w:t>
            </w:r>
          </w:p>
        </w:tc>
        <w:tc>
          <w:tcPr>
            <w:tcW w:w="749" w:type="pct"/>
            <w:tcBorders>
              <w:top w:val="nil"/>
              <w:left w:val="nil"/>
              <w:bottom w:val="single" w:color="000000" w:sz="4" w:space="0"/>
              <w:right w:val="single" w:color="000000" w:sz="4" w:space="0"/>
            </w:tcBorders>
            <w:shd w:val="clear" w:color="auto" w:fill="auto"/>
            <w:noWrap/>
            <w:vAlign w:val="center"/>
          </w:tcPr>
          <w:p w14:paraId="3911DE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295" w:type="pct"/>
            <w:tcBorders>
              <w:top w:val="nil"/>
              <w:left w:val="nil"/>
              <w:bottom w:val="single" w:color="000000" w:sz="4" w:space="0"/>
              <w:right w:val="single" w:color="000000" w:sz="4" w:space="0"/>
            </w:tcBorders>
            <w:shd w:val="clear" w:color="auto" w:fill="auto"/>
            <w:noWrap/>
            <w:vAlign w:val="center"/>
          </w:tcPr>
          <w:p w14:paraId="4ABC2D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3DA73B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31006</w:t>
            </w:r>
          </w:p>
        </w:tc>
        <w:tc>
          <w:tcPr>
            <w:tcW w:w="1358" w:type="pct"/>
            <w:tcBorders>
              <w:top w:val="nil"/>
              <w:left w:val="nil"/>
              <w:bottom w:val="single" w:color="000000" w:sz="4" w:space="0"/>
              <w:right w:val="single" w:color="000000" w:sz="4" w:space="0"/>
            </w:tcBorders>
            <w:shd w:val="clear" w:color="auto" w:fill="auto"/>
            <w:noWrap/>
            <w:vAlign w:val="center"/>
          </w:tcPr>
          <w:p w14:paraId="01DE02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391" w:type="pct"/>
            <w:tcBorders>
              <w:top w:val="nil"/>
              <w:left w:val="nil"/>
              <w:bottom w:val="single" w:color="000000" w:sz="4" w:space="0"/>
              <w:right w:val="single" w:color="000000" w:sz="4" w:space="0"/>
            </w:tcBorders>
            <w:shd w:val="clear" w:color="auto" w:fill="auto"/>
            <w:noWrap/>
            <w:vAlign w:val="center"/>
          </w:tcPr>
          <w:p w14:paraId="1A30C1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CA3D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438E74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30111</w:t>
            </w:r>
          </w:p>
        </w:tc>
        <w:tc>
          <w:tcPr>
            <w:tcW w:w="1087" w:type="pct"/>
            <w:tcBorders>
              <w:top w:val="nil"/>
              <w:left w:val="nil"/>
              <w:bottom w:val="single" w:color="000000" w:sz="4" w:space="0"/>
              <w:right w:val="single" w:color="000000" w:sz="4" w:space="0"/>
            </w:tcBorders>
            <w:shd w:val="clear" w:color="auto" w:fill="auto"/>
            <w:noWrap/>
            <w:vAlign w:val="center"/>
          </w:tcPr>
          <w:p w14:paraId="545B64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391" w:type="pct"/>
            <w:tcBorders>
              <w:top w:val="nil"/>
              <w:left w:val="nil"/>
              <w:bottom w:val="single" w:color="000000" w:sz="4" w:space="0"/>
              <w:right w:val="single" w:color="000000" w:sz="4" w:space="0"/>
            </w:tcBorders>
            <w:shd w:val="clear" w:color="auto" w:fill="auto"/>
            <w:noWrap/>
            <w:vAlign w:val="center"/>
          </w:tcPr>
          <w:p w14:paraId="6C23A9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231962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30211</w:t>
            </w:r>
          </w:p>
        </w:tc>
        <w:tc>
          <w:tcPr>
            <w:tcW w:w="749" w:type="pct"/>
            <w:tcBorders>
              <w:top w:val="nil"/>
              <w:left w:val="nil"/>
              <w:bottom w:val="single" w:color="000000" w:sz="4" w:space="0"/>
              <w:right w:val="single" w:color="000000" w:sz="4" w:space="0"/>
            </w:tcBorders>
            <w:shd w:val="clear" w:color="auto" w:fill="auto"/>
            <w:noWrap/>
            <w:vAlign w:val="center"/>
          </w:tcPr>
          <w:p w14:paraId="366839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295" w:type="pct"/>
            <w:tcBorders>
              <w:top w:val="nil"/>
              <w:left w:val="nil"/>
              <w:bottom w:val="single" w:color="000000" w:sz="4" w:space="0"/>
              <w:right w:val="single" w:color="000000" w:sz="4" w:space="0"/>
            </w:tcBorders>
            <w:shd w:val="clear" w:color="auto" w:fill="auto"/>
            <w:noWrap/>
            <w:vAlign w:val="center"/>
          </w:tcPr>
          <w:p w14:paraId="55787E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242" w:type="pct"/>
            <w:tcBorders>
              <w:top w:val="nil"/>
              <w:left w:val="nil"/>
              <w:bottom w:val="single" w:color="000000" w:sz="4" w:space="0"/>
              <w:right w:val="single" w:color="000000" w:sz="4" w:space="0"/>
            </w:tcBorders>
            <w:shd w:val="clear" w:color="auto" w:fill="auto"/>
            <w:noWrap/>
            <w:vAlign w:val="center"/>
          </w:tcPr>
          <w:p w14:paraId="3208A4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31007</w:t>
            </w:r>
          </w:p>
        </w:tc>
        <w:tc>
          <w:tcPr>
            <w:tcW w:w="1358" w:type="pct"/>
            <w:tcBorders>
              <w:top w:val="nil"/>
              <w:left w:val="nil"/>
              <w:bottom w:val="single" w:color="000000" w:sz="4" w:space="0"/>
              <w:right w:val="single" w:color="000000" w:sz="4" w:space="0"/>
            </w:tcBorders>
            <w:shd w:val="clear" w:color="auto" w:fill="auto"/>
            <w:noWrap/>
            <w:vAlign w:val="center"/>
          </w:tcPr>
          <w:p w14:paraId="71190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391" w:type="pct"/>
            <w:tcBorders>
              <w:top w:val="nil"/>
              <w:left w:val="nil"/>
              <w:bottom w:val="single" w:color="000000" w:sz="4" w:space="0"/>
              <w:right w:val="single" w:color="000000" w:sz="4" w:space="0"/>
            </w:tcBorders>
            <w:shd w:val="clear" w:color="auto" w:fill="auto"/>
            <w:noWrap/>
            <w:vAlign w:val="center"/>
          </w:tcPr>
          <w:p w14:paraId="52031A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303A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2CD4A0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w:t>
            </w:r>
          </w:p>
        </w:tc>
        <w:tc>
          <w:tcPr>
            <w:tcW w:w="1087" w:type="pct"/>
            <w:tcBorders>
              <w:top w:val="nil"/>
              <w:left w:val="nil"/>
              <w:bottom w:val="single" w:color="000000" w:sz="4" w:space="0"/>
              <w:right w:val="single" w:color="000000" w:sz="4" w:space="0"/>
            </w:tcBorders>
            <w:shd w:val="clear" w:color="auto" w:fill="auto"/>
            <w:noWrap/>
            <w:vAlign w:val="center"/>
          </w:tcPr>
          <w:p w14:paraId="4E90ED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391" w:type="pct"/>
            <w:tcBorders>
              <w:top w:val="nil"/>
              <w:left w:val="nil"/>
              <w:bottom w:val="single" w:color="000000" w:sz="4" w:space="0"/>
              <w:right w:val="single" w:color="000000" w:sz="4" w:space="0"/>
            </w:tcBorders>
            <w:shd w:val="clear" w:color="auto" w:fill="auto"/>
            <w:noWrap/>
            <w:vAlign w:val="center"/>
          </w:tcPr>
          <w:p w14:paraId="3DE238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w:t>
            </w:r>
          </w:p>
        </w:tc>
        <w:tc>
          <w:tcPr>
            <w:tcW w:w="242" w:type="pct"/>
            <w:tcBorders>
              <w:top w:val="nil"/>
              <w:left w:val="nil"/>
              <w:bottom w:val="single" w:color="000000" w:sz="4" w:space="0"/>
              <w:right w:val="single" w:color="000000" w:sz="4" w:space="0"/>
            </w:tcBorders>
            <w:shd w:val="clear" w:color="auto" w:fill="auto"/>
            <w:noWrap/>
            <w:vAlign w:val="center"/>
          </w:tcPr>
          <w:p w14:paraId="6EBCF9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30212</w:t>
            </w:r>
          </w:p>
        </w:tc>
        <w:tc>
          <w:tcPr>
            <w:tcW w:w="749" w:type="pct"/>
            <w:tcBorders>
              <w:top w:val="nil"/>
              <w:left w:val="nil"/>
              <w:bottom w:val="single" w:color="000000" w:sz="4" w:space="0"/>
              <w:right w:val="single" w:color="000000" w:sz="4" w:space="0"/>
            </w:tcBorders>
            <w:shd w:val="clear" w:color="auto" w:fill="auto"/>
            <w:noWrap/>
            <w:vAlign w:val="center"/>
          </w:tcPr>
          <w:p w14:paraId="004C06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295" w:type="pct"/>
            <w:tcBorders>
              <w:top w:val="nil"/>
              <w:left w:val="nil"/>
              <w:bottom w:val="single" w:color="000000" w:sz="4" w:space="0"/>
              <w:right w:val="single" w:color="000000" w:sz="4" w:space="0"/>
            </w:tcBorders>
            <w:shd w:val="clear" w:color="auto" w:fill="auto"/>
            <w:noWrap/>
            <w:vAlign w:val="center"/>
          </w:tcPr>
          <w:p w14:paraId="71E5444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7DF243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31008</w:t>
            </w:r>
          </w:p>
        </w:tc>
        <w:tc>
          <w:tcPr>
            <w:tcW w:w="1358" w:type="pct"/>
            <w:tcBorders>
              <w:top w:val="nil"/>
              <w:left w:val="nil"/>
              <w:bottom w:val="single" w:color="000000" w:sz="4" w:space="0"/>
              <w:right w:val="single" w:color="000000" w:sz="4" w:space="0"/>
            </w:tcBorders>
            <w:shd w:val="clear" w:color="auto" w:fill="auto"/>
            <w:noWrap/>
            <w:vAlign w:val="center"/>
          </w:tcPr>
          <w:p w14:paraId="3053C0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391" w:type="pct"/>
            <w:tcBorders>
              <w:top w:val="nil"/>
              <w:left w:val="nil"/>
              <w:bottom w:val="single" w:color="000000" w:sz="4" w:space="0"/>
              <w:right w:val="single" w:color="000000" w:sz="4" w:space="0"/>
            </w:tcBorders>
            <w:shd w:val="clear" w:color="auto" w:fill="auto"/>
            <w:noWrap/>
            <w:vAlign w:val="center"/>
          </w:tcPr>
          <w:p w14:paraId="00E16EE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516A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0F589A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1087" w:type="pct"/>
            <w:tcBorders>
              <w:top w:val="nil"/>
              <w:left w:val="nil"/>
              <w:bottom w:val="single" w:color="000000" w:sz="4" w:space="0"/>
              <w:right w:val="single" w:color="000000" w:sz="4" w:space="0"/>
            </w:tcBorders>
            <w:shd w:val="clear" w:color="auto" w:fill="auto"/>
            <w:noWrap/>
            <w:vAlign w:val="center"/>
          </w:tcPr>
          <w:p w14:paraId="7D81A3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391" w:type="pct"/>
            <w:tcBorders>
              <w:top w:val="nil"/>
              <w:left w:val="nil"/>
              <w:bottom w:val="single" w:color="000000" w:sz="4" w:space="0"/>
              <w:right w:val="single" w:color="000000" w:sz="4" w:space="0"/>
            </w:tcBorders>
            <w:shd w:val="clear" w:color="auto" w:fill="auto"/>
            <w:noWrap/>
            <w:vAlign w:val="center"/>
          </w:tcPr>
          <w:p w14:paraId="67362B2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56.80</w:t>
            </w:r>
          </w:p>
        </w:tc>
        <w:tc>
          <w:tcPr>
            <w:tcW w:w="242" w:type="pct"/>
            <w:tcBorders>
              <w:top w:val="nil"/>
              <w:left w:val="nil"/>
              <w:bottom w:val="single" w:color="000000" w:sz="4" w:space="0"/>
              <w:right w:val="single" w:color="000000" w:sz="4" w:space="0"/>
            </w:tcBorders>
            <w:shd w:val="clear" w:color="auto" w:fill="auto"/>
            <w:noWrap/>
            <w:vAlign w:val="center"/>
          </w:tcPr>
          <w:p w14:paraId="100E53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30213</w:t>
            </w:r>
          </w:p>
        </w:tc>
        <w:tc>
          <w:tcPr>
            <w:tcW w:w="749" w:type="pct"/>
            <w:tcBorders>
              <w:top w:val="nil"/>
              <w:left w:val="nil"/>
              <w:bottom w:val="single" w:color="000000" w:sz="4" w:space="0"/>
              <w:right w:val="single" w:color="000000" w:sz="4" w:space="0"/>
            </w:tcBorders>
            <w:shd w:val="clear" w:color="auto" w:fill="auto"/>
            <w:noWrap/>
            <w:vAlign w:val="center"/>
          </w:tcPr>
          <w:p w14:paraId="5666F2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295" w:type="pct"/>
            <w:tcBorders>
              <w:top w:val="nil"/>
              <w:left w:val="nil"/>
              <w:bottom w:val="single" w:color="000000" w:sz="4" w:space="0"/>
              <w:right w:val="single" w:color="000000" w:sz="4" w:space="0"/>
            </w:tcBorders>
            <w:shd w:val="clear" w:color="auto" w:fill="auto"/>
            <w:noWrap/>
            <w:vAlign w:val="center"/>
          </w:tcPr>
          <w:p w14:paraId="629A5C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0.20</w:t>
            </w:r>
          </w:p>
        </w:tc>
        <w:tc>
          <w:tcPr>
            <w:tcW w:w="242" w:type="pct"/>
            <w:tcBorders>
              <w:top w:val="nil"/>
              <w:left w:val="nil"/>
              <w:bottom w:val="single" w:color="000000" w:sz="4" w:space="0"/>
              <w:right w:val="single" w:color="000000" w:sz="4" w:space="0"/>
            </w:tcBorders>
            <w:shd w:val="clear" w:color="auto" w:fill="auto"/>
            <w:noWrap/>
            <w:vAlign w:val="center"/>
          </w:tcPr>
          <w:p w14:paraId="6FD0A9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31009</w:t>
            </w:r>
          </w:p>
        </w:tc>
        <w:tc>
          <w:tcPr>
            <w:tcW w:w="1358" w:type="pct"/>
            <w:tcBorders>
              <w:top w:val="nil"/>
              <w:left w:val="nil"/>
              <w:bottom w:val="single" w:color="000000" w:sz="4" w:space="0"/>
              <w:right w:val="single" w:color="000000" w:sz="4" w:space="0"/>
            </w:tcBorders>
            <w:shd w:val="clear" w:color="auto" w:fill="auto"/>
            <w:noWrap/>
            <w:vAlign w:val="center"/>
          </w:tcPr>
          <w:p w14:paraId="4AEBF4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391" w:type="pct"/>
            <w:tcBorders>
              <w:top w:val="nil"/>
              <w:left w:val="nil"/>
              <w:bottom w:val="single" w:color="000000" w:sz="4" w:space="0"/>
              <w:right w:val="single" w:color="000000" w:sz="4" w:space="0"/>
            </w:tcBorders>
            <w:shd w:val="clear" w:color="auto" w:fill="auto"/>
            <w:noWrap/>
            <w:vAlign w:val="center"/>
          </w:tcPr>
          <w:p w14:paraId="44F905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21FA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6B863C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1087" w:type="pct"/>
            <w:tcBorders>
              <w:top w:val="nil"/>
              <w:left w:val="nil"/>
              <w:bottom w:val="single" w:color="000000" w:sz="4" w:space="0"/>
              <w:right w:val="single" w:color="000000" w:sz="4" w:space="0"/>
            </w:tcBorders>
            <w:shd w:val="clear" w:color="auto" w:fill="auto"/>
            <w:noWrap/>
            <w:vAlign w:val="center"/>
          </w:tcPr>
          <w:p w14:paraId="59A335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391" w:type="pct"/>
            <w:tcBorders>
              <w:top w:val="nil"/>
              <w:left w:val="nil"/>
              <w:bottom w:val="single" w:color="000000" w:sz="4" w:space="0"/>
              <w:right w:val="single" w:color="000000" w:sz="4" w:space="0"/>
            </w:tcBorders>
            <w:shd w:val="clear" w:color="auto" w:fill="auto"/>
            <w:noWrap/>
            <w:vAlign w:val="center"/>
          </w:tcPr>
          <w:p w14:paraId="4BFD88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6710B0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30214</w:t>
            </w:r>
          </w:p>
        </w:tc>
        <w:tc>
          <w:tcPr>
            <w:tcW w:w="749" w:type="pct"/>
            <w:tcBorders>
              <w:top w:val="nil"/>
              <w:left w:val="nil"/>
              <w:bottom w:val="single" w:color="000000" w:sz="4" w:space="0"/>
              <w:right w:val="single" w:color="000000" w:sz="4" w:space="0"/>
            </w:tcBorders>
            <w:shd w:val="clear" w:color="auto" w:fill="auto"/>
            <w:noWrap/>
            <w:vAlign w:val="center"/>
          </w:tcPr>
          <w:p w14:paraId="43F064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295" w:type="pct"/>
            <w:tcBorders>
              <w:top w:val="nil"/>
              <w:left w:val="nil"/>
              <w:bottom w:val="single" w:color="000000" w:sz="4" w:space="0"/>
              <w:right w:val="single" w:color="000000" w:sz="4" w:space="0"/>
            </w:tcBorders>
            <w:shd w:val="clear" w:color="auto" w:fill="auto"/>
            <w:noWrap/>
            <w:vAlign w:val="center"/>
          </w:tcPr>
          <w:p w14:paraId="52C6E6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28406F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31010</w:t>
            </w:r>
          </w:p>
        </w:tc>
        <w:tc>
          <w:tcPr>
            <w:tcW w:w="1358" w:type="pct"/>
            <w:tcBorders>
              <w:top w:val="nil"/>
              <w:left w:val="nil"/>
              <w:bottom w:val="single" w:color="000000" w:sz="4" w:space="0"/>
              <w:right w:val="single" w:color="000000" w:sz="4" w:space="0"/>
            </w:tcBorders>
            <w:shd w:val="clear" w:color="auto" w:fill="auto"/>
            <w:noWrap/>
            <w:vAlign w:val="center"/>
          </w:tcPr>
          <w:p w14:paraId="639300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391" w:type="pct"/>
            <w:tcBorders>
              <w:top w:val="nil"/>
              <w:left w:val="nil"/>
              <w:bottom w:val="single" w:color="000000" w:sz="4" w:space="0"/>
              <w:right w:val="single" w:color="000000" w:sz="4" w:space="0"/>
            </w:tcBorders>
            <w:shd w:val="clear" w:color="auto" w:fill="auto"/>
            <w:noWrap/>
            <w:vAlign w:val="center"/>
          </w:tcPr>
          <w:p w14:paraId="209209F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B61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7AB1BC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1087" w:type="pct"/>
            <w:tcBorders>
              <w:top w:val="nil"/>
              <w:left w:val="nil"/>
              <w:bottom w:val="single" w:color="000000" w:sz="4" w:space="0"/>
              <w:right w:val="single" w:color="000000" w:sz="4" w:space="0"/>
            </w:tcBorders>
            <w:shd w:val="clear" w:color="auto" w:fill="auto"/>
            <w:noWrap/>
            <w:vAlign w:val="center"/>
          </w:tcPr>
          <w:p w14:paraId="433686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391" w:type="pct"/>
            <w:tcBorders>
              <w:top w:val="nil"/>
              <w:left w:val="nil"/>
              <w:bottom w:val="single" w:color="000000" w:sz="4" w:space="0"/>
              <w:right w:val="single" w:color="000000" w:sz="4" w:space="0"/>
            </w:tcBorders>
            <w:shd w:val="clear" w:color="auto" w:fill="auto"/>
            <w:noWrap/>
            <w:vAlign w:val="center"/>
          </w:tcPr>
          <w:p w14:paraId="1B7D0F4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6A4406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30215</w:t>
            </w:r>
          </w:p>
        </w:tc>
        <w:tc>
          <w:tcPr>
            <w:tcW w:w="749" w:type="pct"/>
            <w:tcBorders>
              <w:top w:val="nil"/>
              <w:left w:val="nil"/>
              <w:bottom w:val="single" w:color="000000" w:sz="4" w:space="0"/>
              <w:right w:val="single" w:color="000000" w:sz="4" w:space="0"/>
            </w:tcBorders>
            <w:shd w:val="clear" w:color="auto" w:fill="auto"/>
            <w:noWrap/>
            <w:vAlign w:val="center"/>
          </w:tcPr>
          <w:p w14:paraId="3D5CBC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295" w:type="pct"/>
            <w:tcBorders>
              <w:top w:val="nil"/>
              <w:left w:val="nil"/>
              <w:bottom w:val="single" w:color="000000" w:sz="4" w:space="0"/>
              <w:right w:val="single" w:color="000000" w:sz="4" w:space="0"/>
            </w:tcBorders>
            <w:shd w:val="clear" w:color="auto" w:fill="auto"/>
            <w:noWrap/>
            <w:vAlign w:val="center"/>
          </w:tcPr>
          <w:p w14:paraId="073D5D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18796E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31011</w:t>
            </w:r>
          </w:p>
        </w:tc>
        <w:tc>
          <w:tcPr>
            <w:tcW w:w="1358" w:type="pct"/>
            <w:tcBorders>
              <w:top w:val="nil"/>
              <w:left w:val="nil"/>
              <w:bottom w:val="single" w:color="000000" w:sz="4" w:space="0"/>
              <w:right w:val="single" w:color="000000" w:sz="4" w:space="0"/>
            </w:tcBorders>
            <w:shd w:val="clear" w:color="auto" w:fill="auto"/>
            <w:noWrap/>
            <w:vAlign w:val="center"/>
          </w:tcPr>
          <w:p w14:paraId="1E5DE2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391" w:type="pct"/>
            <w:tcBorders>
              <w:top w:val="nil"/>
              <w:left w:val="nil"/>
              <w:bottom w:val="single" w:color="000000" w:sz="4" w:space="0"/>
              <w:right w:val="single" w:color="000000" w:sz="4" w:space="0"/>
            </w:tcBorders>
            <w:shd w:val="clear" w:color="auto" w:fill="auto"/>
            <w:noWrap/>
            <w:vAlign w:val="center"/>
          </w:tcPr>
          <w:p w14:paraId="5E0E39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6BF3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66B5AF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1087" w:type="pct"/>
            <w:tcBorders>
              <w:top w:val="nil"/>
              <w:left w:val="nil"/>
              <w:bottom w:val="single" w:color="000000" w:sz="4" w:space="0"/>
              <w:right w:val="single" w:color="000000" w:sz="4" w:space="0"/>
            </w:tcBorders>
            <w:shd w:val="clear" w:color="auto" w:fill="auto"/>
            <w:noWrap/>
            <w:vAlign w:val="center"/>
          </w:tcPr>
          <w:p w14:paraId="2293DA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391" w:type="pct"/>
            <w:tcBorders>
              <w:top w:val="nil"/>
              <w:left w:val="nil"/>
              <w:bottom w:val="single" w:color="000000" w:sz="4" w:space="0"/>
              <w:right w:val="single" w:color="000000" w:sz="4" w:space="0"/>
            </w:tcBorders>
            <w:shd w:val="clear" w:color="auto" w:fill="auto"/>
            <w:noWrap/>
            <w:vAlign w:val="center"/>
          </w:tcPr>
          <w:p w14:paraId="4E87BE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242" w:type="pct"/>
            <w:tcBorders>
              <w:top w:val="nil"/>
              <w:left w:val="nil"/>
              <w:bottom w:val="single" w:color="000000" w:sz="4" w:space="0"/>
              <w:right w:val="single" w:color="000000" w:sz="4" w:space="0"/>
            </w:tcBorders>
            <w:shd w:val="clear" w:color="auto" w:fill="auto"/>
            <w:noWrap/>
            <w:vAlign w:val="center"/>
          </w:tcPr>
          <w:p w14:paraId="565BAB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30216</w:t>
            </w:r>
          </w:p>
        </w:tc>
        <w:tc>
          <w:tcPr>
            <w:tcW w:w="749" w:type="pct"/>
            <w:tcBorders>
              <w:top w:val="nil"/>
              <w:left w:val="nil"/>
              <w:bottom w:val="single" w:color="000000" w:sz="4" w:space="0"/>
              <w:right w:val="single" w:color="000000" w:sz="4" w:space="0"/>
            </w:tcBorders>
            <w:shd w:val="clear" w:color="auto" w:fill="auto"/>
            <w:noWrap/>
            <w:vAlign w:val="center"/>
          </w:tcPr>
          <w:p w14:paraId="30503A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295" w:type="pct"/>
            <w:tcBorders>
              <w:top w:val="nil"/>
              <w:left w:val="nil"/>
              <w:bottom w:val="single" w:color="000000" w:sz="4" w:space="0"/>
              <w:right w:val="single" w:color="000000" w:sz="4" w:space="0"/>
            </w:tcBorders>
            <w:shd w:val="clear" w:color="auto" w:fill="auto"/>
            <w:noWrap/>
            <w:vAlign w:val="center"/>
          </w:tcPr>
          <w:p w14:paraId="5B99EC2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2DEF53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31012</w:t>
            </w:r>
          </w:p>
        </w:tc>
        <w:tc>
          <w:tcPr>
            <w:tcW w:w="1358" w:type="pct"/>
            <w:tcBorders>
              <w:top w:val="nil"/>
              <w:left w:val="nil"/>
              <w:bottom w:val="single" w:color="000000" w:sz="4" w:space="0"/>
              <w:right w:val="single" w:color="000000" w:sz="4" w:space="0"/>
            </w:tcBorders>
            <w:shd w:val="clear" w:color="auto" w:fill="auto"/>
            <w:noWrap/>
            <w:vAlign w:val="center"/>
          </w:tcPr>
          <w:p w14:paraId="5BAC5C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391" w:type="pct"/>
            <w:tcBorders>
              <w:top w:val="nil"/>
              <w:left w:val="nil"/>
              <w:bottom w:val="single" w:color="000000" w:sz="4" w:space="0"/>
              <w:right w:val="single" w:color="000000" w:sz="4" w:space="0"/>
            </w:tcBorders>
            <w:shd w:val="clear" w:color="auto" w:fill="auto"/>
            <w:noWrap/>
            <w:vAlign w:val="center"/>
          </w:tcPr>
          <w:p w14:paraId="4E76C9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7D2D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26E7E5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w:t>
            </w:r>
          </w:p>
        </w:tc>
        <w:tc>
          <w:tcPr>
            <w:tcW w:w="1087" w:type="pct"/>
            <w:tcBorders>
              <w:top w:val="nil"/>
              <w:left w:val="nil"/>
              <w:bottom w:val="single" w:color="000000" w:sz="4" w:space="0"/>
              <w:right w:val="single" w:color="000000" w:sz="4" w:space="0"/>
            </w:tcBorders>
            <w:shd w:val="clear" w:color="auto" w:fill="auto"/>
            <w:noWrap/>
            <w:vAlign w:val="center"/>
          </w:tcPr>
          <w:p w14:paraId="4504DE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391" w:type="pct"/>
            <w:tcBorders>
              <w:top w:val="nil"/>
              <w:left w:val="nil"/>
              <w:bottom w:val="single" w:color="000000" w:sz="4" w:space="0"/>
              <w:right w:val="single" w:color="000000" w:sz="4" w:space="0"/>
            </w:tcBorders>
            <w:shd w:val="clear" w:color="auto" w:fill="auto"/>
            <w:noWrap/>
            <w:vAlign w:val="center"/>
          </w:tcPr>
          <w:p w14:paraId="54F6B60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42FE86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30217</w:t>
            </w:r>
          </w:p>
        </w:tc>
        <w:tc>
          <w:tcPr>
            <w:tcW w:w="749" w:type="pct"/>
            <w:tcBorders>
              <w:top w:val="nil"/>
              <w:left w:val="nil"/>
              <w:bottom w:val="single" w:color="000000" w:sz="4" w:space="0"/>
              <w:right w:val="single" w:color="000000" w:sz="4" w:space="0"/>
            </w:tcBorders>
            <w:shd w:val="clear" w:color="auto" w:fill="auto"/>
            <w:noWrap/>
            <w:vAlign w:val="center"/>
          </w:tcPr>
          <w:p w14:paraId="0B7A6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295" w:type="pct"/>
            <w:tcBorders>
              <w:top w:val="nil"/>
              <w:left w:val="nil"/>
              <w:bottom w:val="single" w:color="000000" w:sz="4" w:space="0"/>
              <w:right w:val="single" w:color="000000" w:sz="4" w:space="0"/>
            </w:tcBorders>
            <w:shd w:val="clear" w:color="auto" w:fill="auto"/>
            <w:noWrap/>
            <w:vAlign w:val="center"/>
          </w:tcPr>
          <w:p w14:paraId="4E63366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18B4AB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31013</w:t>
            </w:r>
          </w:p>
        </w:tc>
        <w:tc>
          <w:tcPr>
            <w:tcW w:w="1358" w:type="pct"/>
            <w:tcBorders>
              <w:top w:val="nil"/>
              <w:left w:val="nil"/>
              <w:bottom w:val="single" w:color="000000" w:sz="4" w:space="0"/>
              <w:right w:val="single" w:color="000000" w:sz="4" w:space="0"/>
            </w:tcBorders>
            <w:shd w:val="clear" w:color="auto" w:fill="auto"/>
            <w:noWrap/>
            <w:vAlign w:val="center"/>
          </w:tcPr>
          <w:p w14:paraId="231B05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391" w:type="pct"/>
            <w:tcBorders>
              <w:top w:val="nil"/>
              <w:left w:val="nil"/>
              <w:bottom w:val="single" w:color="000000" w:sz="4" w:space="0"/>
              <w:right w:val="single" w:color="000000" w:sz="4" w:space="0"/>
            </w:tcBorders>
            <w:shd w:val="clear" w:color="auto" w:fill="auto"/>
            <w:noWrap/>
            <w:vAlign w:val="center"/>
          </w:tcPr>
          <w:p w14:paraId="6D7872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DD30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18B6C0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w:t>
            </w:r>
          </w:p>
        </w:tc>
        <w:tc>
          <w:tcPr>
            <w:tcW w:w="1087" w:type="pct"/>
            <w:tcBorders>
              <w:top w:val="nil"/>
              <w:left w:val="nil"/>
              <w:bottom w:val="single" w:color="000000" w:sz="4" w:space="0"/>
              <w:right w:val="single" w:color="000000" w:sz="4" w:space="0"/>
            </w:tcBorders>
            <w:shd w:val="clear" w:color="auto" w:fill="auto"/>
            <w:noWrap/>
            <w:vAlign w:val="center"/>
          </w:tcPr>
          <w:p w14:paraId="3608E7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391" w:type="pct"/>
            <w:tcBorders>
              <w:top w:val="nil"/>
              <w:left w:val="nil"/>
              <w:bottom w:val="single" w:color="000000" w:sz="4" w:space="0"/>
              <w:right w:val="single" w:color="000000" w:sz="4" w:space="0"/>
            </w:tcBorders>
            <w:shd w:val="clear" w:color="auto" w:fill="auto"/>
            <w:noWrap/>
            <w:vAlign w:val="center"/>
          </w:tcPr>
          <w:p w14:paraId="7C1A86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33886A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30218</w:t>
            </w:r>
          </w:p>
        </w:tc>
        <w:tc>
          <w:tcPr>
            <w:tcW w:w="749" w:type="pct"/>
            <w:tcBorders>
              <w:top w:val="nil"/>
              <w:left w:val="nil"/>
              <w:bottom w:val="single" w:color="000000" w:sz="4" w:space="0"/>
              <w:right w:val="single" w:color="000000" w:sz="4" w:space="0"/>
            </w:tcBorders>
            <w:shd w:val="clear" w:color="auto" w:fill="auto"/>
            <w:noWrap/>
            <w:vAlign w:val="center"/>
          </w:tcPr>
          <w:p w14:paraId="0125C8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295" w:type="pct"/>
            <w:tcBorders>
              <w:top w:val="nil"/>
              <w:left w:val="nil"/>
              <w:bottom w:val="single" w:color="000000" w:sz="4" w:space="0"/>
              <w:right w:val="single" w:color="000000" w:sz="4" w:space="0"/>
            </w:tcBorders>
            <w:shd w:val="clear" w:color="auto" w:fill="auto"/>
            <w:noWrap/>
            <w:vAlign w:val="center"/>
          </w:tcPr>
          <w:p w14:paraId="2174CC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3D156E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31019</w:t>
            </w:r>
          </w:p>
        </w:tc>
        <w:tc>
          <w:tcPr>
            <w:tcW w:w="1358" w:type="pct"/>
            <w:tcBorders>
              <w:top w:val="nil"/>
              <w:left w:val="nil"/>
              <w:bottom w:val="single" w:color="000000" w:sz="4" w:space="0"/>
              <w:right w:val="single" w:color="000000" w:sz="4" w:space="0"/>
            </w:tcBorders>
            <w:shd w:val="clear" w:color="auto" w:fill="auto"/>
            <w:noWrap/>
            <w:vAlign w:val="center"/>
          </w:tcPr>
          <w:p w14:paraId="55D2ED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391" w:type="pct"/>
            <w:tcBorders>
              <w:top w:val="nil"/>
              <w:left w:val="nil"/>
              <w:bottom w:val="single" w:color="000000" w:sz="4" w:space="0"/>
              <w:right w:val="single" w:color="000000" w:sz="4" w:space="0"/>
            </w:tcBorders>
            <w:shd w:val="clear" w:color="auto" w:fill="auto"/>
            <w:noWrap/>
            <w:vAlign w:val="center"/>
          </w:tcPr>
          <w:p w14:paraId="687F53B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746A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45E05D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30303</w:t>
            </w:r>
          </w:p>
        </w:tc>
        <w:tc>
          <w:tcPr>
            <w:tcW w:w="1087" w:type="pct"/>
            <w:tcBorders>
              <w:top w:val="nil"/>
              <w:left w:val="nil"/>
              <w:bottom w:val="single" w:color="000000" w:sz="4" w:space="0"/>
              <w:right w:val="single" w:color="000000" w:sz="4" w:space="0"/>
            </w:tcBorders>
            <w:shd w:val="clear" w:color="auto" w:fill="auto"/>
            <w:noWrap/>
            <w:vAlign w:val="center"/>
          </w:tcPr>
          <w:p w14:paraId="054F6C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391" w:type="pct"/>
            <w:tcBorders>
              <w:top w:val="nil"/>
              <w:left w:val="nil"/>
              <w:bottom w:val="single" w:color="000000" w:sz="4" w:space="0"/>
              <w:right w:val="single" w:color="000000" w:sz="4" w:space="0"/>
            </w:tcBorders>
            <w:shd w:val="clear" w:color="auto" w:fill="auto"/>
            <w:noWrap/>
            <w:vAlign w:val="center"/>
          </w:tcPr>
          <w:p w14:paraId="02DC73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3EBBF6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30224</w:t>
            </w:r>
          </w:p>
        </w:tc>
        <w:tc>
          <w:tcPr>
            <w:tcW w:w="749" w:type="pct"/>
            <w:tcBorders>
              <w:top w:val="nil"/>
              <w:left w:val="nil"/>
              <w:bottom w:val="single" w:color="000000" w:sz="4" w:space="0"/>
              <w:right w:val="single" w:color="000000" w:sz="4" w:space="0"/>
            </w:tcBorders>
            <w:shd w:val="clear" w:color="auto" w:fill="auto"/>
            <w:noWrap/>
            <w:vAlign w:val="center"/>
          </w:tcPr>
          <w:p w14:paraId="62D8F0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295" w:type="pct"/>
            <w:tcBorders>
              <w:top w:val="nil"/>
              <w:left w:val="nil"/>
              <w:bottom w:val="single" w:color="000000" w:sz="4" w:space="0"/>
              <w:right w:val="single" w:color="000000" w:sz="4" w:space="0"/>
            </w:tcBorders>
            <w:shd w:val="clear" w:color="auto" w:fill="auto"/>
            <w:noWrap/>
            <w:vAlign w:val="center"/>
          </w:tcPr>
          <w:p w14:paraId="449088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196F0A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31021</w:t>
            </w:r>
          </w:p>
        </w:tc>
        <w:tc>
          <w:tcPr>
            <w:tcW w:w="1358" w:type="pct"/>
            <w:tcBorders>
              <w:top w:val="nil"/>
              <w:left w:val="nil"/>
              <w:bottom w:val="single" w:color="000000" w:sz="4" w:space="0"/>
              <w:right w:val="single" w:color="000000" w:sz="4" w:space="0"/>
            </w:tcBorders>
            <w:shd w:val="clear" w:color="auto" w:fill="auto"/>
            <w:noWrap/>
            <w:vAlign w:val="center"/>
          </w:tcPr>
          <w:p w14:paraId="6C9078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391" w:type="pct"/>
            <w:tcBorders>
              <w:top w:val="nil"/>
              <w:left w:val="nil"/>
              <w:bottom w:val="single" w:color="000000" w:sz="4" w:space="0"/>
              <w:right w:val="single" w:color="000000" w:sz="4" w:space="0"/>
            </w:tcBorders>
            <w:shd w:val="clear" w:color="auto" w:fill="auto"/>
            <w:noWrap/>
            <w:vAlign w:val="center"/>
          </w:tcPr>
          <w:p w14:paraId="49F00B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1A32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7B5E28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30304</w:t>
            </w:r>
          </w:p>
        </w:tc>
        <w:tc>
          <w:tcPr>
            <w:tcW w:w="1087" w:type="pct"/>
            <w:tcBorders>
              <w:top w:val="nil"/>
              <w:left w:val="nil"/>
              <w:bottom w:val="single" w:color="000000" w:sz="4" w:space="0"/>
              <w:right w:val="single" w:color="000000" w:sz="4" w:space="0"/>
            </w:tcBorders>
            <w:shd w:val="clear" w:color="auto" w:fill="auto"/>
            <w:noWrap/>
            <w:vAlign w:val="center"/>
          </w:tcPr>
          <w:p w14:paraId="737C0D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391" w:type="pct"/>
            <w:tcBorders>
              <w:top w:val="nil"/>
              <w:left w:val="nil"/>
              <w:bottom w:val="single" w:color="000000" w:sz="4" w:space="0"/>
              <w:right w:val="single" w:color="000000" w:sz="4" w:space="0"/>
            </w:tcBorders>
            <w:shd w:val="clear" w:color="auto" w:fill="auto"/>
            <w:noWrap/>
            <w:vAlign w:val="center"/>
          </w:tcPr>
          <w:p w14:paraId="15B309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213710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30225</w:t>
            </w:r>
          </w:p>
        </w:tc>
        <w:tc>
          <w:tcPr>
            <w:tcW w:w="749" w:type="pct"/>
            <w:tcBorders>
              <w:top w:val="nil"/>
              <w:left w:val="nil"/>
              <w:bottom w:val="single" w:color="000000" w:sz="4" w:space="0"/>
              <w:right w:val="single" w:color="000000" w:sz="4" w:space="0"/>
            </w:tcBorders>
            <w:shd w:val="clear" w:color="auto" w:fill="auto"/>
            <w:noWrap/>
            <w:vAlign w:val="center"/>
          </w:tcPr>
          <w:p w14:paraId="4A389D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295" w:type="pct"/>
            <w:tcBorders>
              <w:top w:val="nil"/>
              <w:left w:val="nil"/>
              <w:bottom w:val="single" w:color="000000" w:sz="4" w:space="0"/>
              <w:right w:val="single" w:color="000000" w:sz="4" w:space="0"/>
            </w:tcBorders>
            <w:shd w:val="clear" w:color="auto" w:fill="auto"/>
            <w:noWrap/>
            <w:vAlign w:val="center"/>
          </w:tcPr>
          <w:p w14:paraId="5106B0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238D8A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31022</w:t>
            </w:r>
          </w:p>
        </w:tc>
        <w:tc>
          <w:tcPr>
            <w:tcW w:w="1358" w:type="pct"/>
            <w:tcBorders>
              <w:top w:val="nil"/>
              <w:left w:val="nil"/>
              <w:bottom w:val="single" w:color="000000" w:sz="4" w:space="0"/>
              <w:right w:val="single" w:color="000000" w:sz="4" w:space="0"/>
            </w:tcBorders>
            <w:shd w:val="clear" w:color="auto" w:fill="auto"/>
            <w:noWrap/>
            <w:vAlign w:val="center"/>
          </w:tcPr>
          <w:p w14:paraId="2A1BCC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391" w:type="pct"/>
            <w:tcBorders>
              <w:top w:val="nil"/>
              <w:left w:val="nil"/>
              <w:bottom w:val="single" w:color="000000" w:sz="4" w:space="0"/>
              <w:right w:val="single" w:color="000000" w:sz="4" w:space="0"/>
            </w:tcBorders>
            <w:shd w:val="clear" w:color="auto" w:fill="auto"/>
            <w:noWrap/>
            <w:vAlign w:val="center"/>
          </w:tcPr>
          <w:p w14:paraId="5B6256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283E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1A2DD2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30305</w:t>
            </w:r>
          </w:p>
        </w:tc>
        <w:tc>
          <w:tcPr>
            <w:tcW w:w="1087" w:type="pct"/>
            <w:tcBorders>
              <w:top w:val="nil"/>
              <w:left w:val="nil"/>
              <w:bottom w:val="single" w:color="000000" w:sz="4" w:space="0"/>
              <w:right w:val="single" w:color="000000" w:sz="4" w:space="0"/>
            </w:tcBorders>
            <w:shd w:val="clear" w:color="auto" w:fill="auto"/>
            <w:noWrap/>
            <w:vAlign w:val="center"/>
          </w:tcPr>
          <w:p w14:paraId="1116E8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391" w:type="pct"/>
            <w:tcBorders>
              <w:top w:val="nil"/>
              <w:left w:val="nil"/>
              <w:bottom w:val="single" w:color="000000" w:sz="4" w:space="0"/>
              <w:right w:val="single" w:color="000000" w:sz="4" w:space="0"/>
            </w:tcBorders>
            <w:shd w:val="clear" w:color="auto" w:fill="auto"/>
            <w:noWrap/>
            <w:vAlign w:val="center"/>
          </w:tcPr>
          <w:p w14:paraId="535E3E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0.93</w:t>
            </w:r>
          </w:p>
        </w:tc>
        <w:tc>
          <w:tcPr>
            <w:tcW w:w="242" w:type="pct"/>
            <w:tcBorders>
              <w:top w:val="nil"/>
              <w:left w:val="nil"/>
              <w:bottom w:val="single" w:color="000000" w:sz="4" w:space="0"/>
              <w:right w:val="single" w:color="000000" w:sz="4" w:space="0"/>
            </w:tcBorders>
            <w:shd w:val="clear" w:color="auto" w:fill="auto"/>
            <w:noWrap/>
            <w:vAlign w:val="center"/>
          </w:tcPr>
          <w:p w14:paraId="7BEDB8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30226</w:t>
            </w:r>
          </w:p>
        </w:tc>
        <w:tc>
          <w:tcPr>
            <w:tcW w:w="749" w:type="pct"/>
            <w:tcBorders>
              <w:top w:val="nil"/>
              <w:left w:val="nil"/>
              <w:bottom w:val="single" w:color="000000" w:sz="4" w:space="0"/>
              <w:right w:val="single" w:color="000000" w:sz="4" w:space="0"/>
            </w:tcBorders>
            <w:shd w:val="clear" w:color="auto" w:fill="auto"/>
            <w:noWrap/>
            <w:vAlign w:val="center"/>
          </w:tcPr>
          <w:p w14:paraId="1D5306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295" w:type="pct"/>
            <w:tcBorders>
              <w:top w:val="nil"/>
              <w:left w:val="nil"/>
              <w:bottom w:val="single" w:color="000000" w:sz="4" w:space="0"/>
              <w:right w:val="single" w:color="000000" w:sz="4" w:space="0"/>
            </w:tcBorders>
            <w:shd w:val="clear" w:color="auto" w:fill="auto"/>
            <w:noWrap/>
            <w:vAlign w:val="center"/>
          </w:tcPr>
          <w:p w14:paraId="3ABB9C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242" w:type="pct"/>
            <w:tcBorders>
              <w:top w:val="nil"/>
              <w:left w:val="nil"/>
              <w:bottom w:val="single" w:color="000000" w:sz="4" w:space="0"/>
              <w:right w:val="single" w:color="000000" w:sz="4" w:space="0"/>
            </w:tcBorders>
            <w:shd w:val="clear" w:color="auto" w:fill="auto"/>
            <w:noWrap/>
            <w:vAlign w:val="center"/>
          </w:tcPr>
          <w:p w14:paraId="50C135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31099</w:t>
            </w:r>
          </w:p>
        </w:tc>
        <w:tc>
          <w:tcPr>
            <w:tcW w:w="1358" w:type="pct"/>
            <w:tcBorders>
              <w:top w:val="nil"/>
              <w:left w:val="nil"/>
              <w:bottom w:val="single" w:color="000000" w:sz="4" w:space="0"/>
              <w:right w:val="single" w:color="000000" w:sz="4" w:space="0"/>
            </w:tcBorders>
            <w:shd w:val="clear" w:color="auto" w:fill="auto"/>
            <w:noWrap/>
            <w:vAlign w:val="center"/>
          </w:tcPr>
          <w:p w14:paraId="1E4EFB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391" w:type="pct"/>
            <w:tcBorders>
              <w:top w:val="nil"/>
              <w:left w:val="nil"/>
              <w:bottom w:val="single" w:color="000000" w:sz="4" w:space="0"/>
              <w:right w:val="single" w:color="000000" w:sz="4" w:space="0"/>
            </w:tcBorders>
            <w:shd w:val="clear" w:color="auto" w:fill="auto"/>
            <w:noWrap/>
            <w:vAlign w:val="center"/>
          </w:tcPr>
          <w:p w14:paraId="598138E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C234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2E1958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30306</w:t>
            </w:r>
          </w:p>
        </w:tc>
        <w:tc>
          <w:tcPr>
            <w:tcW w:w="1087" w:type="pct"/>
            <w:tcBorders>
              <w:top w:val="nil"/>
              <w:left w:val="nil"/>
              <w:bottom w:val="single" w:color="000000" w:sz="4" w:space="0"/>
              <w:right w:val="single" w:color="000000" w:sz="4" w:space="0"/>
            </w:tcBorders>
            <w:shd w:val="clear" w:color="auto" w:fill="auto"/>
            <w:noWrap/>
            <w:vAlign w:val="center"/>
          </w:tcPr>
          <w:p w14:paraId="7CE307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391" w:type="pct"/>
            <w:tcBorders>
              <w:top w:val="nil"/>
              <w:left w:val="nil"/>
              <w:bottom w:val="single" w:color="000000" w:sz="4" w:space="0"/>
              <w:right w:val="single" w:color="000000" w:sz="4" w:space="0"/>
            </w:tcBorders>
            <w:shd w:val="clear" w:color="auto" w:fill="auto"/>
            <w:noWrap/>
            <w:vAlign w:val="center"/>
          </w:tcPr>
          <w:p w14:paraId="036E6F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51D632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30227</w:t>
            </w:r>
          </w:p>
        </w:tc>
        <w:tc>
          <w:tcPr>
            <w:tcW w:w="749" w:type="pct"/>
            <w:tcBorders>
              <w:top w:val="nil"/>
              <w:left w:val="nil"/>
              <w:bottom w:val="single" w:color="000000" w:sz="4" w:space="0"/>
              <w:right w:val="single" w:color="000000" w:sz="4" w:space="0"/>
            </w:tcBorders>
            <w:shd w:val="clear" w:color="auto" w:fill="auto"/>
            <w:noWrap/>
            <w:vAlign w:val="center"/>
          </w:tcPr>
          <w:p w14:paraId="60D187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295" w:type="pct"/>
            <w:tcBorders>
              <w:top w:val="nil"/>
              <w:left w:val="nil"/>
              <w:bottom w:val="single" w:color="000000" w:sz="4" w:space="0"/>
              <w:right w:val="single" w:color="000000" w:sz="4" w:space="0"/>
            </w:tcBorders>
            <w:shd w:val="clear" w:color="auto" w:fill="auto"/>
            <w:noWrap/>
            <w:vAlign w:val="center"/>
          </w:tcPr>
          <w:p w14:paraId="2C8D5FD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0.08</w:t>
            </w:r>
          </w:p>
        </w:tc>
        <w:tc>
          <w:tcPr>
            <w:tcW w:w="242" w:type="pct"/>
            <w:tcBorders>
              <w:top w:val="nil"/>
              <w:left w:val="nil"/>
              <w:bottom w:val="single" w:color="000000" w:sz="4" w:space="0"/>
              <w:right w:val="single" w:color="000000" w:sz="4" w:space="0"/>
            </w:tcBorders>
            <w:shd w:val="clear" w:color="auto" w:fill="auto"/>
            <w:noWrap/>
            <w:vAlign w:val="center"/>
          </w:tcPr>
          <w:p w14:paraId="2F8CC9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1358" w:type="pct"/>
            <w:tcBorders>
              <w:top w:val="nil"/>
              <w:left w:val="nil"/>
              <w:bottom w:val="single" w:color="000000" w:sz="4" w:space="0"/>
              <w:right w:val="single" w:color="000000" w:sz="4" w:space="0"/>
            </w:tcBorders>
            <w:shd w:val="clear" w:color="auto" w:fill="auto"/>
            <w:noWrap/>
            <w:vAlign w:val="center"/>
          </w:tcPr>
          <w:p w14:paraId="6DE48A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391" w:type="pct"/>
            <w:tcBorders>
              <w:top w:val="nil"/>
              <w:left w:val="nil"/>
              <w:bottom w:val="single" w:color="000000" w:sz="4" w:space="0"/>
              <w:right w:val="single" w:color="000000" w:sz="4" w:space="0"/>
            </w:tcBorders>
            <w:shd w:val="clear" w:color="auto" w:fill="auto"/>
            <w:noWrap/>
            <w:vAlign w:val="center"/>
          </w:tcPr>
          <w:p w14:paraId="5FFDBD6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F41A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5D18D1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30307</w:t>
            </w:r>
          </w:p>
        </w:tc>
        <w:tc>
          <w:tcPr>
            <w:tcW w:w="1087" w:type="pct"/>
            <w:tcBorders>
              <w:top w:val="nil"/>
              <w:left w:val="nil"/>
              <w:bottom w:val="single" w:color="000000" w:sz="4" w:space="0"/>
              <w:right w:val="single" w:color="000000" w:sz="4" w:space="0"/>
            </w:tcBorders>
            <w:shd w:val="clear" w:color="auto" w:fill="auto"/>
            <w:noWrap/>
            <w:vAlign w:val="center"/>
          </w:tcPr>
          <w:p w14:paraId="31385E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391" w:type="pct"/>
            <w:tcBorders>
              <w:top w:val="nil"/>
              <w:left w:val="nil"/>
              <w:bottom w:val="single" w:color="000000" w:sz="4" w:space="0"/>
              <w:right w:val="single" w:color="000000" w:sz="4" w:space="0"/>
            </w:tcBorders>
            <w:shd w:val="clear" w:color="auto" w:fill="auto"/>
            <w:noWrap/>
            <w:vAlign w:val="center"/>
          </w:tcPr>
          <w:p w14:paraId="77CA456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043F72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30228</w:t>
            </w:r>
          </w:p>
        </w:tc>
        <w:tc>
          <w:tcPr>
            <w:tcW w:w="749" w:type="pct"/>
            <w:tcBorders>
              <w:top w:val="nil"/>
              <w:left w:val="nil"/>
              <w:bottom w:val="single" w:color="000000" w:sz="4" w:space="0"/>
              <w:right w:val="single" w:color="000000" w:sz="4" w:space="0"/>
            </w:tcBorders>
            <w:shd w:val="clear" w:color="auto" w:fill="auto"/>
            <w:noWrap/>
            <w:vAlign w:val="center"/>
          </w:tcPr>
          <w:p w14:paraId="6C4895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295" w:type="pct"/>
            <w:tcBorders>
              <w:top w:val="nil"/>
              <w:left w:val="nil"/>
              <w:bottom w:val="single" w:color="000000" w:sz="4" w:space="0"/>
              <w:right w:val="single" w:color="000000" w:sz="4" w:space="0"/>
            </w:tcBorders>
            <w:shd w:val="clear" w:color="auto" w:fill="auto"/>
            <w:noWrap/>
            <w:vAlign w:val="center"/>
          </w:tcPr>
          <w:p w14:paraId="1AE3756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20.44</w:t>
            </w:r>
          </w:p>
        </w:tc>
        <w:tc>
          <w:tcPr>
            <w:tcW w:w="242" w:type="pct"/>
            <w:tcBorders>
              <w:top w:val="nil"/>
              <w:left w:val="nil"/>
              <w:bottom w:val="single" w:color="000000" w:sz="4" w:space="0"/>
              <w:right w:val="single" w:color="000000" w:sz="4" w:space="0"/>
            </w:tcBorders>
            <w:shd w:val="clear" w:color="auto" w:fill="auto"/>
            <w:noWrap/>
            <w:vAlign w:val="center"/>
          </w:tcPr>
          <w:p w14:paraId="204FEB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39907</w:t>
            </w:r>
          </w:p>
        </w:tc>
        <w:tc>
          <w:tcPr>
            <w:tcW w:w="1358" w:type="pct"/>
            <w:tcBorders>
              <w:top w:val="nil"/>
              <w:left w:val="nil"/>
              <w:bottom w:val="single" w:color="000000" w:sz="4" w:space="0"/>
              <w:right w:val="single" w:color="000000" w:sz="4" w:space="0"/>
            </w:tcBorders>
            <w:shd w:val="clear" w:color="auto" w:fill="auto"/>
            <w:noWrap/>
            <w:vAlign w:val="center"/>
          </w:tcPr>
          <w:p w14:paraId="15D5EF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391" w:type="pct"/>
            <w:tcBorders>
              <w:top w:val="nil"/>
              <w:left w:val="nil"/>
              <w:bottom w:val="single" w:color="000000" w:sz="4" w:space="0"/>
              <w:right w:val="single" w:color="000000" w:sz="4" w:space="0"/>
            </w:tcBorders>
            <w:shd w:val="clear" w:color="auto" w:fill="auto"/>
            <w:noWrap/>
            <w:vAlign w:val="center"/>
          </w:tcPr>
          <w:p w14:paraId="7B38085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984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481366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30308</w:t>
            </w:r>
          </w:p>
        </w:tc>
        <w:tc>
          <w:tcPr>
            <w:tcW w:w="1087" w:type="pct"/>
            <w:tcBorders>
              <w:top w:val="nil"/>
              <w:left w:val="nil"/>
              <w:bottom w:val="single" w:color="000000" w:sz="4" w:space="0"/>
              <w:right w:val="single" w:color="000000" w:sz="4" w:space="0"/>
            </w:tcBorders>
            <w:shd w:val="clear" w:color="auto" w:fill="auto"/>
            <w:noWrap/>
            <w:vAlign w:val="center"/>
          </w:tcPr>
          <w:p w14:paraId="50B96A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391" w:type="pct"/>
            <w:tcBorders>
              <w:top w:val="nil"/>
              <w:left w:val="nil"/>
              <w:bottom w:val="single" w:color="000000" w:sz="4" w:space="0"/>
              <w:right w:val="single" w:color="000000" w:sz="4" w:space="0"/>
            </w:tcBorders>
            <w:shd w:val="clear" w:color="auto" w:fill="auto"/>
            <w:noWrap/>
            <w:vAlign w:val="center"/>
          </w:tcPr>
          <w:p w14:paraId="2618B6D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7E2F7E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30229</w:t>
            </w:r>
          </w:p>
        </w:tc>
        <w:tc>
          <w:tcPr>
            <w:tcW w:w="749" w:type="pct"/>
            <w:tcBorders>
              <w:top w:val="nil"/>
              <w:left w:val="nil"/>
              <w:bottom w:val="single" w:color="000000" w:sz="4" w:space="0"/>
              <w:right w:val="single" w:color="000000" w:sz="4" w:space="0"/>
            </w:tcBorders>
            <w:shd w:val="clear" w:color="auto" w:fill="auto"/>
            <w:noWrap/>
            <w:vAlign w:val="center"/>
          </w:tcPr>
          <w:p w14:paraId="3A15A8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295" w:type="pct"/>
            <w:tcBorders>
              <w:top w:val="nil"/>
              <w:left w:val="nil"/>
              <w:bottom w:val="single" w:color="000000" w:sz="4" w:space="0"/>
              <w:right w:val="single" w:color="000000" w:sz="4" w:space="0"/>
            </w:tcBorders>
            <w:shd w:val="clear" w:color="auto" w:fill="auto"/>
            <w:noWrap/>
            <w:vAlign w:val="center"/>
          </w:tcPr>
          <w:p w14:paraId="09243E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301883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39908</w:t>
            </w:r>
          </w:p>
        </w:tc>
        <w:tc>
          <w:tcPr>
            <w:tcW w:w="1358" w:type="pct"/>
            <w:tcBorders>
              <w:top w:val="nil"/>
              <w:left w:val="nil"/>
              <w:bottom w:val="single" w:color="000000" w:sz="4" w:space="0"/>
              <w:right w:val="single" w:color="000000" w:sz="4" w:space="0"/>
            </w:tcBorders>
            <w:shd w:val="clear" w:color="auto" w:fill="auto"/>
            <w:noWrap/>
            <w:vAlign w:val="center"/>
          </w:tcPr>
          <w:p w14:paraId="6AF60C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对民间非营利组织和群众性自治组织补贴</w:t>
            </w:r>
          </w:p>
        </w:tc>
        <w:tc>
          <w:tcPr>
            <w:tcW w:w="391" w:type="pct"/>
            <w:tcBorders>
              <w:top w:val="nil"/>
              <w:left w:val="nil"/>
              <w:bottom w:val="single" w:color="000000" w:sz="4" w:space="0"/>
              <w:right w:val="single" w:color="000000" w:sz="4" w:space="0"/>
            </w:tcBorders>
            <w:shd w:val="clear" w:color="auto" w:fill="auto"/>
            <w:noWrap/>
            <w:vAlign w:val="center"/>
          </w:tcPr>
          <w:p w14:paraId="4E0146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34B1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71C0DD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30309</w:t>
            </w:r>
          </w:p>
        </w:tc>
        <w:tc>
          <w:tcPr>
            <w:tcW w:w="1087" w:type="pct"/>
            <w:tcBorders>
              <w:top w:val="nil"/>
              <w:left w:val="nil"/>
              <w:bottom w:val="single" w:color="000000" w:sz="4" w:space="0"/>
              <w:right w:val="single" w:color="000000" w:sz="4" w:space="0"/>
            </w:tcBorders>
            <w:shd w:val="clear" w:color="auto" w:fill="auto"/>
            <w:noWrap/>
            <w:vAlign w:val="center"/>
          </w:tcPr>
          <w:p w14:paraId="52C3F1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391" w:type="pct"/>
            <w:tcBorders>
              <w:top w:val="nil"/>
              <w:left w:val="nil"/>
              <w:bottom w:val="single" w:color="000000" w:sz="4" w:space="0"/>
              <w:right w:val="single" w:color="000000" w:sz="4" w:space="0"/>
            </w:tcBorders>
            <w:shd w:val="clear" w:color="auto" w:fill="auto"/>
            <w:noWrap/>
            <w:vAlign w:val="center"/>
          </w:tcPr>
          <w:p w14:paraId="346460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w:t>
            </w:r>
          </w:p>
        </w:tc>
        <w:tc>
          <w:tcPr>
            <w:tcW w:w="242" w:type="pct"/>
            <w:tcBorders>
              <w:top w:val="nil"/>
              <w:left w:val="nil"/>
              <w:bottom w:val="single" w:color="000000" w:sz="4" w:space="0"/>
              <w:right w:val="single" w:color="000000" w:sz="4" w:space="0"/>
            </w:tcBorders>
            <w:shd w:val="clear" w:color="auto" w:fill="auto"/>
            <w:noWrap/>
            <w:vAlign w:val="center"/>
          </w:tcPr>
          <w:p w14:paraId="657626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30231</w:t>
            </w:r>
          </w:p>
        </w:tc>
        <w:tc>
          <w:tcPr>
            <w:tcW w:w="749" w:type="pct"/>
            <w:tcBorders>
              <w:top w:val="nil"/>
              <w:left w:val="nil"/>
              <w:bottom w:val="single" w:color="000000" w:sz="4" w:space="0"/>
              <w:right w:val="single" w:color="000000" w:sz="4" w:space="0"/>
            </w:tcBorders>
            <w:shd w:val="clear" w:color="auto" w:fill="auto"/>
            <w:noWrap/>
            <w:vAlign w:val="center"/>
          </w:tcPr>
          <w:p w14:paraId="494337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公务用车运行维护费</w:t>
            </w:r>
          </w:p>
        </w:tc>
        <w:tc>
          <w:tcPr>
            <w:tcW w:w="295" w:type="pct"/>
            <w:tcBorders>
              <w:top w:val="nil"/>
              <w:left w:val="nil"/>
              <w:bottom w:val="single" w:color="000000" w:sz="4" w:space="0"/>
              <w:right w:val="single" w:color="000000" w:sz="4" w:space="0"/>
            </w:tcBorders>
            <w:shd w:val="clear" w:color="auto" w:fill="auto"/>
            <w:noWrap/>
            <w:vAlign w:val="center"/>
          </w:tcPr>
          <w:p w14:paraId="2ECE1C4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66E14A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39909</w:t>
            </w:r>
          </w:p>
        </w:tc>
        <w:tc>
          <w:tcPr>
            <w:tcW w:w="1358" w:type="pct"/>
            <w:tcBorders>
              <w:top w:val="nil"/>
              <w:left w:val="nil"/>
              <w:bottom w:val="single" w:color="000000" w:sz="4" w:space="0"/>
              <w:right w:val="single" w:color="000000" w:sz="4" w:space="0"/>
            </w:tcBorders>
            <w:shd w:val="clear" w:color="auto" w:fill="auto"/>
            <w:noWrap/>
            <w:vAlign w:val="center"/>
          </w:tcPr>
          <w:p w14:paraId="33304B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经常性赠与</w:t>
            </w:r>
          </w:p>
        </w:tc>
        <w:tc>
          <w:tcPr>
            <w:tcW w:w="391" w:type="pct"/>
            <w:tcBorders>
              <w:top w:val="nil"/>
              <w:left w:val="nil"/>
              <w:bottom w:val="single" w:color="000000" w:sz="4" w:space="0"/>
              <w:right w:val="single" w:color="000000" w:sz="4" w:space="0"/>
            </w:tcBorders>
            <w:shd w:val="clear" w:color="auto" w:fill="auto"/>
            <w:noWrap/>
            <w:vAlign w:val="center"/>
          </w:tcPr>
          <w:p w14:paraId="4093B0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AB3D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07F887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30310</w:t>
            </w:r>
          </w:p>
        </w:tc>
        <w:tc>
          <w:tcPr>
            <w:tcW w:w="1087" w:type="pct"/>
            <w:tcBorders>
              <w:top w:val="nil"/>
              <w:left w:val="nil"/>
              <w:bottom w:val="single" w:color="000000" w:sz="4" w:space="0"/>
              <w:right w:val="single" w:color="000000" w:sz="4" w:space="0"/>
            </w:tcBorders>
            <w:shd w:val="clear" w:color="auto" w:fill="auto"/>
            <w:noWrap/>
            <w:vAlign w:val="center"/>
          </w:tcPr>
          <w:p w14:paraId="0EDD25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391" w:type="pct"/>
            <w:tcBorders>
              <w:top w:val="nil"/>
              <w:left w:val="nil"/>
              <w:bottom w:val="single" w:color="000000" w:sz="4" w:space="0"/>
              <w:right w:val="single" w:color="000000" w:sz="4" w:space="0"/>
            </w:tcBorders>
            <w:shd w:val="clear" w:color="auto" w:fill="auto"/>
            <w:noWrap/>
            <w:vAlign w:val="center"/>
          </w:tcPr>
          <w:p w14:paraId="676C1C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32FEDE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30239</w:t>
            </w:r>
          </w:p>
        </w:tc>
        <w:tc>
          <w:tcPr>
            <w:tcW w:w="749" w:type="pct"/>
            <w:tcBorders>
              <w:top w:val="nil"/>
              <w:left w:val="nil"/>
              <w:bottom w:val="single" w:color="000000" w:sz="4" w:space="0"/>
              <w:right w:val="single" w:color="000000" w:sz="4" w:space="0"/>
            </w:tcBorders>
            <w:shd w:val="clear" w:color="auto" w:fill="auto"/>
            <w:noWrap/>
            <w:vAlign w:val="center"/>
          </w:tcPr>
          <w:p w14:paraId="3006FB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295" w:type="pct"/>
            <w:tcBorders>
              <w:top w:val="nil"/>
              <w:left w:val="nil"/>
              <w:bottom w:val="single" w:color="000000" w:sz="4" w:space="0"/>
              <w:right w:val="single" w:color="000000" w:sz="4" w:space="0"/>
            </w:tcBorders>
            <w:shd w:val="clear" w:color="auto" w:fill="auto"/>
            <w:noWrap/>
            <w:vAlign w:val="center"/>
          </w:tcPr>
          <w:p w14:paraId="204316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18.98</w:t>
            </w:r>
          </w:p>
        </w:tc>
        <w:tc>
          <w:tcPr>
            <w:tcW w:w="242" w:type="pct"/>
            <w:tcBorders>
              <w:top w:val="nil"/>
              <w:left w:val="nil"/>
              <w:bottom w:val="single" w:color="000000" w:sz="4" w:space="0"/>
              <w:right w:val="single" w:color="000000" w:sz="4" w:space="0"/>
            </w:tcBorders>
            <w:shd w:val="clear" w:color="auto" w:fill="auto"/>
            <w:noWrap/>
            <w:vAlign w:val="center"/>
          </w:tcPr>
          <w:p w14:paraId="2D3AF6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39910</w:t>
            </w:r>
          </w:p>
        </w:tc>
        <w:tc>
          <w:tcPr>
            <w:tcW w:w="1358" w:type="pct"/>
            <w:tcBorders>
              <w:top w:val="nil"/>
              <w:left w:val="nil"/>
              <w:bottom w:val="single" w:color="000000" w:sz="4" w:space="0"/>
              <w:right w:val="single" w:color="000000" w:sz="4" w:space="0"/>
            </w:tcBorders>
            <w:shd w:val="clear" w:color="auto" w:fill="auto"/>
            <w:noWrap/>
            <w:vAlign w:val="center"/>
          </w:tcPr>
          <w:p w14:paraId="39C498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资本性赠与</w:t>
            </w:r>
          </w:p>
        </w:tc>
        <w:tc>
          <w:tcPr>
            <w:tcW w:w="391" w:type="pct"/>
            <w:tcBorders>
              <w:top w:val="nil"/>
              <w:left w:val="nil"/>
              <w:bottom w:val="single" w:color="000000" w:sz="4" w:space="0"/>
              <w:right w:val="single" w:color="000000" w:sz="4" w:space="0"/>
            </w:tcBorders>
            <w:shd w:val="clear" w:color="auto" w:fill="auto"/>
            <w:noWrap/>
            <w:vAlign w:val="center"/>
          </w:tcPr>
          <w:p w14:paraId="588EC9F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62C7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15EBD0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30311</w:t>
            </w:r>
          </w:p>
        </w:tc>
        <w:tc>
          <w:tcPr>
            <w:tcW w:w="1087" w:type="pct"/>
            <w:tcBorders>
              <w:top w:val="nil"/>
              <w:left w:val="nil"/>
              <w:bottom w:val="single" w:color="000000" w:sz="4" w:space="0"/>
              <w:right w:val="single" w:color="000000" w:sz="4" w:space="0"/>
            </w:tcBorders>
            <w:shd w:val="clear" w:color="auto" w:fill="auto"/>
            <w:noWrap/>
            <w:vAlign w:val="center"/>
          </w:tcPr>
          <w:p w14:paraId="7515C3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391" w:type="pct"/>
            <w:tcBorders>
              <w:top w:val="nil"/>
              <w:left w:val="nil"/>
              <w:bottom w:val="single" w:color="000000" w:sz="4" w:space="0"/>
              <w:right w:val="single" w:color="000000" w:sz="4" w:space="0"/>
            </w:tcBorders>
            <w:shd w:val="clear" w:color="auto" w:fill="auto"/>
            <w:noWrap/>
            <w:vAlign w:val="center"/>
          </w:tcPr>
          <w:p w14:paraId="52F8B42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61F48B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30240</w:t>
            </w:r>
          </w:p>
        </w:tc>
        <w:tc>
          <w:tcPr>
            <w:tcW w:w="749" w:type="pct"/>
            <w:tcBorders>
              <w:top w:val="nil"/>
              <w:left w:val="nil"/>
              <w:bottom w:val="single" w:color="000000" w:sz="4" w:space="0"/>
              <w:right w:val="single" w:color="000000" w:sz="4" w:space="0"/>
            </w:tcBorders>
            <w:shd w:val="clear" w:color="auto" w:fill="auto"/>
            <w:noWrap/>
            <w:vAlign w:val="center"/>
          </w:tcPr>
          <w:p w14:paraId="525484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295" w:type="pct"/>
            <w:tcBorders>
              <w:top w:val="nil"/>
              <w:left w:val="nil"/>
              <w:bottom w:val="single" w:color="000000" w:sz="4" w:space="0"/>
              <w:right w:val="single" w:color="000000" w:sz="4" w:space="0"/>
            </w:tcBorders>
            <w:shd w:val="clear" w:color="auto" w:fill="auto"/>
            <w:noWrap/>
            <w:vAlign w:val="center"/>
          </w:tcPr>
          <w:p w14:paraId="481968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1770E3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39999</w:t>
            </w:r>
          </w:p>
        </w:tc>
        <w:tc>
          <w:tcPr>
            <w:tcW w:w="1358" w:type="pct"/>
            <w:tcBorders>
              <w:top w:val="nil"/>
              <w:left w:val="nil"/>
              <w:bottom w:val="single" w:color="000000" w:sz="4" w:space="0"/>
              <w:right w:val="single" w:color="000000" w:sz="4" w:space="0"/>
            </w:tcBorders>
            <w:shd w:val="clear" w:color="auto" w:fill="auto"/>
            <w:noWrap/>
            <w:vAlign w:val="center"/>
          </w:tcPr>
          <w:p w14:paraId="7C664D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391" w:type="pct"/>
            <w:tcBorders>
              <w:top w:val="nil"/>
              <w:left w:val="nil"/>
              <w:bottom w:val="single" w:color="000000" w:sz="4" w:space="0"/>
              <w:right w:val="single" w:color="000000" w:sz="4" w:space="0"/>
            </w:tcBorders>
            <w:shd w:val="clear" w:color="auto" w:fill="auto"/>
            <w:noWrap/>
            <w:vAlign w:val="center"/>
          </w:tcPr>
          <w:p w14:paraId="4B63FA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EA7D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2" w:type="pct"/>
            <w:tcBorders>
              <w:top w:val="nil"/>
              <w:left w:val="single" w:color="000000" w:sz="4" w:space="0"/>
              <w:bottom w:val="single" w:color="000000" w:sz="4" w:space="0"/>
              <w:right w:val="single" w:color="000000" w:sz="4" w:space="0"/>
            </w:tcBorders>
            <w:shd w:val="clear" w:color="auto" w:fill="auto"/>
            <w:noWrap/>
            <w:vAlign w:val="center"/>
          </w:tcPr>
          <w:p w14:paraId="147E75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30399</w:t>
            </w:r>
          </w:p>
        </w:tc>
        <w:tc>
          <w:tcPr>
            <w:tcW w:w="1087" w:type="pct"/>
            <w:tcBorders>
              <w:top w:val="nil"/>
              <w:left w:val="nil"/>
              <w:bottom w:val="single" w:color="000000" w:sz="4" w:space="0"/>
              <w:right w:val="single" w:color="000000" w:sz="4" w:space="0"/>
            </w:tcBorders>
            <w:shd w:val="clear" w:color="auto" w:fill="auto"/>
            <w:noWrap/>
            <w:vAlign w:val="center"/>
          </w:tcPr>
          <w:p w14:paraId="5C5B12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391" w:type="pct"/>
            <w:tcBorders>
              <w:top w:val="nil"/>
              <w:left w:val="nil"/>
              <w:bottom w:val="single" w:color="000000" w:sz="4" w:space="0"/>
              <w:right w:val="single" w:color="000000" w:sz="4" w:space="0"/>
            </w:tcBorders>
            <w:shd w:val="clear" w:color="auto" w:fill="auto"/>
            <w:noWrap/>
            <w:vAlign w:val="center"/>
          </w:tcPr>
          <w:p w14:paraId="41D4A6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42" w:type="pct"/>
            <w:tcBorders>
              <w:top w:val="nil"/>
              <w:left w:val="nil"/>
              <w:bottom w:val="single" w:color="000000" w:sz="4" w:space="0"/>
              <w:right w:val="single" w:color="000000" w:sz="4" w:space="0"/>
            </w:tcBorders>
            <w:shd w:val="clear" w:color="auto" w:fill="auto"/>
            <w:noWrap/>
            <w:vAlign w:val="center"/>
          </w:tcPr>
          <w:p w14:paraId="5F0E02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30299</w:t>
            </w:r>
          </w:p>
        </w:tc>
        <w:tc>
          <w:tcPr>
            <w:tcW w:w="749" w:type="pct"/>
            <w:tcBorders>
              <w:top w:val="nil"/>
              <w:left w:val="nil"/>
              <w:bottom w:val="single" w:color="000000" w:sz="4" w:space="0"/>
              <w:right w:val="single" w:color="000000" w:sz="4" w:space="0"/>
            </w:tcBorders>
            <w:shd w:val="clear" w:color="auto" w:fill="auto"/>
            <w:noWrap/>
            <w:vAlign w:val="center"/>
          </w:tcPr>
          <w:p w14:paraId="47823E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其他商品和服务支出</w:t>
            </w:r>
          </w:p>
        </w:tc>
        <w:tc>
          <w:tcPr>
            <w:tcW w:w="295" w:type="pct"/>
            <w:tcBorders>
              <w:top w:val="nil"/>
              <w:left w:val="nil"/>
              <w:bottom w:val="single" w:color="000000" w:sz="4" w:space="0"/>
              <w:right w:val="single" w:color="000000" w:sz="4" w:space="0"/>
            </w:tcBorders>
            <w:shd w:val="clear" w:color="auto" w:fill="auto"/>
            <w:noWrap/>
            <w:vAlign w:val="center"/>
          </w:tcPr>
          <w:p w14:paraId="57D1D1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0.86</w:t>
            </w:r>
          </w:p>
        </w:tc>
        <w:tc>
          <w:tcPr>
            <w:tcW w:w="242" w:type="pct"/>
            <w:tcBorders>
              <w:top w:val="nil"/>
              <w:left w:val="nil"/>
              <w:bottom w:val="single" w:color="000000" w:sz="4" w:space="0"/>
              <w:right w:val="single" w:color="000000" w:sz="4" w:space="0"/>
            </w:tcBorders>
            <w:shd w:val="clear" w:color="auto" w:fill="auto"/>
            <w:noWrap/>
            <w:vAlign w:val="center"/>
          </w:tcPr>
          <w:p w14:paraId="11813C40">
            <w:pPr>
              <w:jc w:val="left"/>
              <w:rPr>
                <w:rFonts w:hint="eastAsia" w:ascii="宋体" w:hAnsi="宋体" w:eastAsia="宋体" w:cs="宋体"/>
                <w:i w:val="0"/>
                <w:iCs w:val="0"/>
                <w:color w:val="000000"/>
                <w:sz w:val="20"/>
                <w:szCs w:val="20"/>
                <w:u w:val="none"/>
              </w:rPr>
            </w:pPr>
          </w:p>
        </w:tc>
        <w:tc>
          <w:tcPr>
            <w:tcW w:w="1358" w:type="pct"/>
            <w:tcBorders>
              <w:top w:val="nil"/>
              <w:left w:val="nil"/>
              <w:bottom w:val="single" w:color="000000" w:sz="4" w:space="0"/>
              <w:right w:val="single" w:color="000000" w:sz="4" w:space="0"/>
            </w:tcBorders>
            <w:shd w:val="clear" w:color="auto" w:fill="auto"/>
            <w:noWrap/>
            <w:vAlign w:val="center"/>
          </w:tcPr>
          <w:p w14:paraId="46ABA586">
            <w:pPr>
              <w:jc w:val="left"/>
              <w:rPr>
                <w:rFonts w:hint="eastAsia" w:ascii="宋体" w:hAnsi="宋体" w:eastAsia="宋体" w:cs="宋体"/>
                <w:i w:val="0"/>
                <w:iCs w:val="0"/>
                <w:color w:val="000000"/>
                <w:sz w:val="20"/>
                <w:szCs w:val="20"/>
                <w:u w:val="none"/>
              </w:rPr>
            </w:pPr>
          </w:p>
        </w:tc>
        <w:tc>
          <w:tcPr>
            <w:tcW w:w="391" w:type="pct"/>
            <w:tcBorders>
              <w:top w:val="nil"/>
              <w:left w:val="nil"/>
              <w:bottom w:val="single" w:color="000000" w:sz="4" w:space="0"/>
              <w:right w:val="single" w:color="000000" w:sz="4" w:space="0"/>
            </w:tcBorders>
            <w:shd w:val="clear" w:color="auto" w:fill="auto"/>
            <w:noWrap/>
            <w:vAlign w:val="center"/>
          </w:tcPr>
          <w:p w14:paraId="09439045">
            <w:pPr>
              <w:jc w:val="right"/>
              <w:rPr>
                <w:rFonts w:hint="eastAsia" w:ascii="宋体" w:hAnsi="宋体" w:eastAsia="宋体" w:cs="宋体"/>
                <w:i w:val="0"/>
                <w:iCs w:val="0"/>
                <w:color w:val="000000"/>
                <w:sz w:val="20"/>
                <w:szCs w:val="20"/>
                <w:u w:val="none"/>
              </w:rPr>
            </w:pPr>
          </w:p>
        </w:tc>
      </w:tr>
      <w:tr w14:paraId="68DA1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329" w:type="pct"/>
            <w:gridSpan w:val="2"/>
            <w:tcBorders>
              <w:top w:val="nil"/>
              <w:left w:val="single" w:color="000000" w:sz="4" w:space="0"/>
              <w:bottom w:val="single" w:color="000000" w:sz="4" w:space="0"/>
              <w:right w:val="single" w:color="000000" w:sz="4" w:space="0"/>
            </w:tcBorders>
            <w:shd w:val="clear" w:color="auto" w:fill="auto"/>
            <w:noWrap/>
            <w:vAlign w:val="center"/>
          </w:tcPr>
          <w:p w14:paraId="589DD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人员经费合计</w:t>
            </w:r>
          </w:p>
        </w:tc>
        <w:tc>
          <w:tcPr>
            <w:tcW w:w="391" w:type="pct"/>
            <w:tcBorders>
              <w:top w:val="nil"/>
              <w:left w:val="nil"/>
              <w:bottom w:val="single" w:color="000000" w:sz="4" w:space="0"/>
              <w:right w:val="single" w:color="000000" w:sz="4" w:space="0"/>
            </w:tcBorders>
            <w:shd w:val="clear" w:color="auto" w:fill="auto"/>
            <w:noWrap/>
            <w:vAlign w:val="center"/>
          </w:tcPr>
          <w:p w14:paraId="6B70CE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347.87</w:t>
            </w:r>
          </w:p>
        </w:tc>
        <w:tc>
          <w:tcPr>
            <w:tcW w:w="2887" w:type="pct"/>
            <w:gridSpan w:val="5"/>
            <w:tcBorders>
              <w:top w:val="nil"/>
              <w:left w:val="nil"/>
              <w:bottom w:val="single" w:color="000000" w:sz="4" w:space="0"/>
              <w:right w:val="single" w:color="000000" w:sz="4" w:space="0"/>
            </w:tcBorders>
            <w:shd w:val="clear" w:color="auto" w:fill="auto"/>
            <w:noWrap/>
            <w:vAlign w:val="center"/>
          </w:tcPr>
          <w:p w14:paraId="10900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公用经费合计</w:t>
            </w:r>
          </w:p>
        </w:tc>
        <w:tc>
          <w:tcPr>
            <w:tcW w:w="391" w:type="pct"/>
            <w:tcBorders>
              <w:top w:val="nil"/>
              <w:left w:val="nil"/>
              <w:bottom w:val="single" w:color="000000" w:sz="4" w:space="0"/>
              <w:right w:val="single" w:color="000000" w:sz="4" w:space="0"/>
            </w:tcBorders>
            <w:shd w:val="clear" w:color="auto" w:fill="auto"/>
            <w:noWrap/>
            <w:vAlign w:val="center"/>
          </w:tcPr>
          <w:p w14:paraId="434EB9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46.54</w:t>
            </w:r>
          </w:p>
        </w:tc>
      </w:tr>
    </w:tbl>
    <w:p w14:paraId="276C0051">
      <w:pPr>
        <w:widowControl/>
        <w:shd w:val="clear"/>
        <w:jc w:val="left"/>
        <w:rPr>
          <w:rFonts w:hint="eastAsia" w:ascii="Times New Roman" w:hAnsi="Times New Roman" w:eastAsia="仿宋_GB2312" w:cs="Times New Roman"/>
          <w:i w:val="0"/>
          <w:iCs w:val="0"/>
          <w:color w:val="000000"/>
          <w:kern w:val="0"/>
          <w:szCs w:val="24"/>
        </w:rPr>
      </w:pPr>
      <w:r>
        <w:rPr>
          <w:rFonts w:ascii="Times New Roman" w:hAnsi="Times New Roman" w:eastAsia="仿宋_GB2312" w:cs="Times New Roman"/>
          <w:i w:val="0"/>
          <w:iCs w:val="0"/>
          <w:color w:val="000000"/>
          <w:kern w:val="0"/>
          <w:szCs w:val="24"/>
        </w:rPr>
        <w:t>注：</w:t>
      </w:r>
      <w:r>
        <w:rPr>
          <w:rFonts w:hint="eastAsia" w:ascii="Times New Roman" w:hAnsi="Times New Roman" w:eastAsia="仿宋_GB2312" w:cs="Times New Roman"/>
          <w:i w:val="0"/>
          <w:iCs w:val="0"/>
          <w:color w:val="000000"/>
          <w:kern w:val="0"/>
          <w:szCs w:val="24"/>
        </w:rPr>
        <w:t>1.本表依据《一般公共预算财政拨款基本支出决算明细表》（财决08-1表）进行批复。</w:t>
      </w:r>
    </w:p>
    <w:p w14:paraId="526953E8">
      <w:pPr>
        <w:widowControl/>
        <w:shd w:val="clear"/>
        <w:jc w:val="left"/>
        <w:rPr>
          <w:rFonts w:ascii="Times New Roman" w:hAnsi="Times New Roman" w:eastAsia="仿宋_GB2312" w:cs="Times New Roman"/>
          <w:i w:val="0"/>
          <w:iCs w:val="0"/>
          <w:color w:val="000000"/>
          <w:kern w:val="0"/>
          <w:sz w:val="32"/>
          <w:szCs w:val="32"/>
          <w:lang w:bidi="ar"/>
        </w:rPr>
      </w:pPr>
      <w:r>
        <w:rPr>
          <w:rFonts w:hint="eastAsia" w:ascii="Times New Roman" w:hAnsi="Times New Roman" w:eastAsia="仿宋_GB2312" w:cs="Times New Roman"/>
          <w:i w:val="0"/>
          <w:iCs w:val="0"/>
          <w:color w:val="000000"/>
          <w:kern w:val="0"/>
          <w:szCs w:val="24"/>
        </w:rPr>
        <w:t xml:space="preserve">    2.本表以“万元”为金额单位（保留两位小数）。</w:t>
      </w:r>
    </w:p>
    <w:p w14:paraId="203170E1">
      <w:pP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br w:type="page"/>
      </w:r>
    </w:p>
    <w:p w14:paraId="5331947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hint="eastAsia" w:ascii="方正小标宋简体" w:hAnsi="方正小标宋简体" w:eastAsia="方正小标宋简体" w:cs="方正小标宋简体"/>
          <w:b w:val="0"/>
          <w:bCs w:val="0"/>
          <w:i w:val="0"/>
          <w:iCs w:val="0"/>
          <w:caps w:val="0"/>
          <w:color w:val="000000"/>
          <w:spacing w:val="0"/>
          <w:sz w:val="44"/>
          <w:szCs w:val="44"/>
          <w:shd w:val="clear" w:color="auto" w:fill="FFFFFF"/>
        </w:rPr>
        <w:t>政府性基金预算财政拨款收入支出决算批复</w:t>
      </w: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表</w:t>
      </w:r>
    </w:p>
    <w:p w14:paraId="3D81BB47">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hint="eastAsia" w:ascii="Times New Roman" w:hAnsi="Times New Roman" w:eastAsia="仿宋_GB2312" w:cs="Times New Roman"/>
          <w:i w:val="0"/>
          <w:iCs w:val="0"/>
          <w:color w:val="000000"/>
          <w:kern w:val="0"/>
          <w:sz w:val="20"/>
          <w:szCs w:val="20"/>
          <w:lang w:bidi="ar"/>
        </w:rPr>
        <w:t>财决批复</w:t>
      </w:r>
      <w:r>
        <w:rPr>
          <w:rFonts w:ascii="Times New Roman" w:hAnsi="Times New Roman" w:eastAsia="仿宋_GB2312" w:cs="Times New Roman"/>
          <w:i w:val="0"/>
          <w:iCs w:val="0"/>
          <w:color w:val="000000"/>
          <w:kern w:val="0"/>
          <w:sz w:val="20"/>
          <w:szCs w:val="20"/>
          <w:lang w:bidi="ar"/>
        </w:rPr>
        <w:t>07表</w:t>
      </w:r>
    </w:p>
    <w:p w14:paraId="45FE9A97">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部门：</w:t>
      </w:r>
      <w:r>
        <w:rPr>
          <w:rFonts w:hint="eastAsia" w:ascii="Times New Roman" w:hAnsi="Times New Roman" w:eastAsia="仿宋_GB2312" w:cs="Times New Roman"/>
          <w:i w:val="0"/>
          <w:iCs w:val="0"/>
          <w:color w:val="000000"/>
          <w:kern w:val="0"/>
          <w:sz w:val="20"/>
          <w:szCs w:val="20"/>
          <w:lang w:bidi="ar"/>
        </w:rPr>
        <w:t>怀化市医疗保障局</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hint="eastAsia" w:ascii="Times New Roman" w:hAnsi="Times New Roman" w:eastAsia="仿宋_GB2312" w:cs="Times New Roman"/>
          <w:i w:val="0"/>
          <w:iCs w:val="0"/>
          <w:color w:val="000000"/>
          <w:sz w:val="20"/>
          <w:szCs w:val="20"/>
          <w:lang w:val="en-US" w:eastAsia="zh-CN"/>
        </w:rPr>
        <w:t xml:space="preserve">  </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hint="eastAsia" w:ascii="Times New Roman" w:hAnsi="Times New Roman" w:eastAsia="仿宋_GB2312" w:cs="Times New Roman"/>
          <w:i w:val="0"/>
          <w:iCs w:val="0"/>
          <w:color w:val="000000"/>
          <w:sz w:val="20"/>
          <w:szCs w:val="20"/>
          <w:lang w:eastAsia="zh-CN"/>
        </w:rPr>
        <w:t>金额</w:t>
      </w:r>
      <w:r>
        <w:rPr>
          <w:rFonts w:ascii="Times New Roman" w:hAnsi="Times New Roman" w:eastAsia="仿宋_GB2312" w:cs="Times New Roman"/>
          <w:i w:val="0"/>
          <w:iCs w:val="0"/>
          <w:color w:val="000000"/>
          <w:kern w:val="0"/>
          <w:sz w:val="20"/>
          <w:szCs w:val="20"/>
          <w:lang w:bidi="ar"/>
        </w:rPr>
        <w:t>单位：万元</w:t>
      </w:r>
    </w:p>
    <w:tbl>
      <w:tblPr>
        <w:tblStyle w:val="9"/>
        <w:tblW w:w="494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6"/>
        <w:gridCol w:w="416"/>
        <w:gridCol w:w="421"/>
        <w:gridCol w:w="2098"/>
        <w:gridCol w:w="691"/>
        <w:gridCol w:w="857"/>
        <w:gridCol w:w="887"/>
        <w:gridCol w:w="863"/>
        <w:gridCol w:w="928"/>
        <w:gridCol w:w="942"/>
        <w:gridCol w:w="869"/>
        <w:gridCol w:w="869"/>
        <w:gridCol w:w="875"/>
        <w:gridCol w:w="869"/>
        <w:gridCol w:w="869"/>
        <w:gridCol w:w="869"/>
        <w:gridCol w:w="884"/>
      </w:tblGrid>
      <w:tr w14:paraId="1925C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2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35C4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717" w:type="pct"/>
            <w:vMerge w:val="restart"/>
            <w:tcBorders>
              <w:top w:val="single" w:color="000000" w:sz="4" w:space="0"/>
              <w:left w:val="nil"/>
              <w:bottom w:val="single" w:color="000000" w:sz="4" w:space="0"/>
              <w:right w:val="single" w:color="000000" w:sz="4" w:space="0"/>
            </w:tcBorders>
            <w:shd w:val="clear" w:color="auto" w:fill="auto"/>
            <w:vAlign w:val="center"/>
          </w:tcPr>
          <w:p w14:paraId="7620125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832" w:type="pct"/>
            <w:gridSpan w:val="3"/>
            <w:tcBorders>
              <w:top w:val="single" w:color="000000" w:sz="4" w:space="0"/>
              <w:left w:val="nil"/>
              <w:bottom w:val="single" w:color="000000" w:sz="4" w:space="0"/>
              <w:right w:val="single" w:color="000000" w:sz="4" w:space="0"/>
            </w:tcBorders>
            <w:shd w:val="clear" w:color="auto" w:fill="auto"/>
            <w:vAlign w:val="center"/>
          </w:tcPr>
          <w:p w14:paraId="7B962A5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年初结转和结余</w:t>
            </w:r>
          </w:p>
        </w:tc>
        <w:tc>
          <w:tcPr>
            <w:tcW w:w="934" w:type="pct"/>
            <w:gridSpan w:val="3"/>
            <w:tcBorders>
              <w:top w:val="single" w:color="000000" w:sz="4" w:space="0"/>
              <w:left w:val="nil"/>
              <w:bottom w:val="single" w:color="000000" w:sz="4" w:space="0"/>
              <w:right w:val="single" w:color="000000" w:sz="4" w:space="0"/>
            </w:tcBorders>
            <w:shd w:val="clear" w:color="auto" w:fill="auto"/>
            <w:vAlign w:val="center"/>
          </w:tcPr>
          <w:p w14:paraId="5A5D6AB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w:t>
            </w:r>
          </w:p>
        </w:tc>
        <w:tc>
          <w:tcPr>
            <w:tcW w:w="893" w:type="pct"/>
            <w:gridSpan w:val="3"/>
            <w:tcBorders>
              <w:top w:val="single" w:color="000000" w:sz="4" w:space="0"/>
              <w:left w:val="nil"/>
              <w:bottom w:val="single" w:color="000000" w:sz="4" w:space="0"/>
              <w:right w:val="single" w:color="000000" w:sz="4" w:space="0"/>
            </w:tcBorders>
            <w:shd w:val="clear" w:color="auto" w:fill="auto"/>
            <w:vAlign w:val="center"/>
          </w:tcPr>
          <w:p w14:paraId="6E00F49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w:t>
            </w:r>
          </w:p>
        </w:tc>
        <w:tc>
          <w:tcPr>
            <w:tcW w:w="1193" w:type="pct"/>
            <w:gridSpan w:val="4"/>
            <w:tcBorders>
              <w:top w:val="single" w:color="000000" w:sz="4" w:space="0"/>
              <w:left w:val="nil"/>
              <w:bottom w:val="single" w:color="000000" w:sz="4" w:space="0"/>
              <w:right w:val="single" w:color="000000" w:sz="4" w:space="0"/>
            </w:tcBorders>
            <w:shd w:val="clear" w:color="auto" w:fill="auto"/>
            <w:vAlign w:val="center"/>
          </w:tcPr>
          <w:p w14:paraId="3B71255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年末结转和结余</w:t>
            </w:r>
          </w:p>
        </w:tc>
      </w:tr>
      <w:tr w14:paraId="1BF0A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2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B44D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717" w:type="pct"/>
            <w:vMerge w:val="continue"/>
            <w:tcBorders>
              <w:top w:val="single" w:color="000000" w:sz="4" w:space="0"/>
              <w:left w:val="nil"/>
              <w:bottom w:val="single" w:color="000000" w:sz="4" w:space="0"/>
              <w:right w:val="single" w:color="000000" w:sz="4" w:space="0"/>
            </w:tcBorders>
            <w:shd w:val="clear" w:color="auto" w:fill="auto"/>
            <w:vAlign w:val="center"/>
          </w:tcPr>
          <w:p w14:paraId="6CCB4B52">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36" w:type="pct"/>
            <w:vMerge w:val="restart"/>
            <w:tcBorders>
              <w:top w:val="nil"/>
              <w:left w:val="nil"/>
              <w:bottom w:val="single" w:color="000000" w:sz="4" w:space="0"/>
              <w:right w:val="single" w:color="000000" w:sz="4" w:space="0"/>
            </w:tcBorders>
            <w:shd w:val="clear" w:color="auto" w:fill="auto"/>
            <w:vAlign w:val="center"/>
          </w:tcPr>
          <w:p w14:paraId="6E68993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293" w:type="pct"/>
            <w:vMerge w:val="restart"/>
            <w:tcBorders>
              <w:top w:val="nil"/>
              <w:left w:val="nil"/>
              <w:bottom w:val="single" w:color="000000" w:sz="4" w:space="0"/>
              <w:right w:val="single" w:color="000000" w:sz="4" w:space="0"/>
            </w:tcBorders>
            <w:shd w:val="clear" w:color="auto" w:fill="auto"/>
            <w:vAlign w:val="center"/>
          </w:tcPr>
          <w:p w14:paraId="1E881B1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基本支出结转</w:t>
            </w:r>
          </w:p>
        </w:tc>
        <w:tc>
          <w:tcPr>
            <w:tcW w:w="301" w:type="pct"/>
            <w:vMerge w:val="restart"/>
            <w:tcBorders>
              <w:top w:val="nil"/>
              <w:left w:val="nil"/>
              <w:bottom w:val="single" w:color="000000" w:sz="4" w:space="0"/>
              <w:right w:val="single" w:color="000000" w:sz="4" w:space="0"/>
            </w:tcBorders>
            <w:shd w:val="clear" w:color="auto" w:fill="auto"/>
            <w:vAlign w:val="center"/>
          </w:tcPr>
          <w:p w14:paraId="68EA625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项目支出结转和结余</w:t>
            </w:r>
          </w:p>
        </w:tc>
        <w:tc>
          <w:tcPr>
            <w:tcW w:w="295" w:type="pct"/>
            <w:vMerge w:val="restart"/>
            <w:tcBorders>
              <w:top w:val="nil"/>
              <w:left w:val="nil"/>
              <w:bottom w:val="single" w:color="000000" w:sz="4" w:space="0"/>
              <w:right w:val="single" w:color="000000" w:sz="4" w:space="0"/>
            </w:tcBorders>
            <w:shd w:val="clear" w:color="auto" w:fill="auto"/>
            <w:vAlign w:val="center"/>
          </w:tcPr>
          <w:p w14:paraId="4F1F1BD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317" w:type="pct"/>
            <w:vMerge w:val="restart"/>
            <w:tcBorders>
              <w:top w:val="nil"/>
              <w:left w:val="nil"/>
              <w:bottom w:val="single" w:color="000000" w:sz="4" w:space="0"/>
              <w:right w:val="single" w:color="000000" w:sz="4" w:space="0"/>
            </w:tcBorders>
            <w:shd w:val="clear" w:color="auto" w:fill="auto"/>
            <w:vAlign w:val="center"/>
          </w:tcPr>
          <w:p w14:paraId="22CF4B4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基本</w:t>
            </w:r>
          </w:p>
          <w:p w14:paraId="24330F6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c>
          <w:tcPr>
            <w:tcW w:w="322" w:type="pct"/>
            <w:vMerge w:val="restart"/>
            <w:tcBorders>
              <w:top w:val="nil"/>
              <w:left w:val="nil"/>
              <w:bottom w:val="single" w:color="000000" w:sz="4" w:space="0"/>
              <w:right w:val="single" w:color="000000" w:sz="4" w:space="0"/>
            </w:tcBorders>
            <w:shd w:val="clear" w:color="auto" w:fill="auto"/>
            <w:vAlign w:val="center"/>
          </w:tcPr>
          <w:p w14:paraId="0BE05D1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w:t>
            </w:r>
          </w:p>
          <w:p w14:paraId="729FA97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c>
          <w:tcPr>
            <w:tcW w:w="297" w:type="pct"/>
            <w:vMerge w:val="restart"/>
            <w:tcBorders>
              <w:top w:val="nil"/>
              <w:left w:val="nil"/>
              <w:bottom w:val="single" w:color="000000" w:sz="4" w:space="0"/>
              <w:right w:val="single" w:color="000000" w:sz="4" w:space="0"/>
            </w:tcBorders>
            <w:shd w:val="clear" w:color="auto" w:fill="auto"/>
            <w:vAlign w:val="center"/>
          </w:tcPr>
          <w:p w14:paraId="3EF0F5C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297" w:type="pct"/>
            <w:vMerge w:val="restart"/>
            <w:tcBorders>
              <w:top w:val="nil"/>
              <w:left w:val="nil"/>
              <w:bottom w:val="single" w:color="000000" w:sz="4" w:space="0"/>
              <w:right w:val="single" w:color="000000" w:sz="4" w:space="0"/>
            </w:tcBorders>
            <w:shd w:val="clear" w:color="auto" w:fill="auto"/>
            <w:vAlign w:val="center"/>
          </w:tcPr>
          <w:p w14:paraId="68ACDBA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基本</w:t>
            </w:r>
          </w:p>
          <w:p w14:paraId="037D1C7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c>
          <w:tcPr>
            <w:tcW w:w="298" w:type="pct"/>
            <w:vMerge w:val="restart"/>
            <w:tcBorders>
              <w:top w:val="nil"/>
              <w:left w:val="nil"/>
              <w:bottom w:val="single" w:color="000000" w:sz="4" w:space="0"/>
              <w:right w:val="single" w:color="000000" w:sz="4" w:space="0"/>
            </w:tcBorders>
            <w:shd w:val="clear" w:color="auto" w:fill="auto"/>
            <w:vAlign w:val="center"/>
          </w:tcPr>
          <w:p w14:paraId="3CFCF10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w:t>
            </w:r>
          </w:p>
          <w:p w14:paraId="00C1203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c>
          <w:tcPr>
            <w:tcW w:w="297" w:type="pct"/>
            <w:vMerge w:val="restart"/>
            <w:tcBorders>
              <w:top w:val="nil"/>
              <w:left w:val="nil"/>
              <w:bottom w:val="single" w:color="000000" w:sz="4" w:space="0"/>
              <w:right w:val="single" w:color="000000" w:sz="4" w:space="0"/>
            </w:tcBorders>
            <w:shd w:val="clear" w:color="auto" w:fill="auto"/>
            <w:vAlign w:val="center"/>
          </w:tcPr>
          <w:p w14:paraId="03BE7D9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297" w:type="pct"/>
            <w:vMerge w:val="restart"/>
            <w:tcBorders>
              <w:top w:val="nil"/>
              <w:left w:val="nil"/>
              <w:bottom w:val="single" w:color="000000" w:sz="4" w:space="0"/>
              <w:right w:val="single" w:color="000000" w:sz="4" w:space="0"/>
            </w:tcBorders>
            <w:shd w:val="clear" w:color="auto" w:fill="auto"/>
            <w:vAlign w:val="center"/>
          </w:tcPr>
          <w:p w14:paraId="4422759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基本支出结转</w:t>
            </w:r>
          </w:p>
        </w:tc>
        <w:tc>
          <w:tcPr>
            <w:tcW w:w="598" w:type="pct"/>
            <w:gridSpan w:val="2"/>
            <w:tcBorders>
              <w:top w:val="nil"/>
              <w:left w:val="nil"/>
              <w:bottom w:val="single" w:color="000000" w:sz="4" w:space="0"/>
              <w:right w:val="single" w:color="000000" w:sz="4" w:space="0"/>
            </w:tcBorders>
            <w:shd w:val="clear" w:color="auto" w:fill="auto"/>
            <w:vAlign w:val="center"/>
          </w:tcPr>
          <w:p w14:paraId="47DA90E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项目支出结转</w:t>
            </w:r>
          </w:p>
          <w:p w14:paraId="032755C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和结余</w:t>
            </w:r>
          </w:p>
        </w:tc>
      </w:tr>
      <w:tr w14:paraId="348A5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2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1CCB9">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717" w:type="pct"/>
            <w:vMerge w:val="continue"/>
            <w:tcBorders>
              <w:top w:val="single" w:color="000000" w:sz="4" w:space="0"/>
              <w:left w:val="nil"/>
              <w:bottom w:val="single" w:color="000000" w:sz="4" w:space="0"/>
              <w:right w:val="single" w:color="000000" w:sz="4" w:space="0"/>
            </w:tcBorders>
            <w:shd w:val="clear" w:color="auto" w:fill="auto"/>
            <w:vAlign w:val="center"/>
          </w:tcPr>
          <w:p w14:paraId="5A4B3574">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36" w:type="pct"/>
            <w:vMerge w:val="continue"/>
            <w:tcBorders>
              <w:top w:val="nil"/>
              <w:left w:val="nil"/>
              <w:bottom w:val="single" w:color="000000" w:sz="4" w:space="0"/>
              <w:right w:val="single" w:color="000000" w:sz="4" w:space="0"/>
            </w:tcBorders>
            <w:shd w:val="clear" w:color="auto" w:fill="auto"/>
            <w:vAlign w:val="center"/>
          </w:tcPr>
          <w:p w14:paraId="10946CCA">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93" w:type="pct"/>
            <w:vMerge w:val="continue"/>
            <w:tcBorders>
              <w:top w:val="nil"/>
              <w:left w:val="nil"/>
              <w:bottom w:val="single" w:color="000000" w:sz="4" w:space="0"/>
              <w:right w:val="single" w:color="000000" w:sz="4" w:space="0"/>
            </w:tcBorders>
            <w:shd w:val="clear" w:color="auto" w:fill="auto"/>
            <w:vAlign w:val="center"/>
          </w:tcPr>
          <w:p w14:paraId="6AED692F">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01" w:type="pct"/>
            <w:vMerge w:val="continue"/>
            <w:tcBorders>
              <w:top w:val="nil"/>
              <w:left w:val="nil"/>
              <w:bottom w:val="single" w:color="000000" w:sz="4" w:space="0"/>
              <w:right w:val="single" w:color="000000" w:sz="4" w:space="0"/>
            </w:tcBorders>
            <w:shd w:val="clear" w:color="auto" w:fill="auto"/>
            <w:vAlign w:val="center"/>
          </w:tcPr>
          <w:p w14:paraId="3D9BB5C9">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95" w:type="pct"/>
            <w:vMerge w:val="continue"/>
            <w:tcBorders>
              <w:top w:val="nil"/>
              <w:left w:val="nil"/>
              <w:bottom w:val="single" w:color="000000" w:sz="4" w:space="0"/>
              <w:right w:val="single" w:color="000000" w:sz="4" w:space="0"/>
            </w:tcBorders>
            <w:shd w:val="clear" w:color="auto" w:fill="auto"/>
            <w:vAlign w:val="center"/>
          </w:tcPr>
          <w:p w14:paraId="1EC51EE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17" w:type="pct"/>
            <w:vMerge w:val="continue"/>
            <w:tcBorders>
              <w:top w:val="nil"/>
              <w:left w:val="nil"/>
              <w:bottom w:val="single" w:color="000000" w:sz="4" w:space="0"/>
              <w:right w:val="single" w:color="000000" w:sz="4" w:space="0"/>
            </w:tcBorders>
            <w:shd w:val="clear" w:color="auto" w:fill="auto"/>
            <w:vAlign w:val="center"/>
          </w:tcPr>
          <w:p w14:paraId="69BB01F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22" w:type="pct"/>
            <w:vMerge w:val="continue"/>
            <w:tcBorders>
              <w:top w:val="nil"/>
              <w:left w:val="nil"/>
              <w:bottom w:val="single" w:color="000000" w:sz="4" w:space="0"/>
              <w:right w:val="single" w:color="000000" w:sz="4" w:space="0"/>
            </w:tcBorders>
            <w:shd w:val="clear" w:color="auto" w:fill="auto"/>
            <w:vAlign w:val="center"/>
          </w:tcPr>
          <w:p w14:paraId="168D7B3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97" w:type="pct"/>
            <w:vMerge w:val="continue"/>
            <w:tcBorders>
              <w:top w:val="nil"/>
              <w:left w:val="nil"/>
              <w:bottom w:val="single" w:color="000000" w:sz="4" w:space="0"/>
              <w:right w:val="single" w:color="000000" w:sz="4" w:space="0"/>
            </w:tcBorders>
            <w:shd w:val="clear" w:color="auto" w:fill="auto"/>
            <w:vAlign w:val="center"/>
          </w:tcPr>
          <w:p w14:paraId="566E38C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97" w:type="pct"/>
            <w:vMerge w:val="continue"/>
            <w:tcBorders>
              <w:top w:val="nil"/>
              <w:left w:val="nil"/>
              <w:bottom w:val="single" w:color="000000" w:sz="4" w:space="0"/>
              <w:right w:val="single" w:color="000000" w:sz="4" w:space="0"/>
            </w:tcBorders>
            <w:shd w:val="clear" w:color="auto" w:fill="auto"/>
            <w:vAlign w:val="center"/>
          </w:tcPr>
          <w:p w14:paraId="5F9BCDC4">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98" w:type="pct"/>
            <w:vMerge w:val="continue"/>
            <w:tcBorders>
              <w:top w:val="nil"/>
              <w:left w:val="nil"/>
              <w:bottom w:val="single" w:color="000000" w:sz="4" w:space="0"/>
              <w:right w:val="single" w:color="000000" w:sz="4" w:space="0"/>
            </w:tcBorders>
            <w:shd w:val="clear" w:color="auto" w:fill="auto"/>
            <w:vAlign w:val="center"/>
          </w:tcPr>
          <w:p w14:paraId="6C3153E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97" w:type="pct"/>
            <w:vMerge w:val="continue"/>
            <w:tcBorders>
              <w:top w:val="nil"/>
              <w:left w:val="nil"/>
              <w:bottom w:val="single" w:color="000000" w:sz="4" w:space="0"/>
              <w:right w:val="single" w:color="000000" w:sz="4" w:space="0"/>
            </w:tcBorders>
            <w:shd w:val="clear" w:color="auto" w:fill="auto"/>
            <w:vAlign w:val="center"/>
          </w:tcPr>
          <w:p w14:paraId="7FC8D47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97" w:type="pct"/>
            <w:vMerge w:val="continue"/>
            <w:tcBorders>
              <w:top w:val="nil"/>
              <w:left w:val="nil"/>
              <w:bottom w:val="single" w:color="000000" w:sz="4" w:space="0"/>
              <w:right w:val="single" w:color="000000" w:sz="4" w:space="0"/>
            </w:tcBorders>
            <w:shd w:val="clear" w:color="auto" w:fill="auto"/>
            <w:vAlign w:val="center"/>
          </w:tcPr>
          <w:p w14:paraId="582AE439">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vAlign w:val="center"/>
          </w:tcPr>
          <w:p w14:paraId="340902B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项目支出结转</w:t>
            </w:r>
          </w:p>
        </w:tc>
        <w:tc>
          <w:tcPr>
            <w:tcW w:w="301" w:type="pct"/>
            <w:tcBorders>
              <w:top w:val="nil"/>
              <w:left w:val="nil"/>
              <w:bottom w:val="single" w:color="000000" w:sz="4" w:space="0"/>
              <w:right w:val="single" w:color="000000" w:sz="4" w:space="0"/>
            </w:tcBorders>
            <w:shd w:val="clear" w:color="auto" w:fill="auto"/>
            <w:vAlign w:val="center"/>
          </w:tcPr>
          <w:p w14:paraId="0229291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项目支出结余</w:t>
            </w:r>
          </w:p>
        </w:tc>
      </w:tr>
      <w:tr w14:paraId="732B6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42" w:type="pct"/>
            <w:vMerge w:val="restart"/>
            <w:tcBorders>
              <w:top w:val="nil"/>
              <w:left w:val="single" w:color="000000" w:sz="4" w:space="0"/>
              <w:bottom w:val="single" w:color="000000" w:sz="4" w:space="0"/>
              <w:right w:val="single" w:color="000000" w:sz="4" w:space="0"/>
            </w:tcBorders>
            <w:shd w:val="clear" w:color="auto" w:fill="auto"/>
            <w:vAlign w:val="center"/>
          </w:tcPr>
          <w:p w14:paraId="07FED3A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类</w:t>
            </w:r>
          </w:p>
        </w:tc>
        <w:tc>
          <w:tcPr>
            <w:tcW w:w="142" w:type="pct"/>
            <w:vMerge w:val="restart"/>
            <w:tcBorders>
              <w:top w:val="nil"/>
              <w:left w:val="nil"/>
              <w:bottom w:val="single" w:color="000000" w:sz="4" w:space="0"/>
              <w:right w:val="single" w:color="000000" w:sz="4" w:space="0"/>
            </w:tcBorders>
            <w:shd w:val="clear" w:color="auto" w:fill="auto"/>
            <w:vAlign w:val="center"/>
          </w:tcPr>
          <w:p w14:paraId="3493D6B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款</w:t>
            </w:r>
          </w:p>
        </w:tc>
        <w:tc>
          <w:tcPr>
            <w:tcW w:w="144" w:type="pct"/>
            <w:vMerge w:val="restart"/>
            <w:tcBorders>
              <w:top w:val="nil"/>
              <w:left w:val="nil"/>
              <w:bottom w:val="single" w:color="000000" w:sz="4" w:space="0"/>
              <w:right w:val="single" w:color="000000" w:sz="4" w:space="0"/>
            </w:tcBorders>
            <w:shd w:val="clear" w:color="auto" w:fill="auto"/>
            <w:vAlign w:val="center"/>
          </w:tcPr>
          <w:p w14:paraId="2CA7C70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717" w:type="pct"/>
            <w:tcBorders>
              <w:top w:val="nil"/>
              <w:left w:val="nil"/>
              <w:bottom w:val="single" w:color="000000" w:sz="4" w:space="0"/>
              <w:right w:val="single" w:color="000000" w:sz="4" w:space="0"/>
            </w:tcBorders>
            <w:shd w:val="clear" w:color="auto" w:fill="auto"/>
            <w:vAlign w:val="center"/>
          </w:tcPr>
          <w:p w14:paraId="0A96190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236" w:type="pct"/>
            <w:tcBorders>
              <w:top w:val="nil"/>
              <w:left w:val="nil"/>
              <w:bottom w:val="single" w:color="000000" w:sz="4" w:space="0"/>
              <w:right w:val="single" w:color="000000" w:sz="4" w:space="0"/>
            </w:tcBorders>
            <w:shd w:val="clear" w:color="auto" w:fill="auto"/>
            <w:noWrap/>
            <w:vAlign w:val="center"/>
          </w:tcPr>
          <w:p w14:paraId="1E47B2E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93" w:type="pct"/>
            <w:tcBorders>
              <w:top w:val="nil"/>
              <w:left w:val="nil"/>
              <w:bottom w:val="single" w:color="000000" w:sz="4" w:space="0"/>
              <w:right w:val="single" w:color="000000" w:sz="4" w:space="0"/>
            </w:tcBorders>
            <w:shd w:val="clear" w:color="auto" w:fill="auto"/>
            <w:noWrap/>
            <w:vAlign w:val="center"/>
          </w:tcPr>
          <w:p w14:paraId="200701A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1" w:type="pct"/>
            <w:tcBorders>
              <w:top w:val="nil"/>
              <w:left w:val="nil"/>
              <w:bottom w:val="single" w:color="000000" w:sz="4" w:space="0"/>
              <w:right w:val="single" w:color="000000" w:sz="4" w:space="0"/>
            </w:tcBorders>
            <w:shd w:val="clear" w:color="auto" w:fill="auto"/>
            <w:noWrap/>
            <w:vAlign w:val="center"/>
          </w:tcPr>
          <w:p w14:paraId="453F5D4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95" w:type="pct"/>
            <w:tcBorders>
              <w:top w:val="nil"/>
              <w:left w:val="nil"/>
              <w:bottom w:val="single" w:color="000000" w:sz="4" w:space="0"/>
              <w:right w:val="single" w:color="000000" w:sz="4" w:space="0"/>
            </w:tcBorders>
            <w:shd w:val="clear" w:color="auto" w:fill="auto"/>
            <w:noWrap/>
            <w:vAlign w:val="center"/>
          </w:tcPr>
          <w:p w14:paraId="43C121F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17" w:type="pct"/>
            <w:tcBorders>
              <w:top w:val="nil"/>
              <w:left w:val="nil"/>
              <w:bottom w:val="single" w:color="000000" w:sz="4" w:space="0"/>
              <w:right w:val="single" w:color="000000" w:sz="4" w:space="0"/>
            </w:tcBorders>
            <w:shd w:val="clear" w:color="auto" w:fill="auto"/>
            <w:noWrap/>
            <w:vAlign w:val="center"/>
          </w:tcPr>
          <w:p w14:paraId="608BA61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22" w:type="pct"/>
            <w:tcBorders>
              <w:top w:val="nil"/>
              <w:left w:val="nil"/>
              <w:bottom w:val="single" w:color="000000" w:sz="4" w:space="0"/>
              <w:right w:val="single" w:color="000000" w:sz="4" w:space="0"/>
            </w:tcBorders>
            <w:shd w:val="clear" w:color="auto" w:fill="auto"/>
            <w:noWrap/>
            <w:vAlign w:val="center"/>
          </w:tcPr>
          <w:p w14:paraId="5B09322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97" w:type="pct"/>
            <w:tcBorders>
              <w:top w:val="nil"/>
              <w:left w:val="nil"/>
              <w:bottom w:val="single" w:color="000000" w:sz="4" w:space="0"/>
              <w:right w:val="single" w:color="000000" w:sz="4" w:space="0"/>
            </w:tcBorders>
            <w:shd w:val="clear" w:color="auto" w:fill="auto"/>
            <w:noWrap/>
            <w:vAlign w:val="center"/>
          </w:tcPr>
          <w:p w14:paraId="51F86FA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97" w:type="pct"/>
            <w:tcBorders>
              <w:top w:val="nil"/>
              <w:left w:val="nil"/>
              <w:bottom w:val="single" w:color="000000" w:sz="4" w:space="0"/>
              <w:right w:val="single" w:color="000000" w:sz="4" w:space="0"/>
            </w:tcBorders>
            <w:shd w:val="clear" w:color="auto" w:fill="auto"/>
            <w:noWrap/>
            <w:vAlign w:val="center"/>
          </w:tcPr>
          <w:p w14:paraId="291CB78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98" w:type="pct"/>
            <w:tcBorders>
              <w:top w:val="nil"/>
              <w:left w:val="nil"/>
              <w:bottom w:val="single" w:color="000000" w:sz="4" w:space="0"/>
              <w:right w:val="single" w:color="000000" w:sz="4" w:space="0"/>
            </w:tcBorders>
            <w:shd w:val="clear" w:color="auto" w:fill="auto"/>
            <w:noWrap/>
            <w:vAlign w:val="center"/>
          </w:tcPr>
          <w:p w14:paraId="73003D3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97" w:type="pct"/>
            <w:tcBorders>
              <w:top w:val="nil"/>
              <w:left w:val="nil"/>
              <w:bottom w:val="single" w:color="000000" w:sz="4" w:space="0"/>
              <w:right w:val="single" w:color="000000" w:sz="4" w:space="0"/>
            </w:tcBorders>
            <w:shd w:val="clear" w:color="auto" w:fill="auto"/>
            <w:noWrap/>
            <w:vAlign w:val="center"/>
          </w:tcPr>
          <w:p w14:paraId="645E903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97" w:type="pct"/>
            <w:tcBorders>
              <w:top w:val="nil"/>
              <w:left w:val="nil"/>
              <w:bottom w:val="single" w:color="000000" w:sz="4" w:space="0"/>
              <w:right w:val="single" w:color="000000" w:sz="4" w:space="0"/>
            </w:tcBorders>
            <w:shd w:val="clear" w:color="auto" w:fill="auto"/>
            <w:noWrap/>
            <w:vAlign w:val="center"/>
          </w:tcPr>
          <w:p w14:paraId="6F7FE17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97" w:type="pct"/>
            <w:tcBorders>
              <w:top w:val="nil"/>
              <w:left w:val="nil"/>
              <w:bottom w:val="single" w:color="000000" w:sz="4" w:space="0"/>
              <w:right w:val="single" w:color="000000" w:sz="4" w:space="0"/>
            </w:tcBorders>
            <w:shd w:val="clear" w:color="auto" w:fill="auto"/>
            <w:noWrap/>
            <w:vAlign w:val="center"/>
          </w:tcPr>
          <w:p w14:paraId="4A17BFD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01" w:type="pct"/>
            <w:tcBorders>
              <w:top w:val="nil"/>
              <w:left w:val="nil"/>
              <w:bottom w:val="single" w:color="000000" w:sz="4" w:space="0"/>
              <w:right w:val="single" w:color="000000" w:sz="4" w:space="0"/>
            </w:tcBorders>
            <w:shd w:val="clear" w:color="auto" w:fill="auto"/>
            <w:noWrap/>
            <w:vAlign w:val="center"/>
          </w:tcPr>
          <w:p w14:paraId="3DD320A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1CC32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42" w:type="pct"/>
            <w:vMerge w:val="continue"/>
            <w:tcBorders>
              <w:top w:val="nil"/>
              <w:left w:val="single" w:color="000000" w:sz="4" w:space="0"/>
              <w:bottom w:val="single" w:color="000000" w:sz="4" w:space="0"/>
              <w:right w:val="single" w:color="000000" w:sz="4" w:space="0"/>
            </w:tcBorders>
            <w:shd w:val="clear" w:color="auto" w:fill="auto"/>
            <w:vAlign w:val="center"/>
          </w:tcPr>
          <w:p w14:paraId="70F443D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142" w:type="pct"/>
            <w:vMerge w:val="continue"/>
            <w:tcBorders>
              <w:top w:val="nil"/>
              <w:left w:val="nil"/>
              <w:bottom w:val="single" w:color="000000" w:sz="4" w:space="0"/>
              <w:right w:val="single" w:color="000000" w:sz="4" w:space="0"/>
            </w:tcBorders>
            <w:shd w:val="clear" w:color="auto" w:fill="auto"/>
            <w:vAlign w:val="center"/>
          </w:tcPr>
          <w:p w14:paraId="7432FA8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144" w:type="pct"/>
            <w:vMerge w:val="continue"/>
            <w:tcBorders>
              <w:top w:val="nil"/>
              <w:left w:val="nil"/>
              <w:bottom w:val="single" w:color="000000" w:sz="4" w:space="0"/>
              <w:right w:val="single" w:color="000000" w:sz="4" w:space="0"/>
            </w:tcBorders>
            <w:shd w:val="clear" w:color="auto" w:fill="auto"/>
            <w:vAlign w:val="center"/>
          </w:tcPr>
          <w:p w14:paraId="7B93A00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717" w:type="pct"/>
            <w:tcBorders>
              <w:top w:val="nil"/>
              <w:left w:val="nil"/>
              <w:bottom w:val="single" w:color="000000" w:sz="4" w:space="0"/>
              <w:right w:val="single" w:color="000000" w:sz="4" w:space="0"/>
            </w:tcBorders>
            <w:shd w:val="clear" w:color="auto" w:fill="auto"/>
            <w:vAlign w:val="center"/>
          </w:tcPr>
          <w:p w14:paraId="7F2FD97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236" w:type="pct"/>
            <w:tcBorders>
              <w:top w:val="nil"/>
              <w:left w:val="nil"/>
              <w:bottom w:val="single" w:color="000000" w:sz="4" w:space="0"/>
              <w:right w:val="single" w:color="000000" w:sz="4" w:space="0"/>
            </w:tcBorders>
            <w:shd w:val="clear" w:color="auto" w:fill="auto"/>
            <w:noWrap/>
            <w:vAlign w:val="center"/>
          </w:tcPr>
          <w:p w14:paraId="225F2AD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293" w:type="pct"/>
            <w:tcBorders>
              <w:top w:val="nil"/>
              <w:left w:val="nil"/>
              <w:bottom w:val="single" w:color="000000" w:sz="4" w:space="0"/>
              <w:right w:val="single" w:color="000000" w:sz="4" w:space="0"/>
            </w:tcBorders>
            <w:shd w:val="clear" w:color="auto" w:fill="auto"/>
            <w:noWrap/>
            <w:vAlign w:val="center"/>
          </w:tcPr>
          <w:p w14:paraId="4AF4216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242A6A4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295" w:type="pct"/>
            <w:tcBorders>
              <w:top w:val="nil"/>
              <w:left w:val="nil"/>
              <w:bottom w:val="single" w:color="000000" w:sz="4" w:space="0"/>
              <w:right w:val="single" w:color="000000" w:sz="4" w:space="0"/>
            </w:tcBorders>
            <w:shd w:val="clear" w:color="auto" w:fill="auto"/>
            <w:noWrap/>
            <w:vAlign w:val="center"/>
          </w:tcPr>
          <w:p w14:paraId="111DC29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317" w:type="pct"/>
            <w:tcBorders>
              <w:top w:val="nil"/>
              <w:left w:val="nil"/>
              <w:bottom w:val="single" w:color="000000" w:sz="4" w:space="0"/>
              <w:right w:val="single" w:color="000000" w:sz="4" w:space="0"/>
            </w:tcBorders>
            <w:shd w:val="clear" w:color="auto" w:fill="auto"/>
            <w:noWrap/>
            <w:vAlign w:val="center"/>
          </w:tcPr>
          <w:p w14:paraId="2B9B06E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322" w:type="pct"/>
            <w:tcBorders>
              <w:top w:val="nil"/>
              <w:left w:val="nil"/>
              <w:bottom w:val="single" w:color="000000" w:sz="4" w:space="0"/>
              <w:right w:val="single" w:color="000000" w:sz="4" w:space="0"/>
            </w:tcBorders>
            <w:shd w:val="clear" w:color="auto" w:fill="auto"/>
            <w:noWrap/>
            <w:vAlign w:val="center"/>
          </w:tcPr>
          <w:p w14:paraId="50037EE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993DF1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641577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298" w:type="pct"/>
            <w:tcBorders>
              <w:top w:val="nil"/>
              <w:left w:val="nil"/>
              <w:bottom w:val="single" w:color="000000" w:sz="4" w:space="0"/>
              <w:right w:val="single" w:color="000000" w:sz="4" w:space="0"/>
            </w:tcBorders>
            <w:shd w:val="clear" w:color="auto" w:fill="auto"/>
            <w:noWrap/>
            <w:vAlign w:val="center"/>
          </w:tcPr>
          <w:p w14:paraId="28F3B44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057709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94087B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A50DE1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696CE08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b/>
                <w:bCs/>
                <w:i w:val="0"/>
                <w:iCs w:val="0"/>
                <w:color w:val="000000"/>
                <w:sz w:val="20"/>
                <w:szCs w:val="20"/>
                <w:u w:val="none"/>
              </w:rPr>
            </w:pPr>
          </w:p>
        </w:tc>
      </w:tr>
      <w:tr w14:paraId="0A062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28" w:type="pct"/>
            <w:gridSpan w:val="3"/>
            <w:tcBorders>
              <w:top w:val="nil"/>
              <w:left w:val="single" w:color="000000" w:sz="4" w:space="0"/>
              <w:bottom w:val="single" w:color="000000" w:sz="4" w:space="0"/>
              <w:right w:val="single" w:color="000000" w:sz="4" w:space="0"/>
            </w:tcBorders>
            <w:shd w:val="clear" w:color="auto" w:fill="auto"/>
            <w:noWrap/>
            <w:vAlign w:val="center"/>
          </w:tcPr>
          <w:p w14:paraId="616E57D0">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717" w:type="pct"/>
            <w:tcBorders>
              <w:top w:val="nil"/>
              <w:left w:val="nil"/>
              <w:bottom w:val="single" w:color="000000" w:sz="4" w:space="0"/>
              <w:right w:val="single" w:color="000000" w:sz="4" w:space="0"/>
            </w:tcBorders>
            <w:shd w:val="clear" w:color="auto" w:fill="auto"/>
            <w:noWrap/>
            <w:vAlign w:val="center"/>
          </w:tcPr>
          <w:p w14:paraId="2BB8F244">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236" w:type="pct"/>
            <w:tcBorders>
              <w:top w:val="nil"/>
              <w:left w:val="nil"/>
              <w:bottom w:val="single" w:color="000000" w:sz="4" w:space="0"/>
              <w:right w:val="single" w:color="000000" w:sz="4" w:space="0"/>
            </w:tcBorders>
            <w:shd w:val="clear" w:color="auto" w:fill="auto"/>
            <w:noWrap/>
            <w:vAlign w:val="center"/>
          </w:tcPr>
          <w:p w14:paraId="23513F8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3" w:type="pct"/>
            <w:tcBorders>
              <w:top w:val="nil"/>
              <w:left w:val="nil"/>
              <w:bottom w:val="single" w:color="000000" w:sz="4" w:space="0"/>
              <w:right w:val="single" w:color="000000" w:sz="4" w:space="0"/>
            </w:tcBorders>
            <w:shd w:val="clear" w:color="auto" w:fill="auto"/>
            <w:noWrap/>
            <w:vAlign w:val="center"/>
          </w:tcPr>
          <w:p w14:paraId="6AF393D3">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6CD4CD0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5" w:type="pct"/>
            <w:tcBorders>
              <w:top w:val="nil"/>
              <w:left w:val="nil"/>
              <w:bottom w:val="single" w:color="000000" w:sz="4" w:space="0"/>
              <w:right w:val="single" w:color="000000" w:sz="4" w:space="0"/>
            </w:tcBorders>
            <w:shd w:val="clear" w:color="auto" w:fill="auto"/>
            <w:noWrap/>
            <w:vAlign w:val="center"/>
          </w:tcPr>
          <w:p w14:paraId="4E9D9FD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17" w:type="pct"/>
            <w:tcBorders>
              <w:top w:val="nil"/>
              <w:left w:val="nil"/>
              <w:bottom w:val="single" w:color="000000" w:sz="4" w:space="0"/>
              <w:right w:val="single" w:color="000000" w:sz="4" w:space="0"/>
            </w:tcBorders>
            <w:shd w:val="clear" w:color="auto" w:fill="auto"/>
            <w:noWrap/>
            <w:vAlign w:val="center"/>
          </w:tcPr>
          <w:p w14:paraId="0B9D6D7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22" w:type="pct"/>
            <w:tcBorders>
              <w:top w:val="nil"/>
              <w:left w:val="nil"/>
              <w:bottom w:val="single" w:color="000000" w:sz="4" w:space="0"/>
              <w:right w:val="single" w:color="000000" w:sz="4" w:space="0"/>
            </w:tcBorders>
            <w:shd w:val="clear" w:color="auto" w:fill="auto"/>
            <w:noWrap/>
            <w:vAlign w:val="center"/>
          </w:tcPr>
          <w:p w14:paraId="7F08835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1A6ABD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CAE3EB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31AE9D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0B2660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B277C3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CB7760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44316B2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r>
      <w:tr w14:paraId="58031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28" w:type="pct"/>
            <w:gridSpan w:val="3"/>
            <w:tcBorders>
              <w:top w:val="nil"/>
              <w:left w:val="single" w:color="000000" w:sz="4" w:space="0"/>
              <w:bottom w:val="single" w:color="000000" w:sz="4" w:space="0"/>
              <w:right w:val="single" w:color="000000" w:sz="4" w:space="0"/>
            </w:tcBorders>
            <w:shd w:val="clear" w:color="auto" w:fill="auto"/>
            <w:noWrap/>
            <w:vAlign w:val="center"/>
          </w:tcPr>
          <w:p w14:paraId="702F3A49">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717" w:type="pct"/>
            <w:tcBorders>
              <w:top w:val="nil"/>
              <w:left w:val="nil"/>
              <w:bottom w:val="single" w:color="000000" w:sz="4" w:space="0"/>
              <w:right w:val="single" w:color="000000" w:sz="4" w:space="0"/>
            </w:tcBorders>
            <w:shd w:val="clear" w:color="auto" w:fill="auto"/>
            <w:noWrap/>
            <w:vAlign w:val="center"/>
          </w:tcPr>
          <w:p w14:paraId="41DD8AF0">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236" w:type="pct"/>
            <w:tcBorders>
              <w:top w:val="nil"/>
              <w:left w:val="nil"/>
              <w:bottom w:val="single" w:color="000000" w:sz="4" w:space="0"/>
              <w:right w:val="single" w:color="000000" w:sz="4" w:space="0"/>
            </w:tcBorders>
            <w:shd w:val="clear" w:color="auto" w:fill="auto"/>
            <w:noWrap/>
            <w:vAlign w:val="center"/>
          </w:tcPr>
          <w:p w14:paraId="3AF6398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3" w:type="pct"/>
            <w:tcBorders>
              <w:top w:val="nil"/>
              <w:left w:val="nil"/>
              <w:bottom w:val="single" w:color="000000" w:sz="4" w:space="0"/>
              <w:right w:val="single" w:color="000000" w:sz="4" w:space="0"/>
            </w:tcBorders>
            <w:shd w:val="clear" w:color="auto" w:fill="auto"/>
            <w:noWrap/>
            <w:vAlign w:val="center"/>
          </w:tcPr>
          <w:p w14:paraId="79C7E15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7EDEF21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5" w:type="pct"/>
            <w:tcBorders>
              <w:top w:val="nil"/>
              <w:left w:val="nil"/>
              <w:bottom w:val="single" w:color="000000" w:sz="4" w:space="0"/>
              <w:right w:val="single" w:color="000000" w:sz="4" w:space="0"/>
            </w:tcBorders>
            <w:shd w:val="clear" w:color="auto" w:fill="auto"/>
            <w:noWrap/>
            <w:vAlign w:val="center"/>
          </w:tcPr>
          <w:p w14:paraId="6352547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17" w:type="pct"/>
            <w:tcBorders>
              <w:top w:val="nil"/>
              <w:left w:val="nil"/>
              <w:bottom w:val="single" w:color="000000" w:sz="4" w:space="0"/>
              <w:right w:val="single" w:color="000000" w:sz="4" w:space="0"/>
            </w:tcBorders>
            <w:shd w:val="clear" w:color="auto" w:fill="auto"/>
            <w:noWrap/>
            <w:vAlign w:val="center"/>
          </w:tcPr>
          <w:p w14:paraId="59EB413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22" w:type="pct"/>
            <w:tcBorders>
              <w:top w:val="nil"/>
              <w:left w:val="nil"/>
              <w:bottom w:val="single" w:color="000000" w:sz="4" w:space="0"/>
              <w:right w:val="single" w:color="000000" w:sz="4" w:space="0"/>
            </w:tcBorders>
            <w:shd w:val="clear" w:color="auto" w:fill="auto"/>
            <w:noWrap/>
            <w:vAlign w:val="center"/>
          </w:tcPr>
          <w:p w14:paraId="32235CD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579266A">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FD1F17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8" w:type="pct"/>
            <w:tcBorders>
              <w:top w:val="nil"/>
              <w:left w:val="nil"/>
              <w:bottom w:val="single" w:color="000000" w:sz="4" w:space="0"/>
              <w:right w:val="single" w:color="000000" w:sz="4" w:space="0"/>
            </w:tcBorders>
            <w:shd w:val="clear" w:color="auto" w:fill="auto"/>
            <w:noWrap/>
            <w:vAlign w:val="center"/>
          </w:tcPr>
          <w:p w14:paraId="7E85B3E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970174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BCC25C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5ABBDC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7C412ED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r>
      <w:tr w14:paraId="13950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28" w:type="pct"/>
            <w:gridSpan w:val="3"/>
            <w:tcBorders>
              <w:top w:val="nil"/>
              <w:left w:val="single" w:color="000000" w:sz="4" w:space="0"/>
              <w:bottom w:val="single" w:color="000000" w:sz="4" w:space="0"/>
              <w:right w:val="single" w:color="000000" w:sz="4" w:space="0"/>
            </w:tcBorders>
            <w:shd w:val="clear" w:color="auto" w:fill="auto"/>
            <w:noWrap/>
            <w:vAlign w:val="center"/>
          </w:tcPr>
          <w:p w14:paraId="0099F76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717" w:type="pct"/>
            <w:tcBorders>
              <w:top w:val="nil"/>
              <w:left w:val="nil"/>
              <w:bottom w:val="single" w:color="000000" w:sz="4" w:space="0"/>
              <w:right w:val="single" w:color="000000" w:sz="4" w:space="0"/>
            </w:tcBorders>
            <w:shd w:val="clear" w:color="auto" w:fill="auto"/>
            <w:noWrap/>
            <w:vAlign w:val="center"/>
          </w:tcPr>
          <w:p w14:paraId="0F965AEF">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236" w:type="pct"/>
            <w:tcBorders>
              <w:top w:val="nil"/>
              <w:left w:val="nil"/>
              <w:bottom w:val="single" w:color="000000" w:sz="4" w:space="0"/>
              <w:right w:val="single" w:color="000000" w:sz="4" w:space="0"/>
            </w:tcBorders>
            <w:shd w:val="clear" w:color="auto" w:fill="auto"/>
            <w:noWrap/>
            <w:vAlign w:val="center"/>
          </w:tcPr>
          <w:p w14:paraId="08F5DE3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3" w:type="pct"/>
            <w:tcBorders>
              <w:top w:val="nil"/>
              <w:left w:val="nil"/>
              <w:bottom w:val="single" w:color="000000" w:sz="4" w:space="0"/>
              <w:right w:val="single" w:color="000000" w:sz="4" w:space="0"/>
            </w:tcBorders>
            <w:shd w:val="clear" w:color="auto" w:fill="auto"/>
            <w:noWrap/>
            <w:vAlign w:val="center"/>
          </w:tcPr>
          <w:p w14:paraId="5F5A8BA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2FB8DEF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5" w:type="pct"/>
            <w:tcBorders>
              <w:top w:val="nil"/>
              <w:left w:val="nil"/>
              <w:bottom w:val="single" w:color="000000" w:sz="4" w:space="0"/>
              <w:right w:val="single" w:color="000000" w:sz="4" w:space="0"/>
            </w:tcBorders>
            <w:shd w:val="clear" w:color="auto" w:fill="auto"/>
            <w:noWrap/>
            <w:vAlign w:val="center"/>
          </w:tcPr>
          <w:p w14:paraId="4634DE4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17" w:type="pct"/>
            <w:tcBorders>
              <w:top w:val="nil"/>
              <w:left w:val="nil"/>
              <w:bottom w:val="single" w:color="000000" w:sz="4" w:space="0"/>
              <w:right w:val="single" w:color="000000" w:sz="4" w:space="0"/>
            </w:tcBorders>
            <w:shd w:val="clear" w:color="auto" w:fill="auto"/>
            <w:noWrap/>
            <w:vAlign w:val="center"/>
          </w:tcPr>
          <w:p w14:paraId="3AD50BA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22" w:type="pct"/>
            <w:tcBorders>
              <w:top w:val="nil"/>
              <w:left w:val="nil"/>
              <w:bottom w:val="single" w:color="000000" w:sz="4" w:space="0"/>
              <w:right w:val="single" w:color="000000" w:sz="4" w:space="0"/>
            </w:tcBorders>
            <w:shd w:val="clear" w:color="auto" w:fill="auto"/>
            <w:noWrap/>
            <w:vAlign w:val="center"/>
          </w:tcPr>
          <w:p w14:paraId="0E4BC3A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7A78D8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C1BB03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8" w:type="pct"/>
            <w:tcBorders>
              <w:top w:val="nil"/>
              <w:left w:val="nil"/>
              <w:bottom w:val="single" w:color="000000" w:sz="4" w:space="0"/>
              <w:right w:val="single" w:color="000000" w:sz="4" w:space="0"/>
            </w:tcBorders>
            <w:shd w:val="clear" w:color="auto" w:fill="auto"/>
            <w:noWrap/>
            <w:vAlign w:val="center"/>
          </w:tcPr>
          <w:p w14:paraId="7BAF2E73">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9CB974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03B1D18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A428FA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6039AE0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r>
      <w:tr w14:paraId="341B8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28" w:type="pct"/>
            <w:gridSpan w:val="3"/>
            <w:tcBorders>
              <w:top w:val="nil"/>
              <w:left w:val="single" w:color="000000" w:sz="4" w:space="0"/>
              <w:bottom w:val="single" w:color="000000" w:sz="4" w:space="0"/>
              <w:right w:val="single" w:color="000000" w:sz="4" w:space="0"/>
            </w:tcBorders>
            <w:shd w:val="clear" w:color="auto" w:fill="auto"/>
            <w:noWrap/>
            <w:vAlign w:val="center"/>
          </w:tcPr>
          <w:p w14:paraId="40DA144E">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717" w:type="pct"/>
            <w:tcBorders>
              <w:top w:val="nil"/>
              <w:left w:val="nil"/>
              <w:bottom w:val="single" w:color="000000" w:sz="4" w:space="0"/>
              <w:right w:val="single" w:color="000000" w:sz="4" w:space="0"/>
            </w:tcBorders>
            <w:shd w:val="clear" w:color="auto" w:fill="auto"/>
            <w:noWrap/>
            <w:vAlign w:val="center"/>
          </w:tcPr>
          <w:p w14:paraId="0C7823D4">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236" w:type="pct"/>
            <w:tcBorders>
              <w:top w:val="nil"/>
              <w:left w:val="nil"/>
              <w:bottom w:val="single" w:color="000000" w:sz="4" w:space="0"/>
              <w:right w:val="single" w:color="000000" w:sz="4" w:space="0"/>
            </w:tcBorders>
            <w:shd w:val="clear" w:color="auto" w:fill="auto"/>
            <w:noWrap/>
            <w:vAlign w:val="center"/>
          </w:tcPr>
          <w:p w14:paraId="3591C4C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3" w:type="pct"/>
            <w:tcBorders>
              <w:top w:val="nil"/>
              <w:left w:val="nil"/>
              <w:bottom w:val="single" w:color="000000" w:sz="4" w:space="0"/>
              <w:right w:val="single" w:color="000000" w:sz="4" w:space="0"/>
            </w:tcBorders>
            <w:shd w:val="clear" w:color="auto" w:fill="auto"/>
            <w:noWrap/>
            <w:vAlign w:val="center"/>
          </w:tcPr>
          <w:p w14:paraId="589EFB4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145483B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5" w:type="pct"/>
            <w:tcBorders>
              <w:top w:val="nil"/>
              <w:left w:val="nil"/>
              <w:bottom w:val="single" w:color="000000" w:sz="4" w:space="0"/>
              <w:right w:val="single" w:color="000000" w:sz="4" w:space="0"/>
            </w:tcBorders>
            <w:shd w:val="clear" w:color="auto" w:fill="auto"/>
            <w:noWrap/>
            <w:vAlign w:val="center"/>
          </w:tcPr>
          <w:p w14:paraId="06C4797A">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17" w:type="pct"/>
            <w:tcBorders>
              <w:top w:val="nil"/>
              <w:left w:val="nil"/>
              <w:bottom w:val="single" w:color="000000" w:sz="4" w:space="0"/>
              <w:right w:val="single" w:color="000000" w:sz="4" w:space="0"/>
            </w:tcBorders>
            <w:shd w:val="clear" w:color="auto" w:fill="auto"/>
            <w:noWrap/>
            <w:vAlign w:val="center"/>
          </w:tcPr>
          <w:p w14:paraId="482AD15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22" w:type="pct"/>
            <w:tcBorders>
              <w:top w:val="nil"/>
              <w:left w:val="nil"/>
              <w:bottom w:val="single" w:color="000000" w:sz="4" w:space="0"/>
              <w:right w:val="single" w:color="000000" w:sz="4" w:space="0"/>
            </w:tcBorders>
            <w:shd w:val="clear" w:color="auto" w:fill="auto"/>
            <w:noWrap/>
            <w:vAlign w:val="center"/>
          </w:tcPr>
          <w:p w14:paraId="4353814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EBC257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F8AE663">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22AB97F">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2D71B3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330D23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2FAA98E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20AF506E">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r>
      <w:tr w14:paraId="0027D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28" w:type="pct"/>
            <w:gridSpan w:val="3"/>
            <w:tcBorders>
              <w:top w:val="nil"/>
              <w:left w:val="single" w:color="000000" w:sz="4" w:space="0"/>
              <w:bottom w:val="single" w:color="000000" w:sz="4" w:space="0"/>
              <w:right w:val="single" w:color="000000" w:sz="4" w:space="0"/>
            </w:tcBorders>
            <w:shd w:val="clear" w:color="auto" w:fill="auto"/>
            <w:noWrap/>
            <w:vAlign w:val="center"/>
          </w:tcPr>
          <w:p w14:paraId="0B187F1D">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717" w:type="pct"/>
            <w:tcBorders>
              <w:top w:val="nil"/>
              <w:left w:val="nil"/>
              <w:bottom w:val="single" w:color="000000" w:sz="4" w:space="0"/>
              <w:right w:val="single" w:color="000000" w:sz="4" w:space="0"/>
            </w:tcBorders>
            <w:shd w:val="clear" w:color="auto" w:fill="auto"/>
            <w:noWrap/>
            <w:vAlign w:val="center"/>
          </w:tcPr>
          <w:p w14:paraId="02B2DC90">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236" w:type="pct"/>
            <w:tcBorders>
              <w:top w:val="nil"/>
              <w:left w:val="nil"/>
              <w:bottom w:val="single" w:color="000000" w:sz="4" w:space="0"/>
              <w:right w:val="single" w:color="000000" w:sz="4" w:space="0"/>
            </w:tcBorders>
            <w:shd w:val="clear" w:color="auto" w:fill="auto"/>
            <w:noWrap/>
            <w:vAlign w:val="center"/>
          </w:tcPr>
          <w:p w14:paraId="39F17628">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3" w:type="pct"/>
            <w:tcBorders>
              <w:top w:val="nil"/>
              <w:left w:val="nil"/>
              <w:bottom w:val="single" w:color="000000" w:sz="4" w:space="0"/>
              <w:right w:val="single" w:color="000000" w:sz="4" w:space="0"/>
            </w:tcBorders>
            <w:shd w:val="clear" w:color="auto" w:fill="auto"/>
            <w:noWrap/>
            <w:vAlign w:val="center"/>
          </w:tcPr>
          <w:p w14:paraId="1A8F3AA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58A51DE2">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5" w:type="pct"/>
            <w:tcBorders>
              <w:top w:val="nil"/>
              <w:left w:val="nil"/>
              <w:bottom w:val="single" w:color="000000" w:sz="4" w:space="0"/>
              <w:right w:val="single" w:color="000000" w:sz="4" w:space="0"/>
            </w:tcBorders>
            <w:shd w:val="clear" w:color="auto" w:fill="auto"/>
            <w:noWrap/>
            <w:vAlign w:val="center"/>
          </w:tcPr>
          <w:p w14:paraId="0BA6526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17" w:type="pct"/>
            <w:tcBorders>
              <w:top w:val="nil"/>
              <w:left w:val="nil"/>
              <w:bottom w:val="single" w:color="000000" w:sz="4" w:space="0"/>
              <w:right w:val="single" w:color="000000" w:sz="4" w:space="0"/>
            </w:tcBorders>
            <w:shd w:val="clear" w:color="auto" w:fill="auto"/>
            <w:noWrap/>
            <w:vAlign w:val="center"/>
          </w:tcPr>
          <w:p w14:paraId="15830AD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22" w:type="pct"/>
            <w:tcBorders>
              <w:top w:val="nil"/>
              <w:left w:val="nil"/>
              <w:bottom w:val="single" w:color="000000" w:sz="4" w:space="0"/>
              <w:right w:val="single" w:color="000000" w:sz="4" w:space="0"/>
            </w:tcBorders>
            <w:shd w:val="clear" w:color="auto" w:fill="auto"/>
            <w:noWrap/>
            <w:vAlign w:val="center"/>
          </w:tcPr>
          <w:p w14:paraId="1A710051">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69BCDC2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78D6426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8" w:type="pct"/>
            <w:tcBorders>
              <w:top w:val="nil"/>
              <w:left w:val="nil"/>
              <w:bottom w:val="single" w:color="000000" w:sz="4" w:space="0"/>
              <w:right w:val="single" w:color="000000" w:sz="4" w:space="0"/>
            </w:tcBorders>
            <w:shd w:val="clear" w:color="auto" w:fill="auto"/>
            <w:noWrap/>
            <w:vAlign w:val="center"/>
          </w:tcPr>
          <w:p w14:paraId="3D3F8E3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B43466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E37A69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2AFB8A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15F597B9">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r>
      <w:tr w14:paraId="1AE92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28" w:type="pct"/>
            <w:gridSpan w:val="3"/>
            <w:tcBorders>
              <w:top w:val="nil"/>
              <w:left w:val="single" w:color="000000" w:sz="4" w:space="0"/>
              <w:bottom w:val="single" w:color="000000" w:sz="4" w:space="0"/>
              <w:right w:val="single" w:color="000000" w:sz="4" w:space="0"/>
            </w:tcBorders>
            <w:shd w:val="clear" w:color="auto" w:fill="auto"/>
            <w:noWrap/>
            <w:vAlign w:val="center"/>
          </w:tcPr>
          <w:p w14:paraId="37FD7CD6">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717" w:type="pct"/>
            <w:tcBorders>
              <w:top w:val="nil"/>
              <w:left w:val="nil"/>
              <w:bottom w:val="single" w:color="000000" w:sz="4" w:space="0"/>
              <w:right w:val="single" w:color="000000" w:sz="4" w:space="0"/>
            </w:tcBorders>
            <w:shd w:val="clear" w:color="auto" w:fill="auto"/>
            <w:noWrap/>
            <w:vAlign w:val="center"/>
          </w:tcPr>
          <w:p w14:paraId="71D13F34">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236" w:type="pct"/>
            <w:tcBorders>
              <w:top w:val="nil"/>
              <w:left w:val="nil"/>
              <w:bottom w:val="single" w:color="000000" w:sz="4" w:space="0"/>
              <w:right w:val="single" w:color="000000" w:sz="4" w:space="0"/>
            </w:tcBorders>
            <w:shd w:val="clear" w:color="auto" w:fill="auto"/>
            <w:noWrap/>
            <w:vAlign w:val="center"/>
          </w:tcPr>
          <w:p w14:paraId="1C65AA46">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3" w:type="pct"/>
            <w:tcBorders>
              <w:top w:val="nil"/>
              <w:left w:val="nil"/>
              <w:bottom w:val="single" w:color="000000" w:sz="4" w:space="0"/>
              <w:right w:val="single" w:color="000000" w:sz="4" w:space="0"/>
            </w:tcBorders>
            <w:shd w:val="clear" w:color="auto" w:fill="auto"/>
            <w:noWrap/>
            <w:vAlign w:val="center"/>
          </w:tcPr>
          <w:p w14:paraId="2ED4441A">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1696015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5" w:type="pct"/>
            <w:tcBorders>
              <w:top w:val="nil"/>
              <w:left w:val="nil"/>
              <w:bottom w:val="single" w:color="000000" w:sz="4" w:space="0"/>
              <w:right w:val="single" w:color="000000" w:sz="4" w:space="0"/>
            </w:tcBorders>
            <w:shd w:val="clear" w:color="auto" w:fill="auto"/>
            <w:noWrap/>
            <w:vAlign w:val="center"/>
          </w:tcPr>
          <w:p w14:paraId="7A9B60B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17" w:type="pct"/>
            <w:tcBorders>
              <w:top w:val="nil"/>
              <w:left w:val="nil"/>
              <w:bottom w:val="single" w:color="000000" w:sz="4" w:space="0"/>
              <w:right w:val="single" w:color="000000" w:sz="4" w:space="0"/>
            </w:tcBorders>
            <w:shd w:val="clear" w:color="auto" w:fill="auto"/>
            <w:noWrap/>
            <w:vAlign w:val="center"/>
          </w:tcPr>
          <w:p w14:paraId="6622C16C">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22" w:type="pct"/>
            <w:tcBorders>
              <w:top w:val="nil"/>
              <w:left w:val="nil"/>
              <w:bottom w:val="single" w:color="000000" w:sz="4" w:space="0"/>
              <w:right w:val="single" w:color="000000" w:sz="4" w:space="0"/>
            </w:tcBorders>
            <w:shd w:val="clear" w:color="auto" w:fill="auto"/>
            <w:noWrap/>
            <w:vAlign w:val="center"/>
          </w:tcPr>
          <w:p w14:paraId="138BE17B">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1E7B01B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4EA5599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8" w:type="pct"/>
            <w:tcBorders>
              <w:top w:val="nil"/>
              <w:left w:val="nil"/>
              <w:bottom w:val="single" w:color="000000" w:sz="4" w:space="0"/>
              <w:right w:val="single" w:color="000000" w:sz="4" w:space="0"/>
            </w:tcBorders>
            <w:shd w:val="clear" w:color="auto" w:fill="auto"/>
            <w:noWrap/>
            <w:vAlign w:val="center"/>
          </w:tcPr>
          <w:p w14:paraId="02D8054D">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1D768E0">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363B4DA4">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297" w:type="pct"/>
            <w:tcBorders>
              <w:top w:val="nil"/>
              <w:left w:val="nil"/>
              <w:bottom w:val="single" w:color="000000" w:sz="4" w:space="0"/>
              <w:right w:val="single" w:color="000000" w:sz="4" w:space="0"/>
            </w:tcBorders>
            <w:shd w:val="clear" w:color="auto" w:fill="auto"/>
            <w:noWrap/>
            <w:vAlign w:val="center"/>
          </w:tcPr>
          <w:p w14:paraId="5269C6B5">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c>
          <w:tcPr>
            <w:tcW w:w="301" w:type="pct"/>
            <w:tcBorders>
              <w:top w:val="nil"/>
              <w:left w:val="nil"/>
              <w:bottom w:val="single" w:color="000000" w:sz="4" w:space="0"/>
              <w:right w:val="single" w:color="000000" w:sz="4" w:space="0"/>
            </w:tcBorders>
            <w:shd w:val="clear" w:color="auto" w:fill="auto"/>
            <w:noWrap/>
            <w:vAlign w:val="center"/>
          </w:tcPr>
          <w:p w14:paraId="1822C577">
            <w:pPr>
              <w:keepNext w:val="0"/>
              <w:keepLines w:val="0"/>
              <w:pageBreakBefore w:val="0"/>
              <w:widowControl/>
              <w:kinsoku/>
              <w:wordWrap/>
              <w:overflowPunct/>
              <w:topLinePunct w:val="0"/>
              <w:autoSpaceDE/>
              <w:autoSpaceDN/>
              <w:bidi w:val="0"/>
              <w:adjustRightInd/>
              <w:snapToGrid/>
              <w:spacing w:line="220" w:lineRule="exact"/>
              <w:jc w:val="right"/>
              <w:rPr>
                <w:rFonts w:hint="eastAsia" w:ascii="宋体" w:hAnsi="宋体" w:eastAsia="宋体" w:cs="宋体"/>
                <w:i w:val="0"/>
                <w:iCs w:val="0"/>
                <w:color w:val="000000"/>
                <w:sz w:val="20"/>
                <w:szCs w:val="20"/>
                <w:u w:val="none"/>
              </w:rPr>
            </w:pPr>
          </w:p>
        </w:tc>
      </w:tr>
    </w:tbl>
    <w:p w14:paraId="5EF94D94">
      <w:pPr>
        <w:widowControl/>
        <w:shd w:val="clear"/>
        <w:spacing w:before="120"/>
        <w:jc w:val="left"/>
        <w:textAlignment w:val="center"/>
        <w:rPr>
          <w:rFonts w:hint="eastAsia" w:ascii="Times New Roman" w:hAnsi="Times New Roman" w:eastAsia="仿宋_GB2312" w:cs="Times New Roman"/>
          <w:i w:val="0"/>
          <w:iCs w:val="0"/>
          <w:color w:val="000000"/>
          <w:kern w:val="0"/>
          <w:sz w:val="24"/>
          <w:szCs w:val="24"/>
          <w:lang w:bidi="ar"/>
        </w:rPr>
      </w:pPr>
      <w:r>
        <w:rPr>
          <w:rFonts w:ascii="Times New Roman" w:hAnsi="Times New Roman" w:eastAsia="仿宋_GB2312" w:cs="Times New Roman"/>
          <w:i w:val="0"/>
          <w:iCs w:val="0"/>
          <w:color w:val="000000"/>
          <w:kern w:val="0"/>
          <w:sz w:val="24"/>
          <w:szCs w:val="24"/>
          <w:lang w:bidi="ar"/>
        </w:rPr>
        <w:t>注：</w:t>
      </w:r>
      <w:r>
        <w:rPr>
          <w:rFonts w:hint="eastAsia" w:ascii="Times New Roman" w:hAnsi="Times New Roman" w:eastAsia="仿宋_GB2312" w:cs="Times New Roman"/>
          <w:i w:val="0"/>
          <w:iCs w:val="0"/>
          <w:color w:val="000000"/>
          <w:kern w:val="0"/>
          <w:sz w:val="24"/>
          <w:szCs w:val="24"/>
          <w:lang w:bidi="ar"/>
        </w:rPr>
        <w:t>1.本表依据《政府性基金预算财政拨款收入支出决算表》（财决09表）进行批复。</w:t>
      </w:r>
    </w:p>
    <w:p w14:paraId="7A8FBFBF">
      <w:pPr>
        <w:widowControl/>
        <w:shd w:val="clear"/>
        <w:spacing w:before="120"/>
        <w:jc w:val="left"/>
        <w:textAlignment w:val="center"/>
        <w:rPr>
          <w:rFonts w:hint="eastAsia" w:ascii="Times New Roman" w:hAnsi="Times New Roman" w:eastAsia="仿宋_GB2312" w:cs="Times New Roman"/>
          <w:i w:val="0"/>
          <w:iCs w:val="0"/>
          <w:color w:val="000000"/>
          <w:kern w:val="0"/>
          <w:sz w:val="24"/>
          <w:szCs w:val="24"/>
          <w:lang w:bidi="ar"/>
        </w:rPr>
      </w:pPr>
      <w:r>
        <w:rPr>
          <w:rFonts w:hint="eastAsia" w:ascii="Times New Roman" w:hAnsi="Times New Roman" w:eastAsia="仿宋_GB2312" w:cs="Times New Roman"/>
          <w:i w:val="0"/>
          <w:iCs w:val="0"/>
          <w:color w:val="000000"/>
          <w:kern w:val="0"/>
          <w:sz w:val="24"/>
          <w:szCs w:val="24"/>
          <w:lang w:bidi="ar"/>
        </w:rPr>
        <w:t xml:space="preserve">    2.本表批复到项级科目。</w:t>
      </w:r>
    </w:p>
    <w:p w14:paraId="2C9B7E00">
      <w:pPr>
        <w:widowControl/>
        <w:shd w:val="clear"/>
        <w:spacing w:before="120"/>
        <w:jc w:val="left"/>
        <w:textAlignment w:val="center"/>
        <w:rPr>
          <w:rFonts w:ascii="Times New Roman" w:hAnsi="Times New Roman" w:eastAsia="仿宋_GB2312" w:cs="Times New Roman"/>
          <w:i w:val="0"/>
          <w:iCs w:val="0"/>
          <w:color w:val="000000"/>
          <w:kern w:val="0"/>
          <w:sz w:val="24"/>
          <w:szCs w:val="24"/>
          <w:lang w:bidi="ar"/>
        </w:rPr>
      </w:pPr>
      <w:r>
        <w:rPr>
          <w:rFonts w:hint="eastAsia" w:ascii="Times New Roman" w:hAnsi="Times New Roman" w:eastAsia="仿宋_GB2312" w:cs="Times New Roman"/>
          <w:i w:val="0"/>
          <w:iCs w:val="0"/>
          <w:color w:val="000000"/>
          <w:kern w:val="0"/>
          <w:sz w:val="24"/>
          <w:szCs w:val="24"/>
          <w:lang w:bidi="ar"/>
        </w:rPr>
        <w:t xml:space="preserve">    3.本表以“万元”为金额单位（保留两位小数）。</w:t>
      </w:r>
    </w:p>
    <w:p w14:paraId="78FB9B70">
      <w:pP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br w:type="page"/>
      </w:r>
    </w:p>
    <w:p w14:paraId="54E1904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hint="eastAsia" w:ascii="方正小标宋简体" w:hAnsi="方正小标宋简体" w:eastAsia="方正小标宋简体" w:cs="方正小标宋简体"/>
          <w:b w:val="0"/>
          <w:bCs w:val="0"/>
          <w:i w:val="0"/>
          <w:iCs w:val="0"/>
          <w:caps w:val="0"/>
          <w:color w:val="000000"/>
          <w:spacing w:val="0"/>
          <w:sz w:val="44"/>
          <w:szCs w:val="44"/>
          <w:shd w:val="clear" w:color="auto" w:fill="FFFFFF"/>
        </w:rPr>
        <w:t>国有资本经营预算财政拨款收入支出决算批复</w:t>
      </w: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表</w:t>
      </w:r>
    </w:p>
    <w:p w14:paraId="195B54C5">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 xml:space="preserve">                                                                                                            </w:t>
      </w:r>
      <w:r>
        <w:rPr>
          <w:rFonts w:hint="eastAsia" w:ascii="Times New Roman" w:hAnsi="Times New Roman" w:eastAsia="仿宋_GB2312" w:cs="Times New Roman"/>
          <w:i w:val="0"/>
          <w:iCs w:val="0"/>
          <w:color w:val="000000"/>
          <w:kern w:val="0"/>
          <w:sz w:val="20"/>
          <w:szCs w:val="20"/>
          <w:lang w:val="en-US" w:eastAsia="zh-CN" w:bidi="ar"/>
        </w:rPr>
        <w:t xml:space="preserve">                      </w:t>
      </w:r>
      <w:r>
        <w:rPr>
          <w:rFonts w:hint="eastAsia" w:ascii="Times New Roman" w:hAnsi="Times New Roman" w:eastAsia="仿宋_GB2312" w:cs="Times New Roman"/>
          <w:i w:val="0"/>
          <w:iCs w:val="0"/>
          <w:color w:val="000000"/>
          <w:kern w:val="0"/>
          <w:sz w:val="20"/>
          <w:szCs w:val="20"/>
          <w:lang w:bidi="ar"/>
        </w:rPr>
        <w:t>财决批复</w:t>
      </w:r>
      <w:r>
        <w:rPr>
          <w:rFonts w:ascii="Times New Roman" w:hAnsi="Times New Roman" w:eastAsia="仿宋_GB2312" w:cs="Times New Roman"/>
          <w:i w:val="0"/>
          <w:iCs w:val="0"/>
          <w:color w:val="000000"/>
          <w:kern w:val="0"/>
          <w:sz w:val="20"/>
          <w:szCs w:val="20"/>
          <w:lang w:bidi="ar"/>
        </w:rPr>
        <w:t>08表</w:t>
      </w:r>
    </w:p>
    <w:p w14:paraId="3353AC63">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部门：</w:t>
      </w:r>
      <w:r>
        <w:rPr>
          <w:rFonts w:hint="eastAsia" w:ascii="Times New Roman" w:hAnsi="Times New Roman" w:eastAsia="仿宋_GB2312" w:cs="Times New Roman"/>
          <w:i w:val="0"/>
          <w:iCs w:val="0"/>
          <w:color w:val="000000"/>
          <w:kern w:val="0"/>
          <w:sz w:val="20"/>
          <w:szCs w:val="20"/>
          <w:lang w:bidi="ar"/>
        </w:rPr>
        <w:t>怀化市医疗保障局</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hint="eastAsia" w:ascii="Times New Roman" w:hAnsi="Times New Roman" w:eastAsia="仿宋_GB2312" w:cs="Times New Roman"/>
          <w:i w:val="0"/>
          <w:iCs w:val="0"/>
          <w:color w:val="000000"/>
          <w:sz w:val="20"/>
          <w:szCs w:val="20"/>
          <w:lang w:val="en-US" w:eastAsia="zh-CN"/>
        </w:rPr>
        <w:t xml:space="preserve">  </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hint="eastAsia" w:ascii="Times New Roman" w:hAnsi="Times New Roman" w:eastAsia="仿宋_GB2312" w:cs="Times New Roman"/>
          <w:i w:val="0"/>
          <w:iCs w:val="0"/>
          <w:color w:val="000000"/>
          <w:sz w:val="20"/>
          <w:szCs w:val="20"/>
          <w:lang w:eastAsia="zh-CN"/>
        </w:rPr>
        <w:t>金额</w:t>
      </w:r>
      <w:r>
        <w:rPr>
          <w:rFonts w:ascii="Times New Roman" w:hAnsi="Times New Roman" w:eastAsia="仿宋_GB2312" w:cs="Times New Roman"/>
          <w:i w:val="0"/>
          <w:iCs w:val="0"/>
          <w:color w:val="000000"/>
          <w:kern w:val="0"/>
          <w:sz w:val="20"/>
          <w:szCs w:val="20"/>
          <w:lang w:bidi="ar"/>
        </w:rPr>
        <w:t>单位：万元</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6"/>
        <w:gridCol w:w="436"/>
        <w:gridCol w:w="438"/>
        <w:gridCol w:w="3028"/>
        <w:gridCol w:w="1375"/>
        <w:gridCol w:w="1375"/>
        <w:gridCol w:w="1283"/>
        <w:gridCol w:w="1280"/>
        <w:gridCol w:w="1280"/>
        <w:gridCol w:w="1280"/>
        <w:gridCol w:w="1280"/>
        <w:gridCol w:w="1286"/>
      </w:tblGrid>
      <w:tr w14:paraId="03FC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4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42F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024" w:type="pct"/>
            <w:vMerge w:val="restart"/>
            <w:tcBorders>
              <w:top w:val="single" w:color="000000" w:sz="4" w:space="0"/>
              <w:left w:val="nil"/>
              <w:bottom w:val="single" w:color="000000" w:sz="4" w:space="0"/>
              <w:right w:val="single" w:color="000000" w:sz="4" w:space="0"/>
            </w:tcBorders>
            <w:shd w:val="clear" w:color="auto" w:fill="auto"/>
            <w:vAlign w:val="center"/>
          </w:tcPr>
          <w:p w14:paraId="0090C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64" w:type="pct"/>
            <w:gridSpan w:val="3"/>
            <w:tcBorders>
              <w:top w:val="single" w:color="000000" w:sz="4" w:space="0"/>
              <w:left w:val="nil"/>
              <w:bottom w:val="single" w:color="000000" w:sz="4" w:space="0"/>
              <w:right w:val="single" w:color="000000" w:sz="4" w:space="0"/>
            </w:tcBorders>
            <w:shd w:val="clear" w:color="auto" w:fill="auto"/>
            <w:vAlign w:val="center"/>
          </w:tcPr>
          <w:p w14:paraId="2CB23A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433" w:type="pct"/>
            <w:vMerge w:val="restart"/>
            <w:tcBorders>
              <w:top w:val="single" w:color="000000" w:sz="4" w:space="0"/>
              <w:left w:val="nil"/>
              <w:bottom w:val="single" w:color="000000" w:sz="4" w:space="0"/>
              <w:right w:val="single" w:color="000000" w:sz="4" w:space="0"/>
            </w:tcBorders>
            <w:shd w:val="clear" w:color="auto" w:fill="auto"/>
            <w:vAlign w:val="center"/>
          </w:tcPr>
          <w:p w14:paraId="30EC0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433" w:type="pct"/>
            <w:vMerge w:val="restart"/>
            <w:tcBorders>
              <w:top w:val="single" w:color="000000" w:sz="4" w:space="0"/>
              <w:left w:val="nil"/>
              <w:bottom w:val="single" w:color="000000" w:sz="4" w:space="0"/>
              <w:right w:val="single" w:color="000000" w:sz="4" w:space="0"/>
            </w:tcBorders>
            <w:shd w:val="clear" w:color="auto" w:fill="auto"/>
            <w:vAlign w:val="center"/>
          </w:tcPr>
          <w:p w14:paraId="6AF762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301" w:type="pct"/>
            <w:gridSpan w:val="3"/>
            <w:tcBorders>
              <w:top w:val="single" w:color="000000" w:sz="4" w:space="0"/>
              <w:left w:val="nil"/>
              <w:bottom w:val="single" w:color="000000" w:sz="4" w:space="0"/>
              <w:right w:val="single" w:color="000000" w:sz="4" w:space="0"/>
            </w:tcBorders>
            <w:shd w:val="clear" w:color="auto" w:fill="auto"/>
            <w:vAlign w:val="center"/>
          </w:tcPr>
          <w:p w14:paraId="3F2854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61CBD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4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949BB">
            <w:pPr>
              <w:jc w:val="center"/>
              <w:rPr>
                <w:rFonts w:hint="eastAsia" w:ascii="宋体" w:hAnsi="宋体" w:eastAsia="宋体" w:cs="宋体"/>
                <w:i w:val="0"/>
                <w:iCs w:val="0"/>
                <w:color w:val="000000"/>
                <w:sz w:val="22"/>
                <w:szCs w:val="22"/>
                <w:u w:val="none"/>
              </w:rPr>
            </w:pPr>
          </w:p>
        </w:tc>
        <w:tc>
          <w:tcPr>
            <w:tcW w:w="1024" w:type="pct"/>
            <w:vMerge w:val="continue"/>
            <w:tcBorders>
              <w:top w:val="single" w:color="000000" w:sz="4" w:space="0"/>
              <w:left w:val="nil"/>
              <w:bottom w:val="single" w:color="000000" w:sz="4" w:space="0"/>
              <w:right w:val="single" w:color="000000" w:sz="4" w:space="0"/>
            </w:tcBorders>
            <w:shd w:val="clear" w:color="auto" w:fill="auto"/>
            <w:vAlign w:val="center"/>
          </w:tcPr>
          <w:p w14:paraId="60D121C9">
            <w:pPr>
              <w:jc w:val="center"/>
              <w:rPr>
                <w:rFonts w:hint="eastAsia" w:ascii="宋体" w:hAnsi="宋体" w:eastAsia="宋体" w:cs="宋体"/>
                <w:i w:val="0"/>
                <w:iCs w:val="0"/>
                <w:color w:val="000000"/>
                <w:sz w:val="22"/>
                <w:szCs w:val="22"/>
                <w:u w:val="none"/>
              </w:rPr>
            </w:pPr>
          </w:p>
        </w:tc>
        <w:tc>
          <w:tcPr>
            <w:tcW w:w="465" w:type="pct"/>
            <w:vMerge w:val="restart"/>
            <w:tcBorders>
              <w:top w:val="nil"/>
              <w:left w:val="nil"/>
              <w:bottom w:val="single" w:color="000000" w:sz="4" w:space="0"/>
              <w:right w:val="single" w:color="000000" w:sz="4" w:space="0"/>
            </w:tcBorders>
            <w:shd w:val="clear" w:color="auto" w:fill="auto"/>
            <w:vAlign w:val="center"/>
          </w:tcPr>
          <w:p w14:paraId="1B8A7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65" w:type="pct"/>
            <w:vMerge w:val="restart"/>
            <w:tcBorders>
              <w:top w:val="nil"/>
              <w:left w:val="nil"/>
              <w:bottom w:val="single" w:color="000000" w:sz="4" w:space="0"/>
              <w:right w:val="single" w:color="000000" w:sz="4" w:space="0"/>
            </w:tcBorders>
            <w:shd w:val="clear" w:color="auto" w:fill="auto"/>
            <w:vAlign w:val="center"/>
          </w:tcPr>
          <w:p w14:paraId="0E6D61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结转</w:t>
            </w:r>
          </w:p>
        </w:tc>
        <w:tc>
          <w:tcPr>
            <w:tcW w:w="434" w:type="pct"/>
            <w:vMerge w:val="restart"/>
            <w:tcBorders>
              <w:top w:val="nil"/>
              <w:left w:val="nil"/>
              <w:bottom w:val="single" w:color="000000" w:sz="4" w:space="0"/>
              <w:right w:val="single" w:color="000000" w:sz="4" w:space="0"/>
            </w:tcBorders>
            <w:shd w:val="clear" w:color="auto" w:fill="auto"/>
            <w:vAlign w:val="center"/>
          </w:tcPr>
          <w:p w14:paraId="50E11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w:t>
            </w:r>
          </w:p>
        </w:tc>
        <w:tc>
          <w:tcPr>
            <w:tcW w:w="433" w:type="pct"/>
            <w:vMerge w:val="continue"/>
            <w:tcBorders>
              <w:top w:val="single" w:color="000000" w:sz="4" w:space="0"/>
              <w:left w:val="nil"/>
              <w:bottom w:val="single" w:color="000000" w:sz="4" w:space="0"/>
              <w:right w:val="single" w:color="000000" w:sz="4" w:space="0"/>
            </w:tcBorders>
            <w:shd w:val="clear" w:color="auto" w:fill="auto"/>
            <w:vAlign w:val="center"/>
          </w:tcPr>
          <w:p w14:paraId="4E60F40D">
            <w:pPr>
              <w:jc w:val="center"/>
              <w:rPr>
                <w:rFonts w:hint="eastAsia" w:ascii="宋体" w:hAnsi="宋体" w:eastAsia="宋体" w:cs="宋体"/>
                <w:i w:val="0"/>
                <w:iCs w:val="0"/>
                <w:color w:val="000000"/>
                <w:sz w:val="22"/>
                <w:szCs w:val="22"/>
                <w:u w:val="none"/>
              </w:rPr>
            </w:pPr>
          </w:p>
        </w:tc>
        <w:tc>
          <w:tcPr>
            <w:tcW w:w="433" w:type="pct"/>
            <w:vMerge w:val="continue"/>
            <w:tcBorders>
              <w:top w:val="single" w:color="000000" w:sz="4" w:space="0"/>
              <w:left w:val="nil"/>
              <w:bottom w:val="single" w:color="000000" w:sz="4" w:space="0"/>
              <w:right w:val="single" w:color="000000" w:sz="4" w:space="0"/>
            </w:tcBorders>
            <w:shd w:val="clear" w:color="auto" w:fill="auto"/>
            <w:vAlign w:val="center"/>
          </w:tcPr>
          <w:p w14:paraId="505886B7">
            <w:pPr>
              <w:jc w:val="center"/>
              <w:rPr>
                <w:rFonts w:hint="eastAsia" w:ascii="宋体" w:hAnsi="宋体" w:eastAsia="宋体" w:cs="宋体"/>
                <w:i w:val="0"/>
                <w:iCs w:val="0"/>
                <w:color w:val="000000"/>
                <w:sz w:val="22"/>
                <w:szCs w:val="22"/>
                <w:u w:val="none"/>
              </w:rPr>
            </w:pPr>
          </w:p>
        </w:tc>
        <w:tc>
          <w:tcPr>
            <w:tcW w:w="433" w:type="pct"/>
            <w:vMerge w:val="restart"/>
            <w:tcBorders>
              <w:top w:val="nil"/>
              <w:left w:val="nil"/>
              <w:bottom w:val="single" w:color="000000" w:sz="4" w:space="0"/>
              <w:right w:val="single" w:color="000000" w:sz="4" w:space="0"/>
            </w:tcBorders>
            <w:shd w:val="clear" w:color="auto" w:fill="auto"/>
            <w:vAlign w:val="center"/>
          </w:tcPr>
          <w:p w14:paraId="18E0F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33" w:type="pct"/>
            <w:vMerge w:val="restart"/>
            <w:tcBorders>
              <w:top w:val="nil"/>
              <w:left w:val="nil"/>
              <w:bottom w:val="single" w:color="000000" w:sz="4" w:space="0"/>
              <w:right w:val="single" w:color="000000" w:sz="4" w:space="0"/>
            </w:tcBorders>
            <w:shd w:val="clear" w:color="auto" w:fill="auto"/>
            <w:vAlign w:val="center"/>
          </w:tcPr>
          <w:p w14:paraId="245D8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结转</w:t>
            </w:r>
          </w:p>
        </w:tc>
        <w:tc>
          <w:tcPr>
            <w:tcW w:w="435" w:type="pct"/>
            <w:vMerge w:val="restart"/>
            <w:tcBorders>
              <w:top w:val="nil"/>
              <w:left w:val="nil"/>
              <w:bottom w:val="single" w:color="000000" w:sz="4" w:space="0"/>
              <w:right w:val="single" w:color="000000" w:sz="4" w:space="0"/>
            </w:tcBorders>
            <w:shd w:val="clear" w:color="auto" w:fill="auto"/>
            <w:vAlign w:val="center"/>
          </w:tcPr>
          <w:p w14:paraId="60948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w:t>
            </w:r>
          </w:p>
        </w:tc>
      </w:tr>
      <w:tr w14:paraId="331B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4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9AE72">
            <w:pPr>
              <w:jc w:val="center"/>
              <w:rPr>
                <w:rFonts w:hint="eastAsia" w:ascii="宋体" w:hAnsi="宋体" w:eastAsia="宋体" w:cs="宋体"/>
                <w:i w:val="0"/>
                <w:iCs w:val="0"/>
                <w:color w:val="000000"/>
                <w:sz w:val="22"/>
                <w:szCs w:val="22"/>
                <w:u w:val="none"/>
              </w:rPr>
            </w:pPr>
          </w:p>
        </w:tc>
        <w:tc>
          <w:tcPr>
            <w:tcW w:w="1024" w:type="pct"/>
            <w:vMerge w:val="continue"/>
            <w:tcBorders>
              <w:top w:val="single" w:color="000000" w:sz="4" w:space="0"/>
              <w:left w:val="nil"/>
              <w:bottom w:val="single" w:color="000000" w:sz="4" w:space="0"/>
              <w:right w:val="single" w:color="000000" w:sz="4" w:space="0"/>
            </w:tcBorders>
            <w:shd w:val="clear" w:color="auto" w:fill="auto"/>
            <w:vAlign w:val="center"/>
          </w:tcPr>
          <w:p w14:paraId="245D9FB6">
            <w:pPr>
              <w:jc w:val="center"/>
              <w:rPr>
                <w:rFonts w:hint="eastAsia" w:ascii="宋体" w:hAnsi="宋体" w:eastAsia="宋体" w:cs="宋体"/>
                <w:i w:val="0"/>
                <w:iCs w:val="0"/>
                <w:color w:val="000000"/>
                <w:sz w:val="22"/>
                <w:szCs w:val="22"/>
                <w:u w:val="none"/>
              </w:rPr>
            </w:pPr>
          </w:p>
        </w:tc>
        <w:tc>
          <w:tcPr>
            <w:tcW w:w="465" w:type="pct"/>
            <w:vMerge w:val="continue"/>
            <w:tcBorders>
              <w:top w:val="nil"/>
              <w:left w:val="nil"/>
              <w:bottom w:val="single" w:color="000000" w:sz="4" w:space="0"/>
              <w:right w:val="single" w:color="000000" w:sz="4" w:space="0"/>
            </w:tcBorders>
            <w:shd w:val="clear" w:color="auto" w:fill="auto"/>
            <w:vAlign w:val="center"/>
          </w:tcPr>
          <w:p w14:paraId="124BD12D">
            <w:pPr>
              <w:jc w:val="center"/>
              <w:rPr>
                <w:rFonts w:hint="eastAsia" w:ascii="宋体" w:hAnsi="宋体" w:eastAsia="宋体" w:cs="宋体"/>
                <w:i w:val="0"/>
                <w:iCs w:val="0"/>
                <w:color w:val="000000"/>
                <w:sz w:val="22"/>
                <w:szCs w:val="22"/>
                <w:u w:val="none"/>
              </w:rPr>
            </w:pPr>
          </w:p>
        </w:tc>
        <w:tc>
          <w:tcPr>
            <w:tcW w:w="465" w:type="pct"/>
            <w:vMerge w:val="continue"/>
            <w:tcBorders>
              <w:top w:val="nil"/>
              <w:left w:val="nil"/>
              <w:bottom w:val="single" w:color="000000" w:sz="4" w:space="0"/>
              <w:right w:val="single" w:color="000000" w:sz="4" w:space="0"/>
            </w:tcBorders>
            <w:shd w:val="clear" w:color="auto" w:fill="auto"/>
            <w:vAlign w:val="center"/>
          </w:tcPr>
          <w:p w14:paraId="6C2484DF">
            <w:pPr>
              <w:jc w:val="center"/>
              <w:rPr>
                <w:rFonts w:hint="eastAsia" w:ascii="宋体" w:hAnsi="宋体" w:eastAsia="宋体" w:cs="宋体"/>
                <w:i w:val="0"/>
                <w:iCs w:val="0"/>
                <w:color w:val="000000"/>
                <w:sz w:val="22"/>
                <w:szCs w:val="22"/>
                <w:u w:val="none"/>
              </w:rPr>
            </w:pPr>
          </w:p>
        </w:tc>
        <w:tc>
          <w:tcPr>
            <w:tcW w:w="434" w:type="pct"/>
            <w:vMerge w:val="continue"/>
            <w:tcBorders>
              <w:top w:val="nil"/>
              <w:left w:val="nil"/>
              <w:bottom w:val="single" w:color="000000" w:sz="4" w:space="0"/>
              <w:right w:val="single" w:color="000000" w:sz="4" w:space="0"/>
            </w:tcBorders>
            <w:shd w:val="clear" w:color="auto" w:fill="auto"/>
            <w:vAlign w:val="center"/>
          </w:tcPr>
          <w:p w14:paraId="6D1B1B75">
            <w:pPr>
              <w:jc w:val="center"/>
              <w:rPr>
                <w:rFonts w:hint="eastAsia" w:ascii="宋体" w:hAnsi="宋体" w:eastAsia="宋体" w:cs="宋体"/>
                <w:i w:val="0"/>
                <w:iCs w:val="0"/>
                <w:color w:val="000000"/>
                <w:sz w:val="22"/>
                <w:szCs w:val="22"/>
                <w:u w:val="none"/>
              </w:rPr>
            </w:pPr>
          </w:p>
        </w:tc>
        <w:tc>
          <w:tcPr>
            <w:tcW w:w="433" w:type="pct"/>
            <w:vMerge w:val="continue"/>
            <w:tcBorders>
              <w:top w:val="single" w:color="000000" w:sz="4" w:space="0"/>
              <w:left w:val="nil"/>
              <w:bottom w:val="single" w:color="000000" w:sz="4" w:space="0"/>
              <w:right w:val="single" w:color="000000" w:sz="4" w:space="0"/>
            </w:tcBorders>
            <w:shd w:val="clear" w:color="auto" w:fill="auto"/>
            <w:vAlign w:val="center"/>
          </w:tcPr>
          <w:p w14:paraId="29A98F0C">
            <w:pPr>
              <w:jc w:val="center"/>
              <w:rPr>
                <w:rFonts w:hint="eastAsia" w:ascii="宋体" w:hAnsi="宋体" w:eastAsia="宋体" w:cs="宋体"/>
                <w:i w:val="0"/>
                <w:iCs w:val="0"/>
                <w:color w:val="000000"/>
                <w:sz w:val="22"/>
                <w:szCs w:val="22"/>
                <w:u w:val="none"/>
              </w:rPr>
            </w:pPr>
          </w:p>
        </w:tc>
        <w:tc>
          <w:tcPr>
            <w:tcW w:w="433" w:type="pct"/>
            <w:vMerge w:val="continue"/>
            <w:tcBorders>
              <w:top w:val="single" w:color="000000" w:sz="4" w:space="0"/>
              <w:left w:val="nil"/>
              <w:bottom w:val="single" w:color="000000" w:sz="4" w:space="0"/>
              <w:right w:val="single" w:color="000000" w:sz="4" w:space="0"/>
            </w:tcBorders>
            <w:shd w:val="clear" w:color="auto" w:fill="auto"/>
            <w:vAlign w:val="center"/>
          </w:tcPr>
          <w:p w14:paraId="7869543E">
            <w:pPr>
              <w:jc w:val="center"/>
              <w:rPr>
                <w:rFonts w:hint="eastAsia" w:ascii="宋体" w:hAnsi="宋体" w:eastAsia="宋体" w:cs="宋体"/>
                <w:i w:val="0"/>
                <w:iCs w:val="0"/>
                <w:color w:val="000000"/>
                <w:sz w:val="22"/>
                <w:szCs w:val="22"/>
                <w:u w:val="none"/>
              </w:rPr>
            </w:pPr>
          </w:p>
        </w:tc>
        <w:tc>
          <w:tcPr>
            <w:tcW w:w="433" w:type="pct"/>
            <w:vMerge w:val="continue"/>
            <w:tcBorders>
              <w:top w:val="nil"/>
              <w:left w:val="nil"/>
              <w:bottom w:val="single" w:color="000000" w:sz="4" w:space="0"/>
              <w:right w:val="single" w:color="000000" w:sz="4" w:space="0"/>
            </w:tcBorders>
            <w:shd w:val="clear" w:color="auto" w:fill="auto"/>
            <w:vAlign w:val="center"/>
          </w:tcPr>
          <w:p w14:paraId="3E86E0AE">
            <w:pPr>
              <w:jc w:val="center"/>
              <w:rPr>
                <w:rFonts w:hint="eastAsia" w:ascii="宋体" w:hAnsi="宋体" w:eastAsia="宋体" w:cs="宋体"/>
                <w:i w:val="0"/>
                <w:iCs w:val="0"/>
                <w:color w:val="000000"/>
                <w:sz w:val="22"/>
                <w:szCs w:val="22"/>
                <w:u w:val="none"/>
              </w:rPr>
            </w:pPr>
          </w:p>
        </w:tc>
        <w:tc>
          <w:tcPr>
            <w:tcW w:w="433" w:type="pct"/>
            <w:vMerge w:val="continue"/>
            <w:tcBorders>
              <w:top w:val="nil"/>
              <w:left w:val="nil"/>
              <w:bottom w:val="single" w:color="000000" w:sz="4" w:space="0"/>
              <w:right w:val="single" w:color="000000" w:sz="4" w:space="0"/>
            </w:tcBorders>
            <w:shd w:val="clear" w:color="auto" w:fill="auto"/>
            <w:vAlign w:val="center"/>
          </w:tcPr>
          <w:p w14:paraId="4C525B1A">
            <w:pPr>
              <w:jc w:val="center"/>
              <w:rPr>
                <w:rFonts w:hint="eastAsia" w:ascii="宋体" w:hAnsi="宋体" w:eastAsia="宋体" w:cs="宋体"/>
                <w:i w:val="0"/>
                <w:iCs w:val="0"/>
                <w:color w:val="000000"/>
                <w:sz w:val="22"/>
                <w:szCs w:val="22"/>
                <w:u w:val="none"/>
              </w:rPr>
            </w:pPr>
          </w:p>
        </w:tc>
        <w:tc>
          <w:tcPr>
            <w:tcW w:w="435" w:type="pct"/>
            <w:vMerge w:val="continue"/>
            <w:tcBorders>
              <w:top w:val="nil"/>
              <w:left w:val="nil"/>
              <w:bottom w:val="single" w:color="000000" w:sz="4" w:space="0"/>
              <w:right w:val="single" w:color="000000" w:sz="4" w:space="0"/>
            </w:tcBorders>
            <w:shd w:val="clear" w:color="auto" w:fill="auto"/>
            <w:vAlign w:val="center"/>
          </w:tcPr>
          <w:p w14:paraId="15462B45">
            <w:pPr>
              <w:jc w:val="center"/>
              <w:rPr>
                <w:rFonts w:hint="eastAsia" w:ascii="宋体" w:hAnsi="宋体" w:eastAsia="宋体" w:cs="宋体"/>
                <w:i w:val="0"/>
                <w:iCs w:val="0"/>
                <w:color w:val="000000"/>
                <w:sz w:val="22"/>
                <w:szCs w:val="22"/>
                <w:u w:val="none"/>
              </w:rPr>
            </w:pPr>
          </w:p>
        </w:tc>
      </w:tr>
      <w:tr w14:paraId="7BFB9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47" w:type="pct"/>
            <w:vMerge w:val="restart"/>
            <w:tcBorders>
              <w:top w:val="nil"/>
              <w:left w:val="single" w:color="000000" w:sz="4" w:space="0"/>
              <w:bottom w:val="single" w:color="000000" w:sz="4" w:space="0"/>
              <w:right w:val="single" w:color="000000" w:sz="4" w:space="0"/>
            </w:tcBorders>
            <w:shd w:val="clear" w:color="auto" w:fill="auto"/>
            <w:vAlign w:val="center"/>
          </w:tcPr>
          <w:p w14:paraId="7D44CF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147" w:type="pct"/>
            <w:vMerge w:val="restart"/>
            <w:tcBorders>
              <w:top w:val="nil"/>
              <w:left w:val="nil"/>
              <w:bottom w:val="single" w:color="000000" w:sz="4" w:space="0"/>
              <w:right w:val="single" w:color="000000" w:sz="4" w:space="0"/>
            </w:tcBorders>
            <w:shd w:val="clear" w:color="auto" w:fill="auto"/>
            <w:vAlign w:val="center"/>
          </w:tcPr>
          <w:p w14:paraId="6F429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147" w:type="pct"/>
            <w:vMerge w:val="restart"/>
            <w:tcBorders>
              <w:top w:val="nil"/>
              <w:left w:val="nil"/>
              <w:bottom w:val="single" w:color="000000" w:sz="4" w:space="0"/>
              <w:right w:val="single" w:color="000000" w:sz="4" w:space="0"/>
            </w:tcBorders>
            <w:shd w:val="clear" w:color="auto" w:fill="auto"/>
            <w:vAlign w:val="center"/>
          </w:tcPr>
          <w:p w14:paraId="5DE7C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24" w:type="pct"/>
            <w:tcBorders>
              <w:top w:val="nil"/>
              <w:left w:val="nil"/>
              <w:bottom w:val="single" w:color="000000" w:sz="4" w:space="0"/>
              <w:right w:val="single" w:color="000000" w:sz="4" w:space="0"/>
            </w:tcBorders>
            <w:shd w:val="clear" w:color="auto" w:fill="auto"/>
            <w:vAlign w:val="center"/>
          </w:tcPr>
          <w:p w14:paraId="031DD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65" w:type="pct"/>
            <w:tcBorders>
              <w:top w:val="nil"/>
              <w:left w:val="nil"/>
              <w:bottom w:val="single" w:color="000000" w:sz="4" w:space="0"/>
              <w:right w:val="single" w:color="000000" w:sz="4" w:space="0"/>
            </w:tcBorders>
            <w:shd w:val="clear" w:color="auto" w:fill="auto"/>
            <w:noWrap/>
            <w:vAlign w:val="center"/>
          </w:tcPr>
          <w:p w14:paraId="3E3AB1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65" w:type="pct"/>
            <w:tcBorders>
              <w:top w:val="nil"/>
              <w:left w:val="nil"/>
              <w:bottom w:val="single" w:color="000000" w:sz="4" w:space="0"/>
              <w:right w:val="single" w:color="000000" w:sz="4" w:space="0"/>
            </w:tcBorders>
            <w:shd w:val="clear" w:color="auto" w:fill="auto"/>
            <w:noWrap/>
            <w:vAlign w:val="center"/>
          </w:tcPr>
          <w:p w14:paraId="07DFA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4" w:type="pct"/>
            <w:tcBorders>
              <w:top w:val="nil"/>
              <w:left w:val="nil"/>
              <w:bottom w:val="single" w:color="000000" w:sz="4" w:space="0"/>
              <w:right w:val="single" w:color="000000" w:sz="4" w:space="0"/>
            </w:tcBorders>
            <w:shd w:val="clear" w:color="auto" w:fill="auto"/>
            <w:noWrap/>
            <w:vAlign w:val="center"/>
          </w:tcPr>
          <w:p w14:paraId="5AB4B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3" w:type="pct"/>
            <w:tcBorders>
              <w:top w:val="nil"/>
              <w:left w:val="nil"/>
              <w:bottom w:val="single" w:color="000000" w:sz="4" w:space="0"/>
              <w:right w:val="single" w:color="000000" w:sz="4" w:space="0"/>
            </w:tcBorders>
            <w:shd w:val="clear" w:color="auto" w:fill="auto"/>
            <w:noWrap/>
            <w:vAlign w:val="center"/>
          </w:tcPr>
          <w:p w14:paraId="7BDEE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3" w:type="pct"/>
            <w:tcBorders>
              <w:top w:val="nil"/>
              <w:left w:val="nil"/>
              <w:bottom w:val="single" w:color="000000" w:sz="4" w:space="0"/>
              <w:right w:val="single" w:color="000000" w:sz="4" w:space="0"/>
            </w:tcBorders>
            <w:shd w:val="clear" w:color="auto" w:fill="auto"/>
            <w:noWrap/>
            <w:vAlign w:val="center"/>
          </w:tcPr>
          <w:p w14:paraId="66473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3" w:type="pct"/>
            <w:tcBorders>
              <w:top w:val="nil"/>
              <w:left w:val="nil"/>
              <w:bottom w:val="single" w:color="000000" w:sz="4" w:space="0"/>
              <w:right w:val="single" w:color="000000" w:sz="4" w:space="0"/>
            </w:tcBorders>
            <w:shd w:val="clear" w:color="auto" w:fill="auto"/>
            <w:noWrap/>
            <w:vAlign w:val="center"/>
          </w:tcPr>
          <w:p w14:paraId="35BCA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33" w:type="pct"/>
            <w:tcBorders>
              <w:top w:val="nil"/>
              <w:left w:val="nil"/>
              <w:bottom w:val="single" w:color="000000" w:sz="4" w:space="0"/>
              <w:right w:val="single" w:color="000000" w:sz="4" w:space="0"/>
            </w:tcBorders>
            <w:shd w:val="clear" w:color="auto" w:fill="auto"/>
            <w:noWrap/>
            <w:vAlign w:val="center"/>
          </w:tcPr>
          <w:p w14:paraId="2E6ED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35" w:type="pct"/>
            <w:tcBorders>
              <w:top w:val="nil"/>
              <w:left w:val="nil"/>
              <w:bottom w:val="single" w:color="000000" w:sz="4" w:space="0"/>
              <w:right w:val="single" w:color="000000" w:sz="4" w:space="0"/>
            </w:tcBorders>
            <w:shd w:val="clear" w:color="auto" w:fill="auto"/>
            <w:noWrap/>
            <w:vAlign w:val="center"/>
          </w:tcPr>
          <w:p w14:paraId="1B44EE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r w14:paraId="281D8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47" w:type="pct"/>
            <w:vMerge w:val="continue"/>
            <w:tcBorders>
              <w:top w:val="nil"/>
              <w:left w:val="single" w:color="000000" w:sz="4" w:space="0"/>
              <w:bottom w:val="single" w:color="000000" w:sz="4" w:space="0"/>
              <w:right w:val="single" w:color="000000" w:sz="4" w:space="0"/>
            </w:tcBorders>
            <w:shd w:val="clear" w:color="auto" w:fill="auto"/>
            <w:vAlign w:val="center"/>
          </w:tcPr>
          <w:p w14:paraId="4D4A0C78">
            <w:pPr>
              <w:jc w:val="center"/>
              <w:rPr>
                <w:rFonts w:hint="eastAsia" w:ascii="宋体" w:hAnsi="宋体" w:eastAsia="宋体" w:cs="宋体"/>
                <w:i w:val="0"/>
                <w:iCs w:val="0"/>
                <w:color w:val="000000"/>
                <w:sz w:val="22"/>
                <w:szCs w:val="22"/>
                <w:u w:val="none"/>
              </w:rPr>
            </w:pPr>
          </w:p>
        </w:tc>
        <w:tc>
          <w:tcPr>
            <w:tcW w:w="147" w:type="pct"/>
            <w:vMerge w:val="continue"/>
            <w:tcBorders>
              <w:top w:val="nil"/>
              <w:left w:val="nil"/>
              <w:bottom w:val="single" w:color="000000" w:sz="4" w:space="0"/>
              <w:right w:val="single" w:color="000000" w:sz="4" w:space="0"/>
            </w:tcBorders>
            <w:shd w:val="clear" w:color="auto" w:fill="auto"/>
            <w:vAlign w:val="center"/>
          </w:tcPr>
          <w:p w14:paraId="157EA63C">
            <w:pPr>
              <w:jc w:val="center"/>
              <w:rPr>
                <w:rFonts w:hint="eastAsia" w:ascii="宋体" w:hAnsi="宋体" w:eastAsia="宋体" w:cs="宋体"/>
                <w:i w:val="0"/>
                <w:iCs w:val="0"/>
                <w:color w:val="000000"/>
                <w:sz w:val="22"/>
                <w:szCs w:val="22"/>
                <w:u w:val="none"/>
              </w:rPr>
            </w:pPr>
          </w:p>
        </w:tc>
        <w:tc>
          <w:tcPr>
            <w:tcW w:w="147" w:type="pct"/>
            <w:vMerge w:val="continue"/>
            <w:tcBorders>
              <w:top w:val="nil"/>
              <w:left w:val="nil"/>
              <w:bottom w:val="single" w:color="000000" w:sz="4" w:space="0"/>
              <w:right w:val="single" w:color="000000" w:sz="4" w:space="0"/>
            </w:tcBorders>
            <w:shd w:val="clear" w:color="auto" w:fill="auto"/>
            <w:vAlign w:val="center"/>
          </w:tcPr>
          <w:p w14:paraId="5F190C54">
            <w:pPr>
              <w:jc w:val="center"/>
              <w:rPr>
                <w:rFonts w:hint="eastAsia" w:ascii="宋体" w:hAnsi="宋体" w:eastAsia="宋体" w:cs="宋体"/>
                <w:i w:val="0"/>
                <w:iCs w:val="0"/>
                <w:color w:val="000000"/>
                <w:sz w:val="22"/>
                <w:szCs w:val="22"/>
                <w:u w:val="none"/>
              </w:rPr>
            </w:pPr>
          </w:p>
        </w:tc>
        <w:tc>
          <w:tcPr>
            <w:tcW w:w="1024" w:type="pct"/>
            <w:tcBorders>
              <w:top w:val="nil"/>
              <w:left w:val="nil"/>
              <w:bottom w:val="single" w:color="000000" w:sz="4" w:space="0"/>
              <w:right w:val="single" w:color="000000" w:sz="4" w:space="0"/>
            </w:tcBorders>
            <w:shd w:val="clear" w:color="auto" w:fill="auto"/>
            <w:vAlign w:val="center"/>
          </w:tcPr>
          <w:p w14:paraId="49BEF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65" w:type="pct"/>
            <w:tcBorders>
              <w:top w:val="nil"/>
              <w:left w:val="nil"/>
              <w:bottom w:val="single" w:color="000000" w:sz="4" w:space="0"/>
              <w:right w:val="single" w:color="000000" w:sz="4" w:space="0"/>
            </w:tcBorders>
            <w:shd w:val="clear" w:color="auto" w:fill="auto"/>
            <w:noWrap/>
            <w:vAlign w:val="center"/>
          </w:tcPr>
          <w:p w14:paraId="4BC3EC38">
            <w:pPr>
              <w:jc w:val="right"/>
              <w:rPr>
                <w:rFonts w:hint="eastAsia" w:ascii="宋体" w:hAnsi="宋体" w:eastAsia="宋体" w:cs="宋体"/>
                <w:b/>
                <w:bCs/>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3DE58632">
            <w:pPr>
              <w:jc w:val="right"/>
              <w:rPr>
                <w:rFonts w:hint="eastAsia" w:ascii="宋体" w:hAnsi="宋体" w:eastAsia="宋体" w:cs="宋体"/>
                <w:b/>
                <w:bCs/>
                <w:i w:val="0"/>
                <w:iCs w:val="0"/>
                <w:color w:val="000000"/>
                <w:sz w:val="22"/>
                <w:szCs w:val="22"/>
                <w:u w:val="none"/>
              </w:rPr>
            </w:pPr>
          </w:p>
        </w:tc>
        <w:tc>
          <w:tcPr>
            <w:tcW w:w="434" w:type="pct"/>
            <w:tcBorders>
              <w:top w:val="nil"/>
              <w:left w:val="nil"/>
              <w:bottom w:val="single" w:color="000000" w:sz="4" w:space="0"/>
              <w:right w:val="single" w:color="000000" w:sz="4" w:space="0"/>
            </w:tcBorders>
            <w:shd w:val="clear" w:color="auto" w:fill="auto"/>
            <w:noWrap/>
            <w:vAlign w:val="center"/>
          </w:tcPr>
          <w:p w14:paraId="56A2D861">
            <w:pPr>
              <w:jc w:val="right"/>
              <w:rPr>
                <w:rFonts w:hint="eastAsia" w:ascii="宋体" w:hAnsi="宋体" w:eastAsia="宋体" w:cs="宋体"/>
                <w:b/>
                <w:bCs/>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59F864B9">
            <w:pPr>
              <w:jc w:val="right"/>
              <w:rPr>
                <w:rFonts w:hint="eastAsia" w:ascii="宋体" w:hAnsi="宋体" w:eastAsia="宋体" w:cs="宋体"/>
                <w:b/>
                <w:bCs/>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04D99F03">
            <w:pPr>
              <w:jc w:val="right"/>
              <w:rPr>
                <w:rFonts w:hint="eastAsia" w:ascii="宋体" w:hAnsi="宋体" w:eastAsia="宋体" w:cs="宋体"/>
                <w:b/>
                <w:bCs/>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3155A1C2">
            <w:pPr>
              <w:jc w:val="right"/>
              <w:rPr>
                <w:rFonts w:hint="eastAsia" w:ascii="宋体" w:hAnsi="宋体" w:eastAsia="宋体" w:cs="宋体"/>
                <w:b/>
                <w:bCs/>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5A647673">
            <w:pPr>
              <w:jc w:val="right"/>
              <w:rPr>
                <w:rFonts w:hint="eastAsia" w:ascii="宋体" w:hAnsi="宋体" w:eastAsia="宋体" w:cs="宋体"/>
                <w:b/>
                <w:bCs/>
                <w:i w:val="0"/>
                <w:iCs w:val="0"/>
                <w:color w:val="000000"/>
                <w:sz w:val="22"/>
                <w:szCs w:val="22"/>
                <w:u w:val="none"/>
              </w:rPr>
            </w:pPr>
          </w:p>
        </w:tc>
        <w:tc>
          <w:tcPr>
            <w:tcW w:w="435" w:type="pct"/>
            <w:tcBorders>
              <w:top w:val="nil"/>
              <w:left w:val="nil"/>
              <w:bottom w:val="single" w:color="000000" w:sz="4" w:space="0"/>
              <w:right w:val="single" w:color="000000" w:sz="4" w:space="0"/>
            </w:tcBorders>
            <w:shd w:val="clear" w:color="auto" w:fill="auto"/>
            <w:noWrap/>
            <w:vAlign w:val="center"/>
          </w:tcPr>
          <w:p w14:paraId="42B62B47">
            <w:pPr>
              <w:jc w:val="right"/>
              <w:rPr>
                <w:rFonts w:hint="eastAsia" w:ascii="宋体" w:hAnsi="宋体" w:eastAsia="宋体" w:cs="宋体"/>
                <w:b/>
                <w:bCs/>
                <w:i w:val="0"/>
                <w:iCs w:val="0"/>
                <w:color w:val="000000"/>
                <w:sz w:val="22"/>
                <w:szCs w:val="22"/>
                <w:u w:val="none"/>
              </w:rPr>
            </w:pPr>
          </w:p>
        </w:tc>
      </w:tr>
      <w:tr w14:paraId="682F5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42" w:type="pct"/>
            <w:gridSpan w:val="3"/>
            <w:tcBorders>
              <w:top w:val="nil"/>
              <w:left w:val="single" w:color="000000" w:sz="4" w:space="0"/>
              <w:bottom w:val="single" w:color="000000" w:sz="4" w:space="0"/>
              <w:right w:val="single" w:color="000000" w:sz="4" w:space="0"/>
            </w:tcBorders>
            <w:shd w:val="clear" w:color="auto" w:fill="auto"/>
            <w:noWrap/>
            <w:vAlign w:val="center"/>
          </w:tcPr>
          <w:p w14:paraId="333B4CE0">
            <w:pPr>
              <w:jc w:val="left"/>
              <w:rPr>
                <w:rFonts w:hint="eastAsia" w:ascii="宋体" w:hAnsi="宋体" w:eastAsia="宋体" w:cs="宋体"/>
                <w:i w:val="0"/>
                <w:iCs w:val="0"/>
                <w:color w:val="000000"/>
                <w:sz w:val="22"/>
                <w:szCs w:val="22"/>
                <w:u w:val="none"/>
              </w:rPr>
            </w:pPr>
          </w:p>
        </w:tc>
        <w:tc>
          <w:tcPr>
            <w:tcW w:w="1024" w:type="pct"/>
            <w:tcBorders>
              <w:top w:val="nil"/>
              <w:left w:val="nil"/>
              <w:bottom w:val="single" w:color="000000" w:sz="4" w:space="0"/>
              <w:right w:val="single" w:color="000000" w:sz="4" w:space="0"/>
            </w:tcBorders>
            <w:shd w:val="clear" w:color="auto" w:fill="auto"/>
            <w:noWrap/>
            <w:vAlign w:val="center"/>
          </w:tcPr>
          <w:p w14:paraId="439537A3">
            <w:pPr>
              <w:jc w:val="lef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11E8393C">
            <w:pPr>
              <w:jc w:val="righ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1AF3B9C1">
            <w:pPr>
              <w:jc w:val="right"/>
              <w:rPr>
                <w:rFonts w:hint="eastAsia" w:ascii="宋体" w:hAnsi="宋体" w:eastAsia="宋体" w:cs="宋体"/>
                <w:i w:val="0"/>
                <w:iCs w:val="0"/>
                <w:color w:val="000000"/>
                <w:sz w:val="22"/>
                <w:szCs w:val="22"/>
                <w:u w:val="none"/>
              </w:rPr>
            </w:pPr>
          </w:p>
        </w:tc>
        <w:tc>
          <w:tcPr>
            <w:tcW w:w="434" w:type="pct"/>
            <w:tcBorders>
              <w:top w:val="nil"/>
              <w:left w:val="nil"/>
              <w:bottom w:val="single" w:color="000000" w:sz="4" w:space="0"/>
              <w:right w:val="single" w:color="000000" w:sz="4" w:space="0"/>
            </w:tcBorders>
            <w:shd w:val="clear" w:color="auto" w:fill="auto"/>
            <w:noWrap/>
            <w:vAlign w:val="center"/>
          </w:tcPr>
          <w:p w14:paraId="27F746BB">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5000B514">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3BEA2F16">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7E6AA65F">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581DB879">
            <w:pPr>
              <w:jc w:val="right"/>
              <w:rPr>
                <w:rFonts w:hint="eastAsia" w:ascii="宋体" w:hAnsi="宋体" w:eastAsia="宋体" w:cs="宋体"/>
                <w:i w:val="0"/>
                <w:iCs w:val="0"/>
                <w:color w:val="000000"/>
                <w:sz w:val="22"/>
                <w:szCs w:val="22"/>
                <w:u w:val="none"/>
              </w:rPr>
            </w:pPr>
          </w:p>
        </w:tc>
        <w:tc>
          <w:tcPr>
            <w:tcW w:w="435" w:type="pct"/>
            <w:tcBorders>
              <w:top w:val="nil"/>
              <w:left w:val="nil"/>
              <w:bottom w:val="single" w:color="000000" w:sz="4" w:space="0"/>
              <w:right w:val="single" w:color="000000" w:sz="4" w:space="0"/>
            </w:tcBorders>
            <w:shd w:val="clear" w:color="auto" w:fill="auto"/>
            <w:noWrap/>
            <w:vAlign w:val="center"/>
          </w:tcPr>
          <w:p w14:paraId="7E6554E2">
            <w:pPr>
              <w:jc w:val="right"/>
              <w:rPr>
                <w:rFonts w:hint="eastAsia" w:ascii="宋体" w:hAnsi="宋体" w:eastAsia="宋体" w:cs="宋体"/>
                <w:i w:val="0"/>
                <w:iCs w:val="0"/>
                <w:color w:val="000000"/>
                <w:sz w:val="22"/>
                <w:szCs w:val="22"/>
                <w:u w:val="none"/>
              </w:rPr>
            </w:pPr>
          </w:p>
        </w:tc>
      </w:tr>
      <w:tr w14:paraId="4D124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42" w:type="pct"/>
            <w:gridSpan w:val="3"/>
            <w:tcBorders>
              <w:top w:val="nil"/>
              <w:left w:val="single" w:color="000000" w:sz="4" w:space="0"/>
              <w:bottom w:val="single" w:color="000000" w:sz="4" w:space="0"/>
              <w:right w:val="single" w:color="000000" w:sz="4" w:space="0"/>
            </w:tcBorders>
            <w:shd w:val="clear" w:color="auto" w:fill="auto"/>
            <w:noWrap/>
            <w:vAlign w:val="center"/>
          </w:tcPr>
          <w:p w14:paraId="190FF4EA">
            <w:pPr>
              <w:jc w:val="left"/>
              <w:rPr>
                <w:rFonts w:hint="eastAsia" w:ascii="宋体" w:hAnsi="宋体" w:eastAsia="宋体" w:cs="宋体"/>
                <w:i w:val="0"/>
                <w:iCs w:val="0"/>
                <w:color w:val="000000"/>
                <w:sz w:val="22"/>
                <w:szCs w:val="22"/>
                <w:u w:val="none"/>
              </w:rPr>
            </w:pPr>
          </w:p>
        </w:tc>
        <w:tc>
          <w:tcPr>
            <w:tcW w:w="1024" w:type="pct"/>
            <w:tcBorders>
              <w:top w:val="nil"/>
              <w:left w:val="nil"/>
              <w:bottom w:val="single" w:color="000000" w:sz="4" w:space="0"/>
              <w:right w:val="single" w:color="000000" w:sz="4" w:space="0"/>
            </w:tcBorders>
            <w:shd w:val="clear" w:color="auto" w:fill="auto"/>
            <w:noWrap/>
            <w:vAlign w:val="center"/>
          </w:tcPr>
          <w:p w14:paraId="7AB86F4A">
            <w:pPr>
              <w:jc w:val="lef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6CF6A3FB">
            <w:pPr>
              <w:jc w:val="righ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18DFD7BE">
            <w:pPr>
              <w:jc w:val="right"/>
              <w:rPr>
                <w:rFonts w:hint="eastAsia" w:ascii="宋体" w:hAnsi="宋体" w:eastAsia="宋体" w:cs="宋体"/>
                <w:i w:val="0"/>
                <w:iCs w:val="0"/>
                <w:color w:val="000000"/>
                <w:sz w:val="22"/>
                <w:szCs w:val="22"/>
                <w:u w:val="none"/>
              </w:rPr>
            </w:pPr>
          </w:p>
        </w:tc>
        <w:tc>
          <w:tcPr>
            <w:tcW w:w="434" w:type="pct"/>
            <w:tcBorders>
              <w:top w:val="nil"/>
              <w:left w:val="nil"/>
              <w:bottom w:val="single" w:color="000000" w:sz="4" w:space="0"/>
              <w:right w:val="single" w:color="000000" w:sz="4" w:space="0"/>
            </w:tcBorders>
            <w:shd w:val="clear" w:color="auto" w:fill="auto"/>
            <w:noWrap/>
            <w:vAlign w:val="center"/>
          </w:tcPr>
          <w:p w14:paraId="627D19B7">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000E9819">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37C3AAE0">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12472F58">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08CF51D7">
            <w:pPr>
              <w:jc w:val="right"/>
              <w:rPr>
                <w:rFonts w:hint="eastAsia" w:ascii="宋体" w:hAnsi="宋体" w:eastAsia="宋体" w:cs="宋体"/>
                <w:i w:val="0"/>
                <w:iCs w:val="0"/>
                <w:color w:val="000000"/>
                <w:sz w:val="22"/>
                <w:szCs w:val="22"/>
                <w:u w:val="none"/>
              </w:rPr>
            </w:pPr>
          </w:p>
        </w:tc>
        <w:tc>
          <w:tcPr>
            <w:tcW w:w="435" w:type="pct"/>
            <w:tcBorders>
              <w:top w:val="nil"/>
              <w:left w:val="nil"/>
              <w:bottom w:val="single" w:color="000000" w:sz="4" w:space="0"/>
              <w:right w:val="single" w:color="000000" w:sz="4" w:space="0"/>
            </w:tcBorders>
            <w:shd w:val="clear" w:color="auto" w:fill="auto"/>
            <w:noWrap/>
            <w:vAlign w:val="center"/>
          </w:tcPr>
          <w:p w14:paraId="2D4E6017">
            <w:pPr>
              <w:jc w:val="right"/>
              <w:rPr>
                <w:rFonts w:hint="eastAsia" w:ascii="宋体" w:hAnsi="宋体" w:eastAsia="宋体" w:cs="宋体"/>
                <w:i w:val="0"/>
                <w:iCs w:val="0"/>
                <w:color w:val="000000"/>
                <w:sz w:val="22"/>
                <w:szCs w:val="22"/>
                <w:u w:val="none"/>
              </w:rPr>
            </w:pPr>
          </w:p>
        </w:tc>
      </w:tr>
      <w:tr w14:paraId="16ED9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42" w:type="pct"/>
            <w:gridSpan w:val="3"/>
            <w:tcBorders>
              <w:top w:val="nil"/>
              <w:left w:val="single" w:color="000000" w:sz="4" w:space="0"/>
              <w:bottom w:val="single" w:color="000000" w:sz="4" w:space="0"/>
              <w:right w:val="single" w:color="000000" w:sz="4" w:space="0"/>
            </w:tcBorders>
            <w:shd w:val="clear" w:color="auto" w:fill="auto"/>
            <w:noWrap/>
            <w:vAlign w:val="center"/>
          </w:tcPr>
          <w:p w14:paraId="04D05CD3">
            <w:pPr>
              <w:jc w:val="left"/>
              <w:rPr>
                <w:rFonts w:hint="eastAsia" w:ascii="宋体" w:hAnsi="宋体" w:eastAsia="宋体" w:cs="宋体"/>
                <w:i w:val="0"/>
                <w:iCs w:val="0"/>
                <w:color w:val="000000"/>
                <w:sz w:val="22"/>
                <w:szCs w:val="22"/>
                <w:u w:val="none"/>
              </w:rPr>
            </w:pPr>
          </w:p>
        </w:tc>
        <w:tc>
          <w:tcPr>
            <w:tcW w:w="1024" w:type="pct"/>
            <w:tcBorders>
              <w:top w:val="nil"/>
              <w:left w:val="nil"/>
              <w:bottom w:val="single" w:color="000000" w:sz="4" w:space="0"/>
              <w:right w:val="single" w:color="000000" w:sz="4" w:space="0"/>
            </w:tcBorders>
            <w:shd w:val="clear" w:color="auto" w:fill="auto"/>
            <w:noWrap/>
            <w:vAlign w:val="center"/>
          </w:tcPr>
          <w:p w14:paraId="354A19D6">
            <w:pPr>
              <w:jc w:val="lef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6D9EC6F4">
            <w:pPr>
              <w:jc w:val="righ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72A74713">
            <w:pPr>
              <w:jc w:val="right"/>
              <w:rPr>
                <w:rFonts w:hint="eastAsia" w:ascii="宋体" w:hAnsi="宋体" w:eastAsia="宋体" w:cs="宋体"/>
                <w:i w:val="0"/>
                <w:iCs w:val="0"/>
                <w:color w:val="000000"/>
                <w:sz w:val="22"/>
                <w:szCs w:val="22"/>
                <w:u w:val="none"/>
              </w:rPr>
            </w:pPr>
          </w:p>
        </w:tc>
        <w:tc>
          <w:tcPr>
            <w:tcW w:w="434" w:type="pct"/>
            <w:tcBorders>
              <w:top w:val="nil"/>
              <w:left w:val="nil"/>
              <w:bottom w:val="single" w:color="000000" w:sz="4" w:space="0"/>
              <w:right w:val="single" w:color="000000" w:sz="4" w:space="0"/>
            </w:tcBorders>
            <w:shd w:val="clear" w:color="auto" w:fill="auto"/>
            <w:noWrap/>
            <w:vAlign w:val="center"/>
          </w:tcPr>
          <w:p w14:paraId="47067F93">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3C942B28">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731A6652">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28190B04">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61C22723">
            <w:pPr>
              <w:jc w:val="right"/>
              <w:rPr>
                <w:rFonts w:hint="eastAsia" w:ascii="宋体" w:hAnsi="宋体" w:eastAsia="宋体" w:cs="宋体"/>
                <w:i w:val="0"/>
                <w:iCs w:val="0"/>
                <w:color w:val="000000"/>
                <w:sz w:val="22"/>
                <w:szCs w:val="22"/>
                <w:u w:val="none"/>
              </w:rPr>
            </w:pPr>
          </w:p>
        </w:tc>
        <w:tc>
          <w:tcPr>
            <w:tcW w:w="435" w:type="pct"/>
            <w:tcBorders>
              <w:top w:val="nil"/>
              <w:left w:val="nil"/>
              <w:bottom w:val="single" w:color="000000" w:sz="4" w:space="0"/>
              <w:right w:val="single" w:color="000000" w:sz="4" w:space="0"/>
            </w:tcBorders>
            <w:shd w:val="clear" w:color="auto" w:fill="auto"/>
            <w:noWrap/>
            <w:vAlign w:val="center"/>
          </w:tcPr>
          <w:p w14:paraId="02A89FFB">
            <w:pPr>
              <w:jc w:val="right"/>
              <w:rPr>
                <w:rFonts w:hint="eastAsia" w:ascii="宋体" w:hAnsi="宋体" w:eastAsia="宋体" w:cs="宋体"/>
                <w:i w:val="0"/>
                <w:iCs w:val="0"/>
                <w:color w:val="000000"/>
                <w:sz w:val="22"/>
                <w:szCs w:val="22"/>
                <w:u w:val="none"/>
              </w:rPr>
            </w:pPr>
          </w:p>
        </w:tc>
      </w:tr>
      <w:tr w14:paraId="67A16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42" w:type="pct"/>
            <w:gridSpan w:val="3"/>
            <w:tcBorders>
              <w:top w:val="nil"/>
              <w:left w:val="single" w:color="000000" w:sz="4" w:space="0"/>
              <w:bottom w:val="single" w:color="000000" w:sz="4" w:space="0"/>
              <w:right w:val="single" w:color="000000" w:sz="4" w:space="0"/>
            </w:tcBorders>
            <w:shd w:val="clear" w:color="auto" w:fill="auto"/>
            <w:noWrap/>
            <w:vAlign w:val="center"/>
          </w:tcPr>
          <w:p w14:paraId="50A503FB">
            <w:pPr>
              <w:jc w:val="left"/>
              <w:rPr>
                <w:rFonts w:hint="eastAsia" w:ascii="宋体" w:hAnsi="宋体" w:eastAsia="宋体" w:cs="宋体"/>
                <w:i w:val="0"/>
                <w:iCs w:val="0"/>
                <w:color w:val="000000"/>
                <w:sz w:val="22"/>
                <w:szCs w:val="22"/>
                <w:u w:val="none"/>
              </w:rPr>
            </w:pPr>
          </w:p>
        </w:tc>
        <w:tc>
          <w:tcPr>
            <w:tcW w:w="1024" w:type="pct"/>
            <w:tcBorders>
              <w:top w:val="nil"/>
              <w:left w:val="nil"/>
              <w:bottom w:val="single" w:color="000000" w:sz="4" w:space="0"/>
              <w:right w:val="single" w:color="000000" w:sz="4" w:space="0"/>
            </w:tcBorders>
            <w:shd w:val="clear" w:color="auto" w:fill="auto"/>
            <w:noWrap/>
            <w:vAlign w:val="center"/>
          </w:tcPr>
          <w:p w14:paraId="6B0C87F4">
            <w:pPr>
              <w:jc w:val="lef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501AF256">
            <w:pPr>
              <w:jc w:val="righ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08F19AD0">
            <w:pPr>
              <w:jc w:val="right"/>
              <w:rPr>
                <w:rFonts w:hint="eastAsia" w:ascii="宋体" w:hAnsi="宋体" w:eastAsia="宋体" w:cs="宋体"/>
                <w:i w:val="0"/>
                <w:iCs w:val="0"/>
                <w:color w:val="000000"/>
                <w:sz w:val="22"/>
                <w:szCs w:val="22"/>
                <w:u w:val="none"/>
              </w:rPr>
            </w:pPr>
          </w:p>
        </w:tc>
        <w:tc>
          <w:tcPr>
            <w:tcW w:w="434" w:type="pct"/>
            <w:tcBorders>
              <w:top w:val="nil"/>
              <w:left w:val="nil"/>
              <w:bottom w:val="single" w:color="000000" w:sz="4" w:space="0"/>
              <w:right w:val="single" w:color="000000" w:sz="4" w:space="0"/>
            </w:tcBorders>
            <w:shd w:val="clear" w:color="auto" w:fill="auto"/>
            <w:noWrap/>
            <w:vAlign w:val="center"/>
          </w:tcPr>
          <w:p w14:paraId="75A83321">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3145C1DC">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12B70713">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0BAA35BE">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74E5588C">
            <w:pPr>
              <w:jc w:val="right"/>
              <w:rPr>
                <w:rFonts w:hint="eastAsia" w:ascii="宋体" w:hAnsi="宋体" w:eastAsia="宋体" w:cs="宋体"/>
                <w:i w:val="0"/>
                <w:iCs w:val="0"/>
                <w:color w:val="000000"/>
                <w:sz w:val="22"/>
                <w:szCs w:val="22"/>
                <w:u w:val="none"/>
              </w:rPr>
            </w:pPr>
          </w:p>
        </w:tc>
        <w:tc>
          <w:tcPr>
            <w:tcW w:w="435" w:type="pct"/>
            <w:tcBorders>
              <w:top w:val="nil"/>
              <w:left w:val="nil"/>
              <w:bottom w:val="single" w:color="000000" w:sz="4" w:space="0"/>
              <w:right w:val="single" w:color="000000" w:sz="4" w:space="0"/>
            </w:tcBorders>
            <w:shd w:val="clear" w:color="auto" w:fill="auto"/>
            <w:noWrap/>
            <w:vAlign w:val="center"/>
          </w:tcPr>
          <w:p w14:paraId="661F6813">
            <w:pPr>
              <w:jc w:val="right"/>
              <w:rPr>
                <w:rFonts w:hint="eastAsia" w:ascii="宋体" w:hAnsi="宋体" w:eastAsia="宋体" w:cs="宋体"/>
                <w:i w:val="0"/>
                <w:iCs w:val="0"/>
                <w:color w:val="000000"/>
                <w:sz w:val="22"/>
                <w:szCs w:val="22"/>
                <w:u w:val="none"/>
              </w:rPr>
            </w:pPr>
          </w:p>
        </w:tc>
      </w:tr>
      <w:tr w14:paraId="0509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42" w:type="pct"/>
            <w:gridSpan w:val="3"/>
            <w:tcBorders>
              <w:top w:val="nil"/>
              <w:left w:val="single" w:color="000000" w:sz="4" w:space="0"/>
              <w:bottom w:val="single" w:color="000000" w:sz="4" w:space="0"/>
              <w:right w:val="single" w:color="000000" w:sz="4" w:space="0"/>
            </w:tcBorders>
            <w:shd w:val="clear" w:color="auto" w:fill="auto"/>
            <w:noWrap/>
            <w:vAlign w:val="center"/>
          </w:tcPr>
          <w:p w14:paraId="5041D00E">
            <w:pPr>
              <w:jc w:val="left"/>
              <w:rPr>
                <w:rFonts w:hint="eastAsia" w:ascii="宋体" w:hAnsi="宋体" w:eastAsia="宋体" w:cs="宋体"/>
                <w:i w:val="0"/>
                <w:iCs w:val="0"/>
                <w:color w:val="000000"/>
                <w:sz w:val="22"/>
                <w:szCs w:val="22"/>
                <w:u w:val="none"/>
              </w:rPr>
            </w:pPr>
          </w:p>
        </w:tc>
        <w:tc>
          <w:tcPr>
            <w:tcW w:w="1024" w:type="pct"/>
            <w:tcBorders>
              <w:top w:val="nil"/>
              <w:left w:val="nil"/>
              <w:bottom w:val="single" w:color="000000" w:sz="4" w:space="0"/>
              <w:right w:val="single" w:color="000000" w:sz="4" w:space="0"/>
            </w:tcBorders>
            <w:shd w:val="clear" w:color="auto" w:fill="auto"/>
            <w:noWrap/>
            <w:vAlign w:val="center"/>
          </w:tcPr>
          <w:p w14:paraId="79283C10">
            <w:pPr>
              <w:jc w:val="lef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067C5644">
            <w:pPr>
              <w:jc w:val="righ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2629B1C2">
            <w:pPr>
              <w:jc w:val="right"/>
              <w:rPr>
                <w:rFonts w:hint="eastAsia" w:ascii="宋体" w:hAnsi="宋体" w:eastAsia="宋体" w:cs="宋体"/>
                <w:i w:val="0"/>
                <w:iCs w:val="0"/>
                <w:color w:val="000000"/>
                <w:sz w:val="22"/>
                <w:szCs w:val="22"/>
                <w:u w:val="none"/>
              </w:rPr>
            </w:pPr>
          </w:p>
        </w:tc>
        <w:tc>
          <w:tcPr>
            <w:tcW w:w="434" w:type="pct"/>
            <w:tcBorders>
              <w:top w:val="nil"/>
              <w:left w:val="nil"/>
              <w:bottom w:val="single" w:color="000000" w:sz="4" w:space="0"/>
              <w:right w:val="single" w:color="000000" w:sz="4" w:space="0"/>
            </w:tcBorders>
            <w:shd w:val="clear" w:color="auto" w:fill="auto"/>
            <w:noWrap/>
            <w:vAlign w:val="center"/>
          </w:tcPr>
          <w:p w14:paraId="3308F051">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0907D14F">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778769AD">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7FB2645D">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5D1CC7A7">
            <w:pPr>
              <w:jc w:val="right"/>
              <w:rPr>
                <w:rFonts w:hint="eastAsia" w:ascii="宋体" w:hAnsi="宋体" w:eastAsia="宋体" w:cs="宋体"/>
                <w:i w:val="0"/>
                <w:iCs w:val="0"/>
                <w:color w:val="000000"/>
                <w:sz w:val="22"/>
                <w:szCs w:val="22"/>
                <w:u w:val="none"/>
              </w:rPr>
            </w:pPr>
          </w:p>
        </w:tc>
        <w:tc>
          <w:tcPr>
            <w:tcW w:w="435" w:type="pct"/>
            <w:tcBorders>
              <w:top w:val="nil"/>
              <w:left w:val="nil"/>
              <w:bottom w:val="single" w:color="000000" w:sz="4" w:space="0"/>
              <w:right w:val="single" w:color="000000" w:sz="4" w:space="0"/>
            </w:tcBorders>
            <w:shd w:val="clear" w:color="auto" w:fill="auto"/>
            <w:noWrap/>
            <w:vAlign w:val="center"/>
          </w:tcPr>
          <w:p w14:paraId="7F2CB93B">
            <w:pPr>
              <w:jc w:val="right"/>
              <w:rPr>
                <w:rFonts w:hint="eastAsia" w:ascii="宋体" w:hAnsi="宋体" w:eastAsia="宋体" w:cs="宋体"/>
                <w:i w:val="0"/>
                <w:iCs w:val="0"/>
                <w:color w:val="000000"/>
                <w:sz w:val="22"/>
                <w:szCs w:val="22"/>
                <w:u w:val="none"/>
              </w:rPr>
            </w:pPr>
          </w:p>
        </w:tc>
      </w:tr>
      <w:tr w14:paraId="521F2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42" w:type="pct"/>
            <w:gridSpan w:val="3"/>
            <w:tcBorders>
              <w:top w:val="nil"/>
              <w:left w:val="single" w:color="000000" w:sz="4" w:space="0"/>
              <w:bottom w:val="single" w:color="000000" w:sz="4" w:space="0"/>
              <w:right w:val="single" w:color="000000" w:sz="4" w:space="0"/>
            </w:tcBorders>
            <w:shd w:val="clear" w:color="auto" w:fill="auto"/>
            <w:noWrap/>
            <w:vAlign w:val="center"/>
          </w:tcPr>
          <w:p w14:paraId="5479036B">
            <w:pPr>
              <w:jc w:val="left"/>
              <w:rPr>
                <w:rFonts w:hint="eastAsia" w:ascii="宋体" w:hAnsi="宋体" w:eastAsia="宋体" w:cs="宋体"/>
                <w:i w:val="0"/>
                <w:iCs w:val="0"/>
                <w:color w:val="000000"/>
                <w:sz w:val="22"/>
                <w:szCs w:val="22"/>
                <w:u w:val="none"/>
              </w:rPr>
            </w:pPr>
          </w:p>
        </w:tc>
        <w:tc>
          <w:tcPr>
            <w:tcW w:w="1024" w:type="pct"/>
            <w:tcBorders>
              <w:top w:val="nil"/>
              <w:left w:val="nil"/>
              <w:bottom w:val="single" w:color="000000" w:sz="4" w:space="0"/>
              <w:right w:val="single" w:color="000000" w:sz="4" w:space="0"/>
            </w:tcBorders>
            <w:shd w:val="clear" w:color="auto" w:fill="auto"/>
            <w:noWrap/>
            <w:vAlign w:val="center"/>
          </w:tcPr>
          <w:p w14:paraId="06AE4D49">
            <w:pPr>
              <w:jc w:val="lef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772777D2">
            <w:pPr>
              <w:jc w:val="right"/>
              <w:rPr>
                <w:rFonts w:hint="eastAsia" w:ascii="宋体" w:hAnsi="宋体" w:eastAsia="宋体" w:cs="宋体"/>
                <w:i w:val="0"/>
                <w:iCs w:val="0"/>
                <w:color w:val="000000"/>
                <w:sz w:val="22"/>
                <w:szCs w:val="22"/>
                <w:u w:val="none"/>
              </w:rPr>
            </w:pPr>
          </w:p>
        </w:tc>
        <w:tc>
          <w:tcPr>
            <w:tcW w:w="465" w:type="pct"/>
            <w:tcBorders>
              <w:top w:val="nil"/>
              <w:left w:val="nil"/>
              <w:bottom w:val="single" w:color="000000" w:sz="4" w:space="0"/>
              <w:right w:val="single" w:color="000000" w:sz="4" w:space="0"/>
            </w:tcBorders>
            <w:shd w:val="clear" w:color="auto" w:fill="auto"/>
            <w:noWrap/>
            <w:vAlign w:val="center"/>
          </w:tcPr>
          <w:p w14:paraId="5A9C073C">
            <w:pPr>
              <w:jc w:val="right"/>
              <w:rPr>
                <w:rFonts w:hint="eastAsia" w:ascii="宋体" w:hAnsi="宋体" w:eastAsia="宋体" w:cs="宋体"/>
                <w:i w:val="0"/>
                <w:iCs w:val="0"/>
                <w:color w:val="000000"/>
                <w:sz w:val="22"/>
                <w:szCs w:val="22"/>
                <w:u w:val="none"/>
              </w:rPr>
            </w:pPr>
          </w:p>
        </w:tc>
        <w:tc>
          <w:tcPr>
            <w:tcW w:w="434" w:type="pct"/>
            <w:tcBorders>
              <w:top w:val="nil"/>
              <w:left w:val="nil"/>
              <w:bottom w:val="single" w:color="000000" w:sz="4" w:space="0"/>
              <w:right w:val="single" w:color="000000" w:sz="4" w:space="0"/>
            </w:tcBorders>
            <w:shd w:val="clear" w:color="auto" w:fill="auto"/>
            <w:noWrap/>
            <w:vAlign w:val="center"/>
          </w:tcPr>
          <w:p w14:paraId="53B332B0">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2F2BE9A1">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5F4ECF4F">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05F9B299">
            <w:pPr>
              <w:jc w:val="right"/>
              <w:rPr>
                <w:rFonts w:hint="eastAsia" w:ascii="宋体" w:hAnsi="宋体" w:eastAsia="宋体" w:cs="宋体"/>
                <w:i w:val="0"/>
                <w:iCs w:val="0"/>
                <w:color w:val="000000"/>
                <w:sz w:val="22"/>
                <w:szCs w:val="22"/>
                <w:u w:val="none"/>
              </w:rPr>
            </w:pPr>
          </w:p>
        </w:tc>
        <w:tc>
          <w:tcPr>
            <w:tcW w:w="433" w:type="pct"/>
            <w:tcBorders>
              <w:top w:val="nil"/>
              <w:left w:val="nil"/>
              <w:bottom w:val="single" w:color="000000" w:sz="4" w:space="0"/>
              <w:right w:val="single" w:color="000000" w:sz="4" w:space="0"/>
            </w:tcBorders>
            <w:shd w:val="clear" w:color="auto" w:fill="auto"/>
            <w:noWrap/>
            <w:vAlign w:val="center"/>
          </w:tcPr>
          <w:p w14:paraId="45504015">
            <w:pPr>
              <w:jc w:val="right"/>
              <w:rPr>
                <w:rFonts w:hint="eastAsia" w:ascii="宋体" w:hAnsi="宋体" w:eastAsia="宋体" w:cs="宋体"/>
                <w:i w:val="0"/>
                <w:iCs w:val="0"/>
                <w:color w:val="000000"/>
                <w:sz w:val="22"/>
                <w:szCs w:val="22"/>
                <w:u w:val="none"/>
              </w:rPr>
            </w:pPr>
          </w:p>
        </w:tc>
        <w:tc>
          <w:tcPr>
            <w:tcW w:w="435" w:type="pct"/>
            <w:tcBorders>
              <w:top w:val="nil"/>
              <w:left w:val="nil"/>
              <w:bottom w:val="single" w:color="000000" w:sz="4" w:space="0"/>
              <w:right w:val="single" w:color="000000" w:sz="4" w:space="0"/>
            </w:tcBorders>
            <w:shd w:val="clear" w:color="auto" w:fill="auto"/>
            <w:noWrap/>
            <w:vAlign w:val="center"/>
          </w:tcPr>
          <w:p w14:paraId="25F74D50">
            <w:pPr>
              <w:jc w:val="right"/>
              <w:rPr>
                <w:rFonts w:hint="eastAsia" w:ascii="宋体" w:hAnsi="宋体" w:eastAsia="宋体" w:cs="宋体"/>
                <w:i w:val="0"/>
                <w:iCs w:val="0"/>
                <w:color w:val="000000"/>
                <w:sz w:val="22"/>
                <w:szCs w:val="22"/>
                <w:u w:val="none"/>
              </w:rPr>
            </w:pPr>
          </w:p>
        </w:tc>
      </w:tr>
    </w:tbl>
    <w:p w14:paraId="6F09B395">
      <w:pPr>
        <w:widowControl/>
        <w:shd w:val="clear"/>
        <w:spacing w:before="120"/>
        <w:jc w:val="left"/>
        <w:textAlignment w:val="center"/>
        <w:rPr>
          <w:rFonts w:hint="eastAsia" w:ascii="Times New Roman" w:hAnsi="Times New Roman" w:eastAsia="仿宋_GB2312" w:cs="Times New Roman"/>
          <w:i w:val="0"/>
          <w:iCs w:val="0"/>
          <w:color w:val="000000"/>
          <w:kern w:val="0"/>
          <w:sz w:val="24"/>
          <w:szCs w:val="24"/>
          <w:lang w:bidi="ar"/>
        </w:rPr>
      </w:pPr>
      <w:r>
        <w:rPr>
          <w:rFonts w:ascii="Times New Roman" w:hAnsi="Times New Roman" w:eastAsia="仿宋_GB2312" w:cs="Times New Roman"/>
          <w:i w:val="0"/>
          <w:iCs w:val="0"/>
          <w:color w:val="000000"/>
          <w:kern w:val="0"/>
          <w:sz w:val="24"/>
          <w:szCs w:val="24"/>
          <w:lang w:bidi="ar"/>
        </w:rPr>
        <w:t>注：</w:t>
      </w:r>
      <w:r>
        <w:rPr>
          <w:rFonts w:hint="eastAsia" w:ascii="Times New Roman" w:hAnsi="Times New Roman" w:eastAsia="仿宋_GB2312" w:cs="Times New Roman"/>
          <w:i w:val="0"/>
          <w:iCs w:val="0"/>
          <w:color w:val="000000"/>
          <w:kern w:val="0"/>
          <w:sz w:val="24"/>
          <w:szCs w:val="24"/>
          <w:lang w:bidi="ar"/>
        </w:rPr>
        <w:t>1.本表依据《国有资本经营预算财政拨款收入支出决算表》（财决11表）进行批复。</w:t>
      </w:r>
    </w:p>
    <w:p w14:paraId="4D9C74BC">
      <w:pPr>
        <w:widowControl/>
        <w:shd w:val="clear"/>
        <w:spacing w:before="120"/>
        <w:jc w:val="left"/>
        <w:textAlignment w:val="center"/>
        <w:rPr>
          <w:rFonts w:hint="eastAsia" w:ascii="Times New Roman" w:hAnsi="Times New Roman" w:eastAsia="仿宋_GB2312" w:cs="Times New Roman"/>
          <w:i w:val="0"/>
          <w:iCs w:val="0"/>
          <w:color w:val="000000"/>
          <w:kern w:val="0"/>
          <w:sz w:val="24"/>
          <w:szCs w:val="24"/>
          <w:lang w:bidi="ar"/>
        </w:rPr>
      </w:pPr>
      <w:r>
        <w:rPr>
          <w:rFonts w:hint="eastAsia" w:ascii="Times New Roman" w:hAnsi="Times New Roman" w:eastAsia="仿宋_GB2312" w:cs="Times New Roman"/>
          <w:i w:val="0"/>
          <w:iCs w:val="0"/>
          <w:color w:val="000000"/>
          <w:kern w:val="0"/>
          <w:sz w:val="24"/>
          <w:szCs w:val="24"/>
          <w:lang w:bidi="ar"/>
        </w:rPr>
        <w:t xml:space="preserve">    2.本表批复到项级科目。</w:t>
      </w:r>
    </w:p>
    <w:p w14:paraId="5D38F83A">
      <w:pPr>
        <w:widowControl/>
        <w:shd w:val="clear"/>
        <w:spacing w:before="120"/>
        <w:jc w:val="left"/>
        <w:textAlignment w:val="center"/>
        <w:rPr>
          <w:rFonts w:ascii="Times New Roman" w:hAnsi="Times New Roman" w:eastAsia="方正小标宋_GBK" w:cs="Times New Roman"/>
          <w:i w:val="0"/>
          <w:iCs w:val="0"/>
          <w:color w:val="000000"/>
          <w:kern w:val="0"/>
          <w:sz w:val="36"/>
          <w:szCs w:val="36"/>
        </w:rPr>
      </w:pPr>
      <w:r>
        <w:rPr>
          <w:rFonts w:hint="eastAsia" w:ascii="Times New Roman" w:hAnsi="Times New Roman" w:eastAsia="仿宋_GB2312" w:cs="Times New Roman"/>
          <w:i w:val="0"/>
          <w:iCs w:val="0"/>
          <w:color w:val="000000"/>
          <w:kern w:val="0"/>
          <w:sz w:val="24"/>
          <w:szCs w:val="24"/>
          <w:lang w:bidi="ar"/>
        </w:rPr>
        <w:t xml:space="preserve">    3.本表以“万元”为金额单位（保留两位小数）。</w:t>
      </w:r>
    </w:p>
    <w:p w14:paraId="7939216F">
      <w:pPr>
        <w:pStyle w:val="7"/>
        <w:shd w:val="clear"/>
        <w:spacing w:line="400" w:lineRule="exact"/>
        <w:rPr>
          <w:rFonts w:ascii="Times New Roman" w:hAnsi="Times New Roman" w:eastAsia="华文中宋" w:cs="Times New Roman"/>
          <w:i w:val="0"/>
          <w:iCs w:val="0"/>
          <w:color w:val="000000"/>
          <w:kern w:val="0"/>
          <w:sz w:val="32"/>
          <w:szCs w:val="32"/>
          <w:lang w:bidi="ar"/>
        </w:rPr>
      </w:pPr>
    </w:p>
    <w:p w14:paraId="69CBEC0B">
      <w:pPr>
        <w:jc w:val="cente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br w:type="page"/>
      </w:r>
      <w:r>
        <w:rPr>
          <w:rFonts w:hint="eastAsia" w:ascii="方正小标宋简体" w:hAnsi="方正小标宋简体" w:eastAsia="方正小标宋简体" w:cs="方正小标宋简体"/>
          <w:b w:val="0"/>
          <w:bCs w:val="0"/>
          <w:i w:val="0"/>
          <w:iCs w:val="0"/>
          <w:caps w:val="0"/>
          <w:color w:val="000000"/>
          <w:spacing w:val="0"/>
          <w:sz w:val="44"/>
          <w:szCs w:val="44"/>
          <w:shd w:val="clear" w:color="auto" w:fill="FFFFFF"/>
        </w:rPr>
        <w:t>财政拨款“三公”经费支出决算批复</w:t>
      </w: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表</w:t>
      </w:r>
    </w:p>
    <w:p w14:paraId="1AA05065">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i w:val="0"/>
          <w:iCs w:val="0"/>
          <w:color w:val="000000"/>
          <w:sz w:val="20"/>
          <w:szCs w:val="20"/>
        </w:rPr>
      </w:pP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ascii="Times New Roman" w:hAnsi="Times New Roman" w:eastAsia="宋体" w:cs="Times New Roman"/>
          <w:i w:val="0"/>
          <w:iCs w:val="0"/>
          <w:color w:val="000000"/>
          <w:sz w:val="20"/>
          <w:szCs w:val="20"/>
        </w:rPr>
        <w:tab/>
      </w:r>
      <w:r>
        <w:rPr>
          <w:rFonts w:hint="eastAsia" w:ascii="Times New Roman" w:hAnsi="Times New Roman" w:eastAsia="仿宋_GB2312" w:cs="Times New Roman"/>
          <w:i w:val="0"/>
          <w:iCs w:val="0"/>
          <w:color w:val="000000"/>
          <w:kern w:val="0"/>
          <w:sz w:val="20"/>
          <w:szCs w:val="20"/>
          <w:lang w:bidi="ar"/>
        </w:rPr>
        <w:t>财决批复</w:t>
      </w:r>
      <w:r>
        <w:rPr>
          <w:rFonts w:ascii="Times New Roman" w:hAnsi="Times New Roman" w:eastAsia="楷体_GB2312" w:cs="Times New Roman"/>
          <w:i w:val="0"/>
          <w:iCs w:val="0"/>
          <w:color w:val="000000"/>
          <w:kern w:val="0"/>
          <w:sz w:val="20"/>
          <w:szCs w:val="20"/>
          <w:lang w:bidi="ar"/>
        </w:rPr>
        <w:t>09表</w:t>
      </w:r>
    </w:p>
    <w:p w14:paraId="00C8965B">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i w:val="0"/>
          <w:iCs w:val="0"/>
          <w:color w:val="000000"/>
          <w:sz w:val="20"/>
          <w:szCs w:val="20"/>
        </w:rPr>
      </w:pPr>
      <w:r>
        <w:rPr>
          <w:rFonts w:ascii="Times New Roman" w:hAnsi="Times New Roman" w:eastAsia="仿宋_GB2312" w:cs="Times New Roman"/>
          <w:i w:val="0"/>
          <w:iCs w:val="0"/>
          <w:color w:val="000000"/>
          <w:kern w:val="0"/>
          <w:sz w:val="20"/>
          <w:szCs w:val="20"/>
          <w:lang w:bidi="ar"/>
        </w:rPr>
        <w:t>部门：</w:t>
      </w:r>
      <w:r>
        <w:rPr>
          <w:rFonts w:hint="eastAsia" w:ascii="Times New Roman" w:hAnsi="Times New Roman" w:eastAsia="仿宋_GB2312" w:cs="Times New Roman"/>
          <w:i w:val="0"/>
          <w:iCs w:val="0"/>
          <w:color w:val="000000"/>
          <w:kern w:val="0"/>
          <w:sz w:val="20"/>
          <w:szCs w:val="20"/>
          <w:lang w:bidi="ar"/>
        </w:rPr>
        <w:t>怀化市医疗保障局</w:t>
      </w:r>
      <w:r>
        <w:rPr>
          <w:rFonts w:ascii="Times New Roman" w:hAnsi="Times New Roman" w:eastAsia="仿宋_GB2312" w:cs="Times New Roman"/>
          <w:i w:val="0"/>
          <w:iCs w:val="0"/>
          <w:color w:val="000000"/>
          <w:sz w:val="20"/>
          <w:szCs w:val="20"/>
        </w:rPr>
        <w:tab/>
      </w:r>
      <w:r>
        <w:rPr>
          <w:rFonts w:hint="eastAsia" w:ascii="Times New Roman" w:hAnsi="Times New Roman" w:eastAsia="仿宋_GB2312" w:cs="Times New Roman"/>
          <w:i w:val="0"/>
          <w:iCs w:val="0"/>
          <w:color w:val="000000"/>
          <w:sz w:val="20"/>
          <w:szCs w:val="20"/>
          <w:lang w:val="en-US" w:eastAsia="zh-CN"/>
        </w:rPr>
        <w:t xml:space="preserve">                  </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hint="eastAsia" w:ascii="Times New Roman" w:hAnsi="Times New Roman" w:eastAsia="仿宋_GB2312" w:cs="Times New Roman"/>
          <w:i w:val="0"/>
          <w:iCs w:val="0"/>
          <w:color w:val="000000"/>
          <w:sz w:val="20"/>
          <w:szCs w:val="20"/>
          <w:lang w:val="en-US" w:eastAsia="zh-CN"/>
        </w:rPr>
        <w:t xml:space="preserve">  </w:t>
      </w:r>
      <w:r>
        <w:rPr>
          <w:rFonts w:ascii="Times New Roman" w:hAnsi="Times New Roman" w:eastAsia="仿宋_GB2312" w:cs="Times New Roman"/>
          <w:i w:val="0"/>
          <w:iCs w:val="0"/>
          <w:color w:val="000000"/>
          <w:sz w:val="20"/>
          <w:szCs w:val="20"/>
        </w:rPr>
        <w:tab/>
      </w:r>
      <w:r>
        <w:rPr>
          <w:rFonts w:ascii="Times New Roman" w:hAnsi="Times New Roman" w:eastAsia="仿宋_GB2312" w:cs="Times New Roman"/>
          <w:i w:val="0"/>
          <w:iCs w:val="0"/>
          <w:color w:val="000000"/>
          <w:sz w:val="20"/>
          <w:szCs w:val="20"/>
        </w:rPr>
        <w:tab/>
      </w:r>
      <w:r>
        <w:rPr>
          <w:rFonts w:hint="eastAsia" w:ascii="Times New Roman" w:hAnsi="Times New Roman" w:eastAsia="仿宋_GB2312" w:cs="Times New Roman"/>
          <w:i w:val="0"/>
          <w:iCs w:val="0"/>
          <w:color w:val="000000"/>
          <w:sz w:val="20"/>
          <w:szCs w:val="20"/>
          <w:lang w:val="en-US" w:eastAsia="zh-CN"/>
        </w:rPr>
        <w:t xml:space="preserve">      </w:t>
      </w:r>
      <w:r>
        <w:rPr>
          <w:rFonts w:hint="eastAsia" w:ascii="Times New Roman" w:hAnsi="Times New Roman" w:eastAsia="仿宋_GB2312" w:cs="Times New Roman"/>
          <w:i w:val="0"/>
          <w:iCs w:val="0"/>
          <w:color w:val="000000"/>
          <w:sz w:val="20"/>
          <w:szCs w:val="20"/>
          <w:lang w:eastAsia="zh-CN"/>
        </w:rPr>
        <w:t>金额</w:t>
      </w:r>
      <w:r>
        <w:rPr>
          <w:rFonts w:ascii="Times New Roman" w:hAnsi="Times New Roman" w:eastAsia="楷体_GB2312" w:cs="Times New Roman"/>
          <w:i w:val="0"/>
          <w:iCs w:val="0"/>
          <w:color w:val="000000"/>
          <w:kern w:val="0"/>
          <w:sz w:val="20"/>
          <w:szCs w:val="20"/>
          <w:lang w:bidi="ar"/>
        </w:rPr>
        <w:t>单位：万元</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3"/>
        <w:gridCol w:w="1229"/>
        <w:gridCol w:w="1229"/>
        <w:gridCol w:w="1230"/>
        <w:gridCol w:w="1395"/>
        <w:gridCol w:w="1079"/>
        <w:gridCol w:w="1230"/>
        <w:gridCol w:w="1230"/>
        <w:gridCol w:w="1230"/>
        <w:gridCol w:w="1230"/>
        <w:gridCol w:w="1375"/>
        <w:gridCol w:w="1097"/>
      </w:tblGrid>
      <w:tr w14:paraId="4B3BA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49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EB3C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2500" w:type="pct"/>
            <w:gridSpan w:val="6"/>
            <w:tcBorders>
              <w:top w:val="single" w:color="000000" w:sz="4" w:space="0"/>
              <w:left w:val="nil"/>
              <w:bottom w:val="single" w:color="000000" w:sz="4" w:space="0"/>
              <w:right w:val="single" w:color="000000" w:sz="4" w:space="0"/>
            </w:tcBorders>
            <w:shd w:val="clear" w:color="auto" w:fill="auto"/>
            <w:vAlign w:val="center"/>
          </w:tcPr>
          <w:p w14:paraId="41F74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4229C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14" w:type="pct"/>
            <w:vMerge w:val="restart"/>
            <w:tcBorders>
              <w:top w:val="nil"/>
              <w:left w:val="single" w:color="000000" w:sz="4" w:space="0"/>
              <w:bottom w:val="single" w:color="000000" w:sz="4" w:space="0"/>
              <w:right w:val="single" w:color="000000" w:sz="4" w:space="0"/>
            </w:tcBorders>
            <w:shd w:val="clear" w:color="auto" w:fill="auto"/>
            <w:vAlign w:val="center"/>
          </w:tcPr>
          <w:p w14:paraId="7AEC1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auto" w:fill="auto"/>
            <w:vAlign w:val="center"/>
          </w:tcPr>
          <w:p w14:paraId="42163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304" w:type="pct"/>
            <w:gridSpan w:val="3"/>
            <w:tcBorders>
              <w:top w:val="nil"/>
              <w:left w:val="nil"/>
              <w:bottom w:val="single" w:color="000000" w:sz="4" w:space="0"/>
              <w:right w:val="single" w:color="000000" w:sz="4" w:space="0"/>
            </w:tcBorders>
            <w:shd w:val="clear" w:color="auto" w:fill="auto"/>
            <w:vAlign w:val="center"/>
          </w:tcPr>
          <w:p w14:paraId="48113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364" w:type="pct"/>
            <w:vMerge w:val="restart"/>
            <w:tcBorders>
              <w:top w:val="nil"/>
              <w:left w:val="nil"/>
              <w:bottom w:val="single" w:color="000000" w:sz="4" w:space="0"/>
              <w:right w:val="single" w:color="000000" w:sz="4" w:space="0"/>
            </w:tcBorders>
            <w:shd w:val="clear" w:color="auto" w:fill="auto"/>
            <w:vAlign w:val="center"/>
          </w:tcPr>
          <w:p w14:paraId="5F0005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w:t>
            </w:r>
          </w:p>
          <w:p w14:paraId="2E91A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接待费</w:t>
            </w:r>
          </w:p>
        </w:tc>
        <w:tc>
          <w:tcPr>
            <w:tcW w:w="416" w:type="pct"/>
            <w:vMerge w:val="restart"/>
            <w:tcBorders>
              <w:top w:val="nil"/>
              <w:left w:val="nil"/>
              <w:bottom w:val="single" w:color="000000" w:sz="4" w:space="0"/>
              <w:right w:val="single" w:color="000000" w:sz="4" w:space="0"/>
            </w:tcBorders>
            <w:shd w:val="clear" w:color="auto" w:fill="auto"/>
            <w:vAlign w:val="center"/>
          </w:tcPr>
          <w:p w14:paraId="28DAA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auto" w:fill="auto"/>
            <w:vAlign w:val="center"/>
          </w:tcPr>
          <w:p w14:paraId="689E96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297" w:type="pct"/>
            <w:gridSpan w:val="3"/>
            <w:tcBorders>
              <w:top w:val="nil"/>
              <w:left w:val="nil"/>
              <w:bottom w:val="single" w:color="000000" w:sz="4" w:space="0"/>
              <w:right w:val="single" w:color="000000" w:sz="4" w:space="0"/>
            </w:tcBorders>
            <w:shd w:val="clear" w:color="auto" w:fill="auto"/>
            <w:vAlign w:val="center"/>
          </w:tcPr>
          <w:p w14:paraId="258C4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370" w:type="pct"/>
            <w:vMerge w:val="restart"/>
            <w:tcBorders>
              <w:top w:val="nil"/>
              <w:left w:val="nil"/>
              <w:bottom w:val="single" w:color="000000" w:sz="4" w:space="0"/>
              <w:right w:val="single" w:color="000000" w:sz="4" w:space="0"/>
            </w:tcBorders>
            <w:shd w:val="clear" w:color="auto" w:fill="auto"/>
            <w:vAlign w:val="center"/>
          </w:tcPr>
          <w:p w14:paraId="3BCFF9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w:t>
            </w:r>
          </w:p>
          <w:p w14:paraId="78069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接待费</w:t>
            </w:r>
          </w:p>
        </w:tc>
      </w:tr>
      <w:tr w14:paraId="3DF10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14" w:type="pct"/>
            <w:vMerge w:val="continue"/>
            <w:tcBorders>
              <w:top w:val="nil"/>
              <w:left w:val="single" w:color="000000" w:sz="4" w:space="0"/>
              <w:bottom w:val="single" w:color="000000" w:sz="4" w:space="0"/>
              <w:right w:val="single" w:color="000000" w:sz="4" w:space="0"/>
            </w:tcBorders>
            <w:shd w:val="clear" w:color="auto" w:fill="auto"/>
            <w:vAlign w:val="center"/>
          </w:tcPr>
          <w:p w14:paraId="3E0E0EE6">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auto" w:fill="auto"/>
            <w:vAlign w:val="center"/>
          </w:tcPr>
          <w:p w14:paraId="16AD0C40">
            <w:pPr>
              <w:jc w:val="center"/>
              <w:rPr>
                <w:rFonts w:hint="eastAsia" w:ascii="宋体" w:hAnsi="宋体" w:eastAsia="宋体" w:cs="宋体"/>
                <w:i w:val="0"/>
                <w:iCs w:val="0"/>
                <w:color w:val="000000"/>
                <w:sz w:val="22"/>
                <w:szCs w:val="22"/>
                <w:u w:val="none"/>
              </w:rPr>
            </w:pPr>
          </w:p>
        </w:tc>
        <w:tc>
          <w:tcPr>
            <w:tcW w:w="416" w:type="pct"/>
            <w:vMerge w:val="restart"/>
            <w:tcBorders>
              <w:top w:val="nil"/>
              <w:left w:val="nil"/>
              <w:bottom w:val="single" w:color="000000" w:sz="4" w:space="0"/>
              <w:right w:val="single" w:color="000000" w:sz="4" w:space="0"/>
            </w:tcBorders>
            <w:shd w:val="clear" w:color="auto" w:fill="auto"/>
            <w:vAlign w:val="center"/>
          </w:tcPr>
          <w:p w14:paraId="5B79D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16" w:type="pct"/>
            <w:vMerge w:val="restart"/>
            <w:tcBorders>
              <w:top w:val="nil"/>
              <w:left w:val="nil"/>
              <w:bottom w:val="single" w:color="000000" w:sz="4" w:space="0"/>
              <w:right w:val="single" w:color="000000" w:sz="4" w:space="0"/>
            </w:tcBorders>
            <w:shd w:val="clear" w:color="auto" w:fill="auto"/>
            <w:vAlign w:val="center"/>
          </w:tcPr>
          <w:p w14:paraId="2EB99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472" w:type="pct"/>
            <w:vMerge w:val="restart"/>
            <w:tcBorders>
              <w:top w:val="nil"/>
              <w:left w:val="nil"/>
              <w:bottom w:val="single" w:color="000000" w:sz="4" w:space="0"/>
              <w:right w:val="single" w:color="000000" w:sz="4" w:space="0"/>
            </w:tcBorders>
            <w:shd w:val="clear" w:color="auto" w:fill="auto"/>
            <w:vAlign w:val="center"/>
          </w:tcPr>
          <w:p w14:paraId="40CCB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364" w:type="pct"/>
            <w:vMerge w:val="continue"/>
            <w:tcBorders>
              <w:top w:val="nil"/>
              <w:left w:val="nil"/>
              <w:bottom w:val="single" w:color="000000" w:sz="4" w:space="0"/>
              <w:right w:val="single" w:color="000000" w:sz="4" w:space="0"/>
            </w:tcBorders>
            <w:shd w:val="clear" w:color="auto" w:fill="auto"/>
            <w:vAlign w:val="center"/>
          </w:tcPr>
          <w:p w14:paraId="25E179BD">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auto" w:fill="auto"/>
            <w:vAlign w:val="center"/>
          </w:tcPr>
          <w:p w14:paraId="14EDE3C1">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auto" w:fill="auto"/>
            <w:vAlign w:val="center"/>
          </w:tcPr>
          <w:p w14:paraId="70F07914">
            <w:pPr>
              <w:jc w:val="center"/>
              <w:rPr>
                <w:rFonts w:hint="eastAsia" w:ascii="宋体" w:hAnsi="宋体" w:eastAsia="宋体" w:cs="宋体"/>
                <w:i w:val="0"/>
                <w:iCs w:val="0"/>
                <w:color w:val="000000"/>
                <w:sz w:val="22"/>
                <w:szCs w:val="22"/>
                <w:u w:val="none"/>
              </w:rPr>
            </w:pPr>
          </w:p>
        </w:tc>
        <w:tc>
          <w:tcPr>
            <w:tcW w:w="416" w:type="pct"/>
            <w:vMerge w:val="restart"/>
            <w:tcBorders>
              <w:top w:val="nil"/>
              <w:left w:val="nil"/>
              <w:bottom w:val="single" w:color="000000" w:sz="4" w:space="0"/>
              <w:right w:val="single" w:color="000000" w:sz="4" w:space="0"/>
            </w:tcBorders>
            <w:shd w:val="clear" w:color="auto" w:fill="auto"/>
            <w:vAlign w:val="center"/>
          </w:tcPr>
          <w:p w14:paraId="31DCF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16" w:type="pct"/>
            <w:vMerge w:val="restart"/>
            <w:tcBorders>
              <w:top w:val="nil"/>
              <w:left w:val="nil"/>
              <w:bottom w:val="single" w:color="000000" w:sz="4" w:space="0"/>
              <w:right w:val="single" w:color="000000" w:sz="4" w:space="0"/>
            </w:tcBorders>
            <w:shd w:val="clear" w:color="auto" w:fill="auto"/>
            <w:vAlign w:val="center"/>
          </w:tcPr>
          <w:p w14:paraId="4D8AB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465" w:type="pct"/>
            <w:vMerge w:val="restart"/>
            <w:tcBorders>
              <w:top w:val="nil"/>
              <w:left w:val="nil"/>
              <w:bottom w:val="single" w:color="000000" w:sz="4" w:space="0"/>
              <w:right w:val="single" w:color="000000" w:sz="4" w:space="0"/>
            </w:tcBorders>
            <w:shd w:val="clear" w:color="auto" w:fill="auto"/>
            <w:vAlign w:val="center"/>
          </w:tcPr>
          <w:p w14:paraId="0FCD7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370" w:type="pct"/>
            <w:vMerge w:val="continue"/>
            <w:tcBorders>
              <w:top w:val="nil"/>
              <w:left w:val="nil"/>
              <w:bottom w:val="single" w:color="000000" w:sz="4" w:space="0"/>
              <w:right w:val="single" w:color="000000" w:sz="4" w:space="0"/>
            </w:tcBorders>
            <w:shd w:val="clear" w:color="auto" w:fill="auto"/>
            <w:vAlign w:val="center"/>
          </w:tcPr>
          <w:p w14:paraId="5A159CDD">
            <w:pPr>
              <w:jc w:val="center"/>
              <w:rPr>
                <w:rFonts w:hint="eastAsia" w:ascii="宋体" w:hAnsi="宋体" w:eastAsia="宋体" w:cs="宋体"/>
                <w:i w:val="0"/>
                <w:iCs w:val="0"/>
                <w:color w:val="000000"/>
                <w:sz w:val="22"/>
                <w:szCs w:val="22"/>
                <w:u w:val="none"/>
              </w:rPr>
            </w:pPr>
          </w:p>
        </w:tc>
      </w:tr>
      <w:tr w14:paraId="03D3E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4" w:type="pct"/>
            <w:vMerge w:val="continue"/>
            <w:tcBorders>
              <w:top w:val="nil"/>
              <w:left w:val="single" w:color="000000" w:sz="4" w:space="0"/>
              <w:bottom w:val="single" w:color="000000" w:sz="4" w:space="0"/>
              <w:right w:val="single" w:color="000000" w:sz="4" w:space="0"/>
            </w:tcBorders>
            <w:shd w:val="clear" w:color="auto" w:fill="auto"/>
            <w:vAlign w:val="center"/>
          </w:tcPr>
          <w:p w14:paraId="022CFAD6">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auto" w:fill="auto"/>
            <w:vAlign w:val="center"/>
          </w:tcPr>
          <w:p w14:paraId="420F876E">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auto" w:fill="auto"/>
            <w:vAlign w:val="center"/>
          </w:tcPr>
          <w:p w14:paraId="28EB6FF8">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auto" w:fill="auto"/>
            <w:vAlign w:val="center"/>
          </w:tcPr>
          <w:p w14:paraId="06C9F505">
            <w:pPr>
              <w:jc w:val="center"/>
              <w:rPr>
                <w:rFonts w:hint="eastAsia" w:ascii="宋体" w:hAnsi="宋体" w:eastAsia="宋体" w:cs="宋体"/>
                <w:i w:val="0"/>
                <w:iCs w:val="0"/>
                <w:color w:val="000000"/>
                <w:sz w:val="22"/>
                <w:szCs w:val="22"/>
                <w:u w:val="none"/>
              </w:rPr>
            </w:pPr>
          </w:p>
        </w:tc>
        <w:tc>
          <w:tcPr>
            <w:tcW w:w="472" w:type="pct"/>
            <w:vMerge w:val="continue"/>
            <w:tcBorders>
              <w:top w:val="nil"/>
              <w:left w:val="nil"/>
              <w:bottom w:val="single" w:color="000000" w:sz="4" w:space="0"/>
              <w:right w:val="single" w:color="000000" w:sz="4" w:space="0"/>
            </w:tcBorders>
            <w:shd w:val="clear" w:color="auto" w:fill="auto"/>
            <w:vAlign w:val="center"/>
          </w:tcPr>
          <w:p w14:paraId="56AA71EB">
            <w:pPr>
              <w:jc w:val="center"/>
              <w:rPr>
                <w:rFonts w:hint="eastAsia" w:ascii="宋体" w:hAnsi="宋体" w:eastAsia="宋体" w:cs="宋体"/>
                <w:i w:val="0"/>
                <w:iCs w:val="0"/>
                <w:color w:val="000000"/>
                <w:sz w:val="22"/>
                <w:szCs w:val="22"/>
                <w:u w:val="none"/>
              </w:rPr>
            </w:pPr>
          </w:p>
        </w:tc>
        <w:tc>
          <w:tcPr>
            <w:tcW w:w="364" w:type="pct"/>
            <w:vMerge w:val="continue"/>
            <w:tcBorders>
              <w:top w:val="nil"/>
              <w:left w:val="nil"/>
              <w:bottom w:val="single" w:color="000000" w:sz="4" w:space="0"/>
              <w:right w:val="single" w:color="000000" w:sz="4" w:space="0"/>
            </w:tcBorders>
            <w:shd w:val="clear" w:color="auto" w:fill="auto"/>
            <w:vAlign w:val="center"/>
          </w:tcPr>
          <w:p w14:paraId="28A1CCBB">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auto" w:fill="auto"/>
            <w:vAlign w:val="center"/>
          </w:tcPr>
          <w:p w14:paraId="2561A718">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auto" w:fill="auto"/>
            <w:vAlign w:val="center"/>
          </w:tcPr>
          <w:p w14:paraId="265C6653">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auto" w:fill="auto"/>
            <w:vAlign w:val="center"/>
          </w:tcPr>
          <w:p w14:paraId="181264AB">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auto" w:fill="auto"/>
            <w:vAlign w:val="center"/>
          </w:tcPr>
          <w:p w14:paraId="4C050132">
            <w:pPr>
              <w:jc w:val="center"/>
              <w:rPr>
                <w:rFonts w:hint="eastAsia" w:ascii="宋体" w:hAnsi="宋体" w:eastAsia="宋体" w:cs="宋体"/>
                <w:i w:val="0"/>
                <w:iCs w:val="0"/>
                <w:color w:val="000000"/>
                <w:sz w:val="22"/>
                <w:szCs w:val="22"/>
                <w:u w:val="none"/>
              </w:rPr>
            </w:pPr>
          </w:p>
        </w:tc>
        <w:tc>
          <w:tcPr>
            <w:tcW w:w="465" w:type="pct"/>
            <w:vMerge w:val="continue"/>
            <w:tcBorders>
              <w:top w:val="nil"/>
              <w:left w:val="nil"/>
              <w:bottom w:val="single" w:color="000000" w:sz="4" w:space="0"/>
              <w:right w:val="single" w:color="000000" w:sz="4" w:space="0"/>
            </w:tcBorders>
            <w:shd w:val="clear" w:color="auto" w:fill="auto"/>
            <w:vAlign w:val="center"/>
          </w:tcPr>
          <w:p w14:paraId="14C5067F">
            <w:pPr>
              <w:jc w:val="center"/>
              <w:rPr>
                <w:rFonts w:hint="eastAsia" w:ascii="宋体" w:hAnsi="宋体" w:eastAsia="宋体" w:cs="宋体"/>
                <w:i w:val="0"/>
                <w:iCs w:val="0"/>
                <w:color w:val="000000"/>
                <w:sz w:val="22"/>
                <w:szCs w:val="22"/>
                <w:u w:val="none"/>
              </w:rPr>
            </w:pPr>
          </w:p>
        </w:tc>
        <w:tc>
          <w:tcPr>
            <w:tcW w:w="370" w:type="pct"/>
            <w:vMerge w:val="continue"/>
            <w:tcBorders>
              <w:top w:val="nil"/>
              <w:left w:val="nil"/>
              <w:bottom w:val="single" w:color="000000" w:sz="4" w:space="0"/>
              <w:right w:val="single" w:color="000000" w:sz="4" w:space="0"/>
            </w:tcBorders>
            <w:shd w:val="clear" w:color="auto" w:fill="auto"/>
            <w:vAlign w:val="center"/>
          </w:tcPr>
          <w:p w14:paraId="70ECBD95">
            <w:pPr>
              <w:jc w:val="center"/>
              <w:rPr>
                <w:rFonts w:hint="eastAsia" w:ascii="宋体" w:hAnsi="宋体" w:eastAsia="宋体" w:cs="宋体"/>
                <w:i w:val="0"/>
                <w:iCs w:val="0"/>
                <w:color w:val="000000"/>
                <w:sz w:val="22"/>
                <w:szCs w:val="22"/>
                <w:u w:val="none"/>
              </w:rPr>
            </w:pPr>
          </w:p>
        </w:tc>
      </w:tr>
      <w:tr w14:paraId="2B9BB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14" w:type="pct"/>
            <w:tcBorders>
              <w:top w:val="nil"/>
              <w:left w:val="single" w:color="000000" w:sz="4" w:space="0"/>
              <w:bottom w:val="single" w:color="000000" w:sz="4" w:space="0"/>
              <w:right w:val="single" w:color="000000" w:sz="4" w:space="0"/>
            </w:tcBorders>
            <w:shd w:val="clear" w:color="auto" w:fill="auto"/>
            <w:noWrap/>
            <w:vAlign w:val="center"/>
          </w:tcPr>
          <w:p w14:paraId="5AC78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6" w:type="pct"/>
            <w:tcBorders>
              <w:top w:val="nil"/>
              <w:left w:val="nil"/>
              <w:bottom w:val="single" w:color="000000" w:sz="4" w:space="0"/>
              <w:right w:val="single" w:color="000000" w:sz="4" w:space="0"/>
            </w:tcBorders>
            <w:shd w:val="clear" w:color="auto" w:fill="auto"/>
            <w:noWrap/>
            <w:vAlign w:val="center"/>
          </w:tcPr>
          <w:p w14:paraId="13590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16" w:type="pct"/>
            <w:tcBorders>
              <w:top w:val="nil"/>
              <w:left w:val="nil"/>
              <w:bottom w:val="single" w:color="000000" w:sz="4" w:space="0"/>
              <w:right w:val="single" w:color="000000" w:sz="4" w:space="0"/>
            </w:tcBorders>
            <w:shd w:val="clear" w:color="auto" w:fill="auto"/>
            <w:noWrap/>
            <w:vAlign w:val="center"/>
          </w:tcPr>
          <w:p w14:paraId="63FB9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16" w:type="pct"/>
            <w:tcBorders>
              <w:top w:val="nil"/>
              <w:left w:val="nil"/>
              <w:bottom w:val="single" w:color="000000" w:sz="4" w:space="0"/>
              <w:right w:val="single" w:color="000000" w:sz="4" w:space="0"/>
            </w:tcBorders>
            <w:shd w:val="clear" w:color="auto" w:fill="auto"/>
            <w:noWrap/>
            <w:vAlign w:val="center"/>
          </w:tcPr>
          <w:p w14:paraId="0ED94B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72" w:type="pct"/>
            <w:tcBorders>
              <w:top w:val="nil"/>
              <w:left w:val="nil"/>
              <w:bottom w:val="single" w:color="000000" w:sz="4" w:space="0"/>
              <w:right w:val="single" w:color="000000" w:sz="4" w:space="0"/>
            </w:tcBorders>
            <w:shd w:val="clear" w:color="auto" w:fill="auto"/>
            <w:noWrap/>
            <w:vAlign w:val="center"/>
          </w:tcPr>
          <w:p w14:paraId="286CA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64" w:type="pct"/>
            <w:tcBorders>
              <w:top w:val="nil"/>
              <w:left w:val="nil"/>
              <w:bottom w:val="single" w:color="000000" w:sz="4" w:space="0"/>
              <w:right w:val="single" w:color="000000" w:sz="4" w:space="0"/>
            </w:tcBorders>
            <w:shd w:val="clear" w:color="auto" w:fill="auto"/>
            <w:noWrap/>
            <w:vAlign w:val="center"/>
          </w:tcPr>
          <w:p w14:paraId="4682B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16" w:type="pct"/>
            <w:tcBorders>
              <w:top w:val="nil"/>
              <w:left w:val="nil"/>
              <w:bottom w:val="single" w:color="000000" w:sz="4" w:space="0"/>
              <w:right w:val="single" w:color="000000" w:sz="4" w:space="0"/>
            </w:tcBorders>
            <w:shd w:val="clear" w:color="auto" w:fill="auto"/>
            <w:noWrap/>
            <w:vAlign w:val="center"/>
          </w:tcPr>
          <w:p w14:paraId="22738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16" w:type="pct"/>
            <w:tcBorders>
              <w:top w:val="nil"/>
              <w:left w:val="nil"/>
              <w:bottom w:val="single" w:color="000000" w:sz="4" w:space="0"/>
              <w:right w:val="single" w:color="000000" w:sz="4" w:space="0"/>
            </w:tcBorders>
            <w:shd w:val="clear" w:color="auto" w:fill="auto"/>
            <w:noWrap/>
            <w:vAlign w:val="center"/>
          </w:tcPr>
          <w:p w14:paraId="7B933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16" w:type="pct"/>
            <w:tcBorders>
              <w:top w:val="nil"/>
              <w:left w:val="nil"/>
              <w:bottom w:val="single" w:color="000000" w:sz="4" w:space="0"/>
              <w:right w:val="single" w:color="000000" w:sz="4" w:space="0"/>
            </w:tcBorders>
            <w:shd w:val="clear" w:color="auto" w:fill="auto"/>
            <w:noWrap/>
            <w:vAlign w:val="center"/>
          </w:tcPr>
          <w:p w14:paraId="704AC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16" w:type="pct"/>
            <w:tcBorders>
              <w:top w:val="nil"/>
              <w:left w:val="nil"/>
              <w:bottom w:val="single" w:color="000000" w:sz="4" w:space="0"/>
              <w:right w:val="single" w:color="000000" w:sz="4" w:space="0"/>
            </w:tcBorders>
            <w:shd w:val="clear" w:color="auto" w:fill="auto"/>
            <w:noWrap/>
            <w:vAlign w:val="center"/>
          </w:tcPr>
          <w:p w14:paraId="3E1D4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65" w:type="pct"/>
            <w:tcBorders>
              <w:top w:val="nil"/>
              <w:left w:val="nil"/>
              <w:bottom w:val="single" w:color="000000" w:sz="4" w:space="0"/>
              <w:right w:val="single" w:color="000000" w:sz="4" w:space="0"/>
            </w:tcBorders>
            <w:shd w:val="clear" w:color="auto" w:fill="auto"/>
            <w:noWrap/>
            <w:vAlign w:val="center"/>
          </w:tcPr>
          <w:p w14:paraId="47B42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70" w:type="pct"/>
            <w:tcBorders>
              <w:top w:val="nil"/>
              <w:left w:val="nil"/>
              <w:bottom w:val="single" w:color="000000" w:sz="4" w:space="0"/>
              <w:right w:val="single" w:color="000000" w:sz="4" w:space="0"/>
            </w:tcBorders>
            <w:shd w:val="clear" w:color="auto" w:fill="auto"/>
            <w:noWrap/>
            <w:vAlign w:val="center"/>
          </w:tcPr>
          <w:p w14:paraId="4B1A9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47EEE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14" w:type="pct"/>
            <w:tcBorders>
              <w:top w:val="nil"/>
              <w:left w:val="single" w:color="000000" w:sz="4" w:space="0"/>
              <w:bottom w:val="single" w:color="000000" w:sz="4" w:space="0"/>
              <w:right w:val="single" w:color="000000" w:sz="4" w:space="0"/>
            </w:tcBorders>
            <w:shd w:val="clear" w:color="auto" w:fill="auto"/>
            <w:noWrap/>
            <w:vAlign w:val="center"/>
          </w:tcPr>
          <w:p w14:paraId="1B9D2C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w:t>
            </w:r>
          </w:p>
        </w:tc>
        <w:tc>
          <w:tcPr>
            <w:tcW w:w="416" w:type="pct"/>
            <w:tcBorders>
              <w:top w:val="nil"/>
              <w:left w:val="nil"/>
              <w:bottom w:val="single" w:color="000000" w:sz="4" w:space="0"/>
              <w:right w:val="single" w:color="000000" w:sz="4" w:space="0"/>
            </w:tcBorders>
            <w:shd w:val="clear" w:color="auto" w:fill="auto"/>
            <w:noWrap/>
            <w:vAlign w:val="center"/>
          </w:tcPr>
          <w:p w14:paraId="0E7A41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6" w:type="pct"/>
            <w:tcBorders>
              <w:top w:val="nil"/>
              <w:left w:val="nil"/>
              <w:bottom w:val="single" w:color="000000" w:sz="4" w:space="0"/>
              <w:right w:val="single" w:color="000000" w:sz="4" w:space="0"/>
            </w:tcBorders>
            <w:shd w:val="clear" w:color="auto" w:fill="auto"/>
            <w:noWrap/>
            <w:vAlign w:val="center"/>
          </w:tcPr>
          <w:p w14:paraId="642572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416" w:type="pct"/>
            <w:tcBorders>
              <w:top w:val="nil"/>
              <w:left w:val="nil"/>
              <w:bottom w:val="single" w:color="000000" w:sz="4" w:space="0"/>
              <w:right w:val="single" w:color="000000" w:sz="4" w:space="0"/>
            </w:tcBorders>
            <w:shd w:val="clear" w:color="auto" w:fill="auto"/>
            <w:noWrap/>
            <w:vAlign w:val="center"/>
          </w:tcPr>
          <w:p w14:paraId="7FD1CC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000000" w:sz="4" w:space="0"/>
              <w:right w:val="single" w:color="000000" w:sz="4" w:space="0"/>
            </w:tcBorders>
            <w:shd w:val="clear" w:color="auto" w:fill="auto"/>
            <w:noWrap/>
            <w:vAlign w:val="center"/>
          </w:tcPr>
          <w:p w14:paraId="56B47C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364" w:type="pct"/>
            <w:tcBorders>
              <w:top w:val="nil"/>
              <w:left w:val="nil"/>
              <w:bottom w:val="single" w:color="000000" w:sz="4" w:space="0"/>
              <w:right w:val="single" w:color="000000" w:sz="4" w:space="0"/>
            </w:tcBorders>
            <w:shd w:val="clear" w:color="auto" w:fill="auto"/>
            <w:noWrap/>
            <w:vAlign w:val="center"/>
          </w:tcPr>
          <w:p w14:paraId="70B301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w:t>
            </w:r>
          </w:p>
        </w:tc>
        <w:tc>
          <w:tcPr>
            <w:tcW w:w="416" w:type="pct"/>
            <w:tcBorders>
              <w:top w:val="nil"/>
              <w:left w:val="nil"/>
              <w:bottom w:val="single" w:color="000000" w:sz="4" w:space="0"/>
              <w:right w:val="single" w:color="000000" w:sz="4" w:space="0"/>
            </w:tcBorders>
            <w:shd w:val="clear" w:color="auto" w:fill="auto"/>
            <w:noWrap/>
            <w:vAlign w:val="center"/>
          </w:tcPr>
          <w:p w14:paraId="26596A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416" w:type="pct"/>
            <w:tcBorders>
              <w:top w:val="nil"/>
              <w:left w:val="nil"/>
              <w:bottom w:val="single" w:color="000000" w:sz="4" w:space="0"/>
              <w:right w:val="single" w:color="000000" w:sz="4" w:space="0"/>
            </w:tcBorders>
            <w:shd w:val="clear" w:color="auto" w:fill="auto"/>
            <w:noWrap/>
            <w:vAlign w:val="center"/>
          </w:tcPr>
          <w:p w14:paraId="6B6764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16" w:type="pct"/>
            <w:tcBorders>
              <w:top w:val="nil"/>
              <w:left w:val="nil"/>
              <w:bottom w:val="single" w:color="000000" w:sz="4" w:space="0"/>
              <w:right w:val="single" w:color="000000" w:sz="4" w:space="0"/>
            </w:tcBorders>
            <w:shd w:val="clear" w:color="auto" w:fill="auto"/>
            <w:noWrap/>
            <w:vAlign w:val="center"/>
          </w:tcPr>
          <w:p w14:paraId="4D9CCC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416" w:type="pct"/>
            <w:tcBorders>
              <w:top w:val="nil"/>
              <w:left w:val="nil"/>
              <w:bottom w:val="single" w:color="000000" w:sz="4" w:space="0"/>
              <w:right w:val="single" w:color="000000" w:sz="4" w:space="0"/>
            </w:tcBorders>
            <w:shd w:val="clear" w:color="auto" w:fill="auto"/>
            <w:noWrap/>
            <w:vAlign w:val="center"/>
          </w:tcPr>
          <w:p w14:paraId="16A50F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65" w:type="pct"/>
            <w:tcBorders>
              <w:top w:val="nil"/>
              <w:left w:val="nil"/>
              <w:bottom w:val="single" w:color="000000" w:sz="4" w:space="0"/>
              <w:right w:val="single" w:color="000000" w:sz="4" w:space="0"/>
            </w:tcBorders>
            <w:shd w:val="clear" w:color="auto" w:fill="auto"/>
            <w:noWrap/>
            <w:vAlign w:val="center"/>
          </w:tcPr>
          <w:p w14:paraId="60694D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370" w:type="pct"/>
            <w:tcBorders>
              <w:top w:val="nil"/>
              <w:left w:val="nil"/>
              <w:bottom w:val="single" w:color="000000" w:sz="4" w:space="0"/>
              <w:right w:val="single" w:color="000000" w:sz="4" w:space="0"/>
            </w:tcBorders>
            <w:shd w:val="clear" w:color="auto" w:fill="auto"/>
            <w:noWrap/>
            <w:vAlign w:val="center"/>
          </w:tcPr>
          <w:p w14:paraId="21C04A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0.98</w:t>
            </w:r>
          </w:p>
        </w:tc>
      </w:tr>
    </w:tbl>
    <w:p w14:paraId="0330BDA8">
      <w:pPr>
        <w:shd w:val="clear"/>
        <w:autoSpaceDE w:val="0"/>
        <w:autoSpaceDN w:val="0"/>
        <w:adjustRightInd w:val="0"/>
        <w:ind w:left="315" w:leftChars="150"/>
        <w:jc w:val="left"/>
        <w:rPr>
          <w:rFonts w:ascii="Times New Roman" w:hAnsi="Times New Roman" w:eastAsia="宋体" w:cs="Times New Roman"/>
          <w:i w:val="0"/>
          <w:iCs w:val="0"/>
          <w:kern w:val="0"/>
          <w:sz w:val="24"/>
          <w:szCs w:val="24"/>
        </w:rPr>
      </w:pPr>
    </w:p>
    <w:p w14:paraId="02A6FA29">
      <w:pPr>
        <w:widowControl/>
        <w:shd w:val="clear"/>
        <w:rPr>
          <w:rFonts w:ascii="Times New Roman" w:hAnsi="Times New Roman" w:cs="Times New Roman"/>
          <w:i w:val="0"/>
          <w:iCs w:val="0"/>
          <w:sz w:val="72"/>
          <w:szCs w:val="72"/>
        </w:rPr>
        <w:sectPr>
          <w:pgSz w:w="16838" w:h="11906" w:orient="landscape"/>
          <w:pgMar w:top="1134" w:right="1134" w:bottom="1134" w:left="1134" w:header="851" w:footer="992" w:gutter="0"/>
          <w:cols w:space="0" w:num="1"/>
          <w:rtlGutter w:val="0"/>
          <w:docGrid w:type="lines" w:linePitch="312" w:charSpace="0"/>
        </w:sectPr>
      </w:pPr>
      <w:r>
        <w:rPr>
          <w:rFonts w:ascii="Times New Roman" w:hAnsi="Times New Roman" w:eastAsia="黑体" w:cs="Times New Roman"/>
          <w:i w:val="0"/>
          <w:iCs w:val="0"/>
          <w:szCs w:val="21"/>
        </w:rPr>
        <w:br w:type="page"/>
      </w:r>
    </w:p>
    <w:p w14:paraId="794CE821">
      <w:pPr>
        <w:pStyle w:val="13"/>
        <w:shd w:val="clear"/>
        <w:rPr>
          <w:rFonts w:ascii="Times New Roman" w:hAnsi="Times New Roman" w:cs="Times New Roman"/>
          <w:i w:val="0"/>
          <w:iCs w:val="0"/>
          <w:sz w:val="72"/>
          <w:szCs w:val="72"/>
        </w:rPr>
      </w:pPr>
    </w:p>
    <w:p w14:paraId="20AE08B9">
      <w:pPr>
        <w:pStyle w:val="13"/>
        <w:shd w:val="clear"/>
        <w:rPr>
          <w:rFonts w:ascii="Times New Roman" w:hAnsi="Times New Roman" w:cs="Times New Roman"/>
          <w:i w:val="0"/>
          <w:iCs w:val="0"/>
          <w:sz w:val="72"/>
          <w:szCs w:val="72"/>
        </w:rPr>
      </w:pPr>
    </w:p>
    <w:p w14:paraId="75E09DC5">
      <w:pPr>
        <w:pStyle w:val="13"/>
        <w:shd w:val="clear"/>
        <w:rPr>
          <w:rFonts w:ascii="Times New Roman" w:hAnsi="Times New Roman" w:cs="Times New Roman"/>
          <w:i w:val="0"/>
          <w:iCs w:val="0"/>
          <w:sz w:val="72"/>
          <w:szCs w:val="72"/>
        </w:rPr>
      </w:pPr>
    </w:p>
    <w:p w14:paraId="6E7D875B">
      <w:pPr>
        <w:pStyle w:val="13"/>
        <w:shd w:val="clear"/>
        <w:jc w:val="center"/>
        <w:rPr>
          <w:rFonts w:ascii="Times New Roman" w:hAnsi="Times New Roman" w:cs="Times New Roman"/>
          <w:i w:val="0"/>
          <w:iCs w:val="0"/>
          <w:sz w:val="72"/>
          <w:szCs w:val="72"/>
        </w:rPr>
      </w:pPr>
    </w:p>
    <w:p w14:paraId="1DC178B4">
      <w:pPr>
        <w:pStyle w:val="13"/>
        <w:shd w:val="clear"/>
        <w:jc w:val="center"/>
        <w:rPr>
          <w:rFonts w:ascii="Times New Roman" w:hAnsi="Times New Roman" w:eastAsia="方正小标宋_GBK" w:cs="Times New Roman"/>
          <w:i w:val="0"/>
          <w:iCs w:val="0"/>
          <w:sz w:val="72"/>
          <w:szCs w:val="72"/>
        </w:rPr>
      </w:pPr>
    </w:p>
    <w:p w14:paraId="4D042974">
      <w:pPr>
        <w:pStyle w:val="13"/>
        <w:shd w:val="clear"/>
        <w:spacing w:line="360" w:lineRule="auto"/>
        <w:jc w:val="center"/>
        <w:rPr>
          <w:rFonts w:ascii="Times New Roman" w:hAnsi="Times New Roman" w:eastAsia="方正小标宋_GBK" w:cs="Times New Roman"/>
          <w:i w:val="0"/>
          <w:iCs w:val="0"/>
          <w:sz w:val="52"/>
          <w:szCs w:val="52"/>
        </w:rPr>
      </w:pPr>
      <w:r>
        <w:rPr>
          <w:rFonts w:ascii="Times New Roman" w:hAnsi="Times New Roman" w:eastAsia="方正小标宋_GBK" w:cs="Times New Roman"/>
          <w:i w:val="0"/>
          <w:iCs w:val="0"/>
          <w:sz w:val="52"/>
          <w:szCs w:val="52"/>
        </w:rPr>
        <w:t>第三部分</w:t>
      </w:r>
    </w:p>
    <w:p w14:paraId="075118A2">
      <w:pPr>
        <w:pStyle w:val="13"/>
        <w:shd w:val="clear"/>
        <w:spacing w:line="360" w:lineRule="auto"/>
        <w:jc w:val="center"/>
        <w:rPr>
          <w:rFonts w:ascii="Times New Roman" w:hAnsi="Times New Roman" w:eastAsia="方正小标宋_GBK" w:cs="Times New Roman"/>
          <w:i w:val="0"/>
          <w:iCs w:val="0"/>
          <w:sz w:val="52"/>
          <w:szCs w:val="52"/>
        </w:rPr>
      </w:pPr>
      <w:r>
        <w:rPr>
          <w:rFonts w:ascii="Times New Roman" w:hAnsi="Times New Roman" w:eastAsia="方正小标宋_GBK" w:cs="Times New Roman"/>
          <w:i w:val="0"/>
          <w:iCs w:val="0"/>
          <w:sz w:val="52"/>
          <w:szCs w:val="52"/>
        </w:rPr>
        <w:t>202</w:t>
      </w:r>
      <w:r>
        <w:rPr>
          <w:rFonts w:hint="eastAsia" w:ascii="Times New Roman" w:hAnsi="Times New Roman" w:eastAsia="方正小标宋_GBK" w:cs="Times New Roman"/>
          <w:i w:val="0"/>
          <w:iCs w:val="0"/>
          <w:sz w:val="52"/>
          <w:szCs w:val="52"/>
          <w:lang w:val="en-US" w:eastAsia="zh-CN"/>
        </w:rPr>
        <w:t>5</w:t>
      </w:r>
      <w:r>
        <w:rPr>
          <w:rFonts w:ascii="Times New Roman" w:hAnsi="Times New Roman" w:eastAsia="方正小标宋_GBK" w:cs="Times New Roman"/>
          <w:i w:val="0"/>
          <w:iCs w:val="0"/>
          <w:sz w:val="52"/>
          <w:szCs w:val="52"/>
        </w:rPr>
        <w:t>年度部门决算情况说明</w:t>
      </w:r>
    </w:p>
    <w:p w14:paraId="6409EE4A">
      <w:pPr>
        <w:widowControl/>
        <w:shd w:val="clear"/>
        <w:jc w:val="left"/>
        <w:rPr>
          <w:rFonts w:ascii="Times New Roman" w:hAnsi="Times New Roman" w:cs="Times New Roman"/>
          <w:i w:val="0"/>
          <w:iCs w:val="0"/>
          <w:sz w:val="32"/>
          <w:szCs w:val="32"/>
        </w:rPr>
      </w:pPr>
      <w:r>
        <w:rPr>
          <w:rFonts w:ascii="Times New Roman" w:hAnsi="Times New Roman" w:eastAsia="方正小标宋_GBK" w:cs="Times New Roman"/>
          <w:i w:val="0"/>
          <w:iCs w:val="0"/>
          <w:sz w:val="70"/>
          <w:szCs w:val="70"/>
        </w:rPr>
        <w:br w:type="page"/>
      </w:r>
    </w:p>
    <w:p w14:paraId="13B0DE88">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sz w:val="32"/>
          <w:szCs w:val="32"/>
        </w:rPr>
      </w:pPr>
      <w:r>
        <w:rPr>
          <w:rFonts w:ascii="Times New Roman" w:hAnsi="Times New Roman" w:cs="Times New Roman"/>
          <w:bCs/>
          <w:i w:val="0"/>
          <w:iCs w:val="0"/>
          <w:sz w:val="32"/>
          <w:szCs w:val="32"/>
        </w:rPr>
        <w:t>一、收入支出决算总体情况说明</w:t>
      </w:r>
    </w:p>
    <w:p w14:paraId="3EFB2C31">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i w:val="0"/>
          <w:iCs w:val="0"/>
          <w:sz w:val="32"/>
          <w:szCs w:val="32"/>
          <w:lang w:eastAsia="zh-CN"/>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年度收、支总计</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万元。与上年相比，增加</w:t>
      </w:r>
      <w:r>
        <w:rPr>
          <w:rFonts w:hint="eastAsia" w:ascii="Times New Roman" w:hAnsi="Times New Roman" w:eastAsia="仿宋_GB2312" w:cs="Times New Roman"/>
          <w:i w:val="0"/>
          <w:iCs w:val="0"/>
          <w:sz w:val="32"/>
          <w:szCs w:val="32"/>
          <w:lang w:val="en-US" w:eastAsia="zh-CN"/>
        </w:rPr>
        <w:t>163.1</w:t>
      </w:r>
      <w:r>
        <w:rPr>
          <w:rFonts w:ascii="Times New Roman" w:hAnsi="Times New Roman" w:eastAsia="仿宋_GB2312" w:cs="Times New Roman"/>
          <w:i w:val="0"/>
          <w:iCs w:val="0"/>
          <w:sz w:val="32"/>
          <w:szCs w:val="32"/>
        </w:rPr>
        <w:t>万元，增长</w:t>
      </w:r>
      <w:r>
        <w:rPr>
          <w:rFonts w:hint="eastAsia" w:ascii="Times New Roman" w:hAnsi="Times New Roman" w:eastAsia="仿宋_GB2312" w:cs="Times New Roman"/>
          <w:i w:val="0"/>
          <w:iCs w:val="0"/>
          <w:sz w:val="32"/>
          <w:szCs w:val="32"/>
          <w:lang w:val="en-US" w:eastAsia="zh-CN"/>
        </w:rPr>
        <w:t>19.72</w:t>
      </w:r>
      <w:r>
        <w:rPr>
          <w:rFonts w:ascii="Times New Roman" w:hAnsi="Times New Roman" w:eastAsia="仿宋_GB2312" w:cs="Times New Roman"/>
          <w:i w:val="0"/>
          <w:iCs w:val="0"/>
          <w:sz w:val="32"/>
          <w:szCs w:val="32"/>
        </w:rPr>
        <w:t>%，主要是因为</w:t>
      </w:r>
      <w:r>
        <w:rPr>
          <w:rFonts w:hint="eastAsia" w:ascii="Times New Roman" w:hAnsi="Times New Roman" w:eastAsia="仿宋_GB2312" w:cs="仿宋"/>
          <w:i w:val="0"/>
          <w:iCs w:val="0"/>
          <w:color w:val="000000"/>
          <w:spacing w:val="0"/>
          <w:sz w:val="32"/>
          <w:szCs w:val="32"/>
        </w:rPr>
        <w:t>202</w:t>
      </w:r>
      <w:r>
        <w:rPr>
          <w:rFonts w:hint="eastAsia" w:ascii="Times New Roman" w:hAnsi="Times New Roman" w:eastAsia="仿宋_GB2312" w:cs="仿宋"/>
          <w:i w:val="0"/>
          <w:iCs w:val="0"/>
          <w:color w:val="000000"/>
          <w:spacing w:val="0"/>
          <w:sz w:val="32"/>
          <w:szCs w:val="32"/>
          <w:lang w:val="en-US" w:eastAsia="zh-CN"/>
        </w:rPr>
        <w:t>5</w:t>
      </w:r>
      <w:r>
        <w:rPr>
          <w:rFonts w:hint="eastAsia" w:ascii="Times New Roman" w:hAnsi="Times New Roman" w:eastAsia="仿宋_GB2312" w:cs="仿宋"/>
          <w:i w:val="0"/>
          <w:iCs w:val="0"/>
          <w:color w:val="000000"/>
          <w:spacing w:val="0"/>
          <w:sz w:val="32"/>
          <w:szCs w:val="32"/>
        </w:rPr>
        <w:t>年度资金较202</w:t>
      </w:r>
      <w:r>
        <w:rPr>
          <w:rFonts w:hint="eastAsia" w:ascii="Times New Roman" w:hAnsi="Times New Roman" w:eastAsia="仿宋_GB2312" w:cs="仿宋"/>
          <w:i w:val="0"/>
          <w:iCs w:val="0"/>
          <w:color w:val="000000"/>
          <w:spacing w:val="0"/>
          <w:sz w:val="32"/>
          <w:szCs w:val="32"/>
          <w:lang w:val="en-US" w:eastAsia="zh-CN"/>
        </w:rPr>
        <w:t>4</w:t>
      </w:r>
      <w:r>
        <w:rPr>
          <w:rFonts w:hint="eastAsia" w:ascii="Times New Roman" w:hAnsi="Times New Roman" w:eastAsia="仿宋_GB2312" w:cs="仿宋"/>
          <w:i w:val="0"/>
          <w:iCs w:val="0"/>
          <w:color w:val="000000"/>
          <w:spacing w:val="0"/>
          <w:sz w:val="32"/>
          <w:szCs w:val="32"/>
        </w:rPr>
        <w:t>年度有所</w:t>
      </w:r>
      <w:r>
        <w:rPr>
          <w:rFonts w:hint="eastAsia" w:ascii="Times New Roman" w:hAnsi="Times New Roman" w:eastAsia="仿宋_GB2312" w:cs="仿宋"/>
          <w:i w:val="0"/>
          <w:iCs w:val="0"/>
          <w:color w:val="000000"/>
          <w:spacing w:val="0"/>
          <w:sz w:val="32"/>
          <w:szCs w:val="32"/>
          <w:lang w:eastAsia="zh-CN"/>
        </w:rPr>
        <w:t>增加。</w:t>
      </w:r>
    </w:p>
    <w:p w14:paraId="08F5FDE3">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i w:val="0"/>
          <w:iCs w:val="0"/>
          <w:sz w:val="32"/>
          <w:szCs w:val="32"/>
          <w:lang w:eastAsia="zh-CN"/>
        </w:rPr>
      </w:pPr>
      <w:r>
        <w:rPr>
          <w:rFonts w:hint="eastAsia" w:ascii="Times New Roman" w:hAnsi="Times New Roman" w:eastAsia="仿宋_GB2312" w:cs="Times New Roman"/>
          <w:i w:val="0"/>
          <w:iCs w:val="0"/>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基本工资、运转经费等重点支出，体现在有关支出科目中。</w:t>
      </w:r>
    </w:p>
    <w:p w14:paraId="0FCF2429">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sz w:val="32"/>
          <w:szCs w:val="32"/>
        </w:rPr>
      </w:pPr>
      <w:r>
        <w:rPr>
          <w:rFonts w:ascii="Times New Roman" w:hAnsi="Times New Roman" w:cs="Times New Roman"/>
          <w:bCs/>
          <w:i w:val="0"/>
          <w:iCs w:val="0"/>
          <w:sz w:val="32"/>
          <w:szCs w:val="32"/>
        </w:rPr>
        <w:t>二、收入决算情况说明</w:t>
      </w:r>
    </w:p>
    <w:p w14:paraId="726003EA">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年度收入合计</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万元，其中：财政拨款收入</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%；上级补助收入</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%；事业收入</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%；经营收入</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%；附属单位上缴收入</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%；其他收入</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w:t>
      </w:r>
    </w:p>
    <w:p w14:paraId="57DC6D6C">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sz w:val="32"/>
          <w:szCs w:val="32"/>
        </w:rPr>
      </w:pPr>
      <w:r>
        <w:rPr>
          <w:rFonts w:ascii="Times New Roman" w:hAnsi="Times New Roman" w:cs="Times New Roman"/>
          <w:bCs/>
          <w:i w:val="0"/>
          <w:iCs w:val="0"/>
          <w:sz w:val="32"/>
          <w:szCs w:val="32"/>
        </w:rPr>
        <w:t>三、支出决算情况说明</w:t>
      </w:r>
    </w:p>
    <w:p w14:paraId="122066F1">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年度支出合计</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万元，其中：基本支出</w:t>
      </w:r>
      <w:r>
        <w:rPr>
          <w:rFonts w:hint="eastAsia" w:ascii="Times New Roman" w:hAnsi="Times New Roman" w:eastAsia="仿宋_GB2312" w:cs="Times New Roman"/>
          <w:i w:val="0"/>
          <w:iCs w:val="0"/>
          <w:sz w:val="32"/>
          <w:szCs w:val="32"/>
          <w:lang w:val="en-US" w:eastAsia="zh-CN"/>
        </w:rPr>
        <w:t>394.41</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39.83</w:t>
      </w:r>
      <w:r>
        <w:rPr>
          <w:rFonts w:ascii="Times New Roman" w:hAnsi="Times New Roman" w:eastAsia="仿宋_GB2312" w:cs="Times New Roman"/>
          <w:i w:val="0"/>
          <w:iCs w:val="0"/>
          <w:sz w:val="32"/>
          <w:szCs w:val="32"/>
        </w:rPr>
        <w:t>%；项目支出</w:t>
      </w:r>
      <w:r>
        <w:rPr>
          <w:rFonts w:hint="eastAsia" w:ascii="Times New Roman" w:hAnsi="Times New Roman" w:eastAsia="仿宋_GB2312" w:cs="Times New Roman"/>
          <w:i w:val="0"/>
          <w:iCs w:val="0"/>
          <w:sz w:val="32"/>
          <w:szCs w:val="32"/>
          <w:lang w:val="en-US" w:eastAsia="zh-CN"/>
        </w:rPr>
        <w:t>595.74</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60.17</w:t>
      </w:r>
      <w:r>
        <w:rPr>
          <w:rFonts w:ascii="Times New Roman" w:hAnsi="Times New Roman" w:eastAsia="仿宋_GB2312" w:cs="Times New Roman"/>
          <w:i w:val="0"/>
          <w:iCs w:val="0"/>
          <w:sz w:val="32"/>
          <w:szCs w:val="32"/>
        </w:rPr>
        <w:t>%；上缴上级支出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%；经营支出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%；对附属单位补助支出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w:t>
      </w:r>
    </w:p>
    <w:p w14:paraId="2FDDA50A">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sz w:val="32"/>
          <w:szCs w:val="32"/>
        </w:rPr>
      </w:pPr>
      <w:r>
        <w:rPr>
          <w:rFonts w:ascii="Times New Roman" w:hAnsi="Times New Roman" w:cs="Times New Roman"/>
          <w:bCs/>
          <w:i w:val="0"/>
          <w:iCs w:val="0"/>
          <w:sz w:val="32"/>
          <w:szCs w:val="32"/>
        </w:rPr>
        <w:t>四、财政拨款收入支出决算总体情况说明</w:t>
      </w:r>
    </w:p>
    <w:p w14:paraId="2A0BBF6A">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年度财政拨款收、支总计</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万元，与上年相比，增加</w:t>
      </w:r>
      <w:r>
        <w:rPr>
          <w:rFonts w:hint="eastAsia" w:ascii="Times New Roman" w:hAnsi="Times New Roman" w:eastAsia="仿宋_GB2312" w:cs="Times New Roman"/>
          <w:i w:val="0"/>
          <w:iCs w:val="0"/>
          <w:sz w:val="32"/>
          <w:szCs w:val="32"/>
          <w:lang w:val="en-US" w:eastAsia="zh-CN"/>
        </w:rPr>
        <w:t>163.1</w:t>
      </w:r>
      <w:r>
        <w:rPr>
          <w:rFonts w:ascii="Times New Roman" w:hAnsi="Times New Roman" w:eastAsia="仿宋_GB2312" w:cs="Times New Roman"/>
          <w:i w:val="0"/>
          <w:iCs w:val="0"/>
          <w:sz w:val="32"/>
          <w:szCs w:val="32"/>
        </w:rPr>
        <w:t>万元，增长</w:t>
      </w:r>
      <w:r>
        <w:rPr>
          <w:rFonts w:hint="eastAsia" w:ascii="Times New Roman" w:hAnsi="Times New Roman" w:eastAsia="仿宋_GB2312" w:cs="Times New Roman"/>
          <w:i w:val="0"/>
          <w:iCs w:val="0"/>
          <w:sz w:val="32"/>
          <w:szCs w:val="32"/>
          <w:lang w:val="en-US" w:eastAsia="zh-CN"/>
        </w:rPr>
        <w:t>19.72</w:t>
      </w:r>
      <w:r>
        <w:rPr>
          <w:rFonts w:ascii="Times New Roman" w:hAnsi="Times New Roman" w:eastAsia="仿宋_GB2312" w:cs="Times New Roman"/>
          <w:i w:val="0"/>
          <w:iCs w:val="0"/>
          <w:sz w:val="32"/>
          <w:szCs w:val="32"/>
        </w:rPr>
        <w:t>%，主要是因为</w:t>
      </w:r>
      <w:r>
        <w:rPr>
          <w:rFonts w:hint="eastAsia" w:ascii="Times New Roman" w:hAnsi="Times New Roman" w:eastAsia="仿宋_GB2312" w:cs="仿宋"/>
          <w:i w:val="0"/>
          <w:iCs w:val="0"/>
          <w:color w:val="000000"/>
          <w:spacing w:val="0"/>
          <w:sz w:val="32"/>
          <w:szCs w:val="32"/>
        </w:rPr>
        <w:t>202</w:t>
      </w:r>
      <w:r>
        <w:rPr>
          <w:rFonts w:hint="eastAsia" w:ascii="Times New Roman" w:hAnsi="Times New Roman" w:eastAsia="仿宋_GB2312" w:cs="仿宋"/>
          <w:i w:val="0"/>
          <w:iCs w:val="0"/>
          <w:color w:val="000000"/>
          <w:spacing w:val="0"/>
          <w:sz w:val="32"/>
          <w:szCs w:val="32"/>
          <w:lang w:val="en-US" w:eastAsia="zh-CN"/>
        </w:rPr>
        <w:t>5</w:t>
      </w:r>
      <w:r>
        <w:rPr>
          <w:rFonts w:hint="eastAsia" w:ascii="Times New Roman" w:hAnsi="Times New Roman" w:eastAsia="仿宋_GB2312" w:cs="仿宋"/>
          <w:i w:val="0"/>
          <w:iCs w:val="0"/>
          <w:color w:val="000000"/>
          <w:spacing w:val="0"/>
          <w:sz w:val="32"/>
          <w:szCs w:val="32"/>
        </w:rPr>
        <w:t>年度资金较202</w:t>
      </w:r>
      <w:r>
        <w:rPr>
          <w:rFonts w:hint="eastAsia" w:ascii="Times New Roman" w:hAnsi="Times New Roman" w:eastAsia="仿宋_GB2312" w:cs="仿宋"/>
          <w:i w:val="0"/>
          <w:iCs w:val="0"/>
          <w:color w:val="000000"/>
          <w:spacing w:val="0"/>
          <w:sz w:val="32"/>
          <w:szCs w:val="32"/>
          <w:lang w:val="en-US" w:eastAsia="zh-CN"/>
        </w:rPr>
        <w:t>4</w:t>
      </w:r>
      <w:r>
        <w:rPr>
          <w:rFonts w:hint="eastAsia" w:ascii="Times New Roman" w:hAnsi="Times New Roman" w:eastAsia="仿宋_GB2312" w:cs="仿宋"/>
          <w:i w:val="0"/>
          <w:iCs w:val="0"/>
          <w:color w:val="000000"/>
          <w:spacing w:val="0"/>
          <w:sz w:val="32"/>
          <w:szCs w:val="32"/>
        </w:rPr>
        <w:t>年度有所</w:t>
      </w:r>
      <w:r>
        <w:rPr>
          <w:rFonts w:hint="eastAsia" w:ascii="Times New Roman" w:hAnsi="Times New Roman" w:eastAsia="仿宋_GB2312" w:cs="仿宋"/>
          <w:i w:val="0"/>
          <w:iCs w:val="0"/>
          <w:color w:val="000000"/>
          <w:spacing w:val="0"/>
          <w:sz w:val="32"/>
          <w:szCs w:val="32"/>
          <w:lang w:eastAsia="zh-CN"/>
        </w:rPr>
        <w:t>增加。</w:t>
      </w:r>
    </w:p>
    <w:p w14:paraId="178FC0BC">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sz w:val="32"/>
          <w:szCs w:val="32"/>
        </w:rPr>
      </w:pPr>
      <w:r>
        <w:rPr>
          <w:rFonts w:ascii="Times New Roman" w:hAnsi="Times New Roman" w:cs="Times New Roman"/>
          <w:bCs/>
          <w:i w:val="0"/>
          <w:iCs w:val="0"/>
          <w:sz w:val="32"/>
          <w:szCs w:val="32"/>
        </w:rPr>
        <w:t>五、一般公共预算财政拨款支出决算情况说明</w:t>
      </w:r>
    </w:p>
    <w:p w14:paraId="61AE9263">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i w:val="0"/>
          <w:iCs w:val="0"/>
          <w:sz w:val="32"/>
          <w:szCs w:val="32"/>
        </w:rPr>
      </w:pPr>
      <w:r>
        <w:rPr>
          <w:rFonts w:ascii="Times New Roman" w:hAnsi="Times New Roman" w:eastAsia="楷体_GB2312" w:cs="Times New Roman"/>
          <w:b/>
          <w:i w:val="0"/>
          <w:iCs w:val="0"/>
          <w:sz w:val="32"/>
          <w:szCs w:val="32"/>
        </w:rPr>
        <w:t>（一）一般公共预算财政拨款支出决算总体情况</w:t>
      </w:r>
    </w:p>
    <w:p w14:paraId="060A14F1">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年度财政拨款支出</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万元，占本年支出合计的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%，与上年相比，财政拨款支出增加</w:t>
      </w:r>
      <w:r>
        <w:rPr>
          <w:rFonts w:hint="eastAsia" w:ascii="Times New Roman" w:hAnsi="Times New Roman" w:eastAsia="仿宋_GB2312" w:cs="Times New Roman"/>
          <w:i w:val="0"/>
          <w:iCs w:val="0"/>
          <w:sz w:val="32"/>
          <w:szCs w:val="32"/>
          <w:lang w:val="en-US" w:eastAsia="zh-CN"/>
        </w:rPr>
        <w:t>163.1</w:t>
      </w:r>
      <w:r>
        <w:rPr>
          <w:rFonts w:ascii="Times New Roman" w:hAnsi="Times New Roman" w:eastAsia="仿宋_GB2312" w:cs="Times New Roman"/>
          <w:i w:val="0"/>
          <w:iCs w:val="0"/>
          <w:sz w:val="32"/>
          <w:szCs w:val="32"/>
        </w:rPr>
        <w:t>万元，增长</w:t>
      </w:r>
      <w:r>
        <w:rPr>
          <w:rFonts w:hint="eastAsia" w:ascii="Times New Roman" w:hAnsi="Times New Roman" w:eastAsia="仿宋_GB2312" w:cs="Times New Roman"/>
          <w:i w:val="0"/>
          <w:iCs w:val="0"/>
          <w:sz w:val="32"/>
          <w:szCs w:val="32"/>
          <w:lang w:val="en-US" w:eastAsia="zh-CN"/>
        </w:rPr>
        <w:t>19.72</w:t>
      </w:r>
      <w:r>
        <w:rPr>
          <w:rFonts w:ascii="Times New Roman" w:hAnsi="Times New Roman" w:eastAsia="仿宋_GB2312" w:cs="Times New Roman"/>
          <w:i w:val="0"/>
          <w:iCs w:val="0"/>
          <w:sz w:val="32"/>
          <w:szCs w:val="32"/>
        </w:rPr>
        <w:t>%，主要是因为</w:t>
      </w:r>
      <w:r>
        <w:rPr>
          <w:rFonts w:hint="eastAsia" w:ascii="Times New Roman" w:hAnsi="Times New Roman" w:eastAsia="仿宋_GB2312" w:cs="仿宋"/>
          <w:i w:val="0"/>
          <w:iCs w:val="0"/>
          <w:color w:val="000000"/>
          <w:spacing w:val="0"/>
          <w:sz w:val="32"/>
          <w:szCs w:val="32"/>
        </w:rPr>
        <w:t>202</w:t>
      </w:r>
      <w:r>
        <w:rPr>
          <w:rFonts w:hint="eastAsia" w:ascii="Times New Roman" w:hAnsi="Times New Roman" w:eastAsia="仿宋_GB2312" w:cs="仿宋"/>
          <w:i w:val="0"/>
          <w:iCs w:val="0"/>
          <w:color w:val="000000"/>
          <w:spacing w:val="0"/>
          <w:sz w:val="32"/>
          <w:szCs w:val="32"/>
          <w:lang w:val="en-US" w:eastAsia="zh-CN"/>
        </w:rPr>
        <w:t>5</w:t>
      </w:r>
      <w:r>
        <w:rPr>
          <w:rFonts w:hint="eastAsia" w:ascii="Times New Roman" w:hAnsi="Times New Roman" w:eastAsia="仿宋_GB2312" w:cs="仿宋"/>
          <w:i w:val="0"/>
          <w:iCs w:val="0"/>
          <w:color w:val="000000"/>
          <w:spacing w:val="0"/>
          <w:sz w:val="32"/>
          <w:szCs w:val="32"/>
        </w:rPr>
        <w:t>年度资金较202</w:t>
      </w:r>
      <w:r>
        <w:rPr>
          <w:rFonts w:hint="eastAsia" w:ascii="Times New Roman" w:hAnsi="Times New Roman" w:eastAsia="仿宋_GB2312" w:cs="仿宋"/>
          <w:i w:val="0"/>
          <w:iCs w:val="0"/>
          <w:color w:val="000000"/>
          <w:spacing w:val="0"/>
          <w:sz w:val="32"/>
          <w:szCs w:val="32"/>
          <w:lang w:val="en-US" w:eastAsia="zh-CN"/>
        </w:rPr>
        <w:t>4</w:t>
      </w:r>
      <w:r>
        <w:rPr>
          <w:rFonts w:hint="eastAsia" w:ascii="Times New Roman" w:hAnsi="Times New Roman" w:eastAsia="仿宋_GB2312" w:cs="仿宋"/>
          <w:i w:val="0"/>
          <w:iCs w:val="0"/>
          <w:color w:val="000000"/>
          <w:spacing w:val="0"/>
          <w:sz w:val="32"/>
          <w:szCs w:val="32"/>
        </w:rPr>
        <w:t>年度有所</w:t>
      </w:r>
      <w:r>
        <w:rPr>
          <w:rFonts w:hint="eastAsia" w:ascii="Times New Roman" w:hAnsi="Times New Roman" w:eastAsia="仿宋_GB2312" w:cs="仿宋"/>
          <w:i w:val="0"/>
          <w:iCs w:val="0"/>
          <w:color w:val="000000"/>
          <w:spacing w:val="0"/>
          <w:sz w:val="32"/>
          <w:szCs w:val="32"/>
          <w:lang w:eastAsia="zh-CN"/>
        </w:rPr>
        <w:t>增加。</w:t>
      </w:r>
    </w:p>
    <w:p w14:paraId="3635A417">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i w:val="0"/>
          <w:iCs w:val="0"/>
          <w:sz w:val="32"/>
          <w:szCs w:val="32"/>
        </w:rPr>
      </w:pPr>
      <w:r>
        <w:rPr>
          <w:rFonts w:ascii="Times New Roman" w:hAnsi="Times New Roman" w:eastAsia="楷体_GB2312" w:cs="Times New Roman"/>
          <w:b/>
          <w:i w:val="0"/>
          <w:iCs w:val="0"/>
          <w:sz w:val="32"/>
          <w:szCs w:val="32"/>
        </w:rPr>
        <w:t>（二）一般公共预算财政拨款支出决算结构情况</w:t>
      </w:r>
    </w:p>
    <w:p w14:paraId="0EB43876">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i w:val="0"/>
          <w:iCs w:val="0"/>
          <w:sz w:val="32"/>
          <w:szCs w:val="32"/>
          <w:lang w:eastAsia="zh-CN"/>
        </w:rPr>
      </w:pPr>
      <w:r>
        <w:rPr>
          <w:rFonts w:hint="eastAsia" w:ascii="Times New Roman" w:hAnsi="Times New Roman" w:eastAsia="仿宋_GB2312" w:cs="Times New Roman"/>
          <w:i w:val="0"/>
          <w:iCs w:val="0"/>
          <w:sz w:val="32"/>
          <w:szCs w:val="32"/>
          <w:lang w:eastAsia="zh-CN"/>
        </w:rPr>
        <w:t>2025年</w:t>
      </w:r>
      <w:r>
        <w:rPr>
          <w:rFonts w:ascii="Times New Roman" w:hAnsi="Times New Roman" w:eastAsia="仿宋_GB2312" w:cs="Times New Roman"/>
          <w:i w:val="0"/>
          <w:iCs w:val="0"/>
          <w:sz w:val="32"/>
          <w:szCs w:val="32"/>
        </w:rPr>
        <w:t>度财政拨款支出</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万元，主要用于以下方面：</w:t>
      </w:r>
      <w:r>
        <w:rPr>
          <w:rFonts w:hint="eastAsia" w:ascii="Times New Roman" w:hAnsi="Times New Roman" w:eastAsia="仿宋_GB2312"/>
          <w:i w:val="0"/>
          <w:iCs w:val="0"/>
          <w:spacing w:val="0"/>
          <w:sz w:val="32"/>
          <w:szCs w:val="32"/>
          <w:lang w:val="en-US" w:eastAsia="zh-CN"/>
        </w:rPr>
        <w:t>卫生健康（类）</w:t>
      </w:r>
      <w:r>
        <w:rPr>
          <w:rFonts w:ascii="Times New Roman" w:hAnsi="Times New Roman" w:eastAsia="仿宋_GB2312" w:cs="Times New Roman"/>
          <w:i w:val="0"/>
          <w:iCs w:val="0"/>
          <w:sz w:val="32"/>
          <w:szCs w:val="32"/>
        </w:rPr>
        <w:t>支出</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万元，占</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w:t>
      </w:r>
    </w:p>
    <w:p w14:paraId="1CB8B6DF">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i w:val="0"/>
          <w:iCs w:val="0"/>
          <w:sz w:val="32"/>
          <w:szCs w:val="32"/>
        </w:rPr>
      </w:pPr>
      <w:r>
        <w:rPr>
          <w:rFonts w:ascii="Times New Roman" w:hAnsi="Times New Roman" w:eastAsia="楷体_GB2312" w:cs="Times New Roman"/>
          <w:b/>
          <w:i w:val="0"/>
          <w:iCs w:val="0"/>
          <w:sz w:val="32"/>
          <w:szCs w:val="32"/>
        </w:rPr>
        <w:t>（三）一般公共预算财政拨款支出决算具体情况</w:t>
      </w:r>
    </w:p>
    <w:p w14:paraId="690614AC">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年度财政拨款支出年初预算数为</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万元，支出决算数为</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万元，完成年初预算的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%，其中：</w:t>
      </w:r>
    </w:p>
    <w:p w14:paraId="2B02C57E">
      <w:pPr>
        <w:pStyle w:val="13"/>
        <w:keepNext w:val="0"/>
        <w:keepLines w:val="0"/>
        <w:pageBreakBefore w:val="0"/>
        <w:widowControl w:val="0"/>
        <w:shd w:val="clear"/>
        <w:kinsoku/>
        <w:wordWrap/>
        <w:overflowPunct/>
        <w:topLinePunct w:val="0"/>
        <w:autoSpaceDE/>
        <w:autoSpaceDN/>
        <w:bidi w:val="0"/>
        <w:snapToGrid/>
        <w:spacing w:afterAutospacing="0" w:line="600" w:lineRule="exact"/>
        <w:ind w:leftChars="0" w:firstLine="640" w:firstLineChars="200"/>
        <w:jc w:val="both"/>
        <w:textAlignment w:val="auto"/>
        <w:rPr>
          <w:rFonts w:hint="eastAsia" w:ascii="Times New Roman" w:hAnsi="Times New Roman" w:eastAsia="仿宋_GB2312"/>
          <w:i w:val="0"/>
          <w:iCs w:val="0"/>
          <w:spacing w:val="0"/>
          <w:sz w:val="32"/>
          <w:szCs w:val="32"/>
        </w:rPr>
      </w:pPr>
      <w:r>
        <w:rPr>
          <w:rFonts w:ascii="Times New Roman" w:hAnsi="Times New Roman" w:eastAsia="仿宋_GB2312" w:cs="Times New Roman"/>
          <w:i w:val="0"/>
          <w:iCs w:val="0"/>
          <w:sz w:val="32"/>
          <w:szCs w:val="32"/>
        </w:rPr>
        <w:t>1、</w:t>
      </w:r>
      <w:r>
        <w:rPr>
          <w:rFonts w:hint="eastAsia" w:ascii="Times New Roman" w:hAnsi="Times New Roman" w:eastAsia="仿宋_GB2312"/>
          <w:i w:val="0"/>
          <w:iCs w:val="0"/>
          <w:spacing w:val="0"/>
          <w:sz w:val="32"/>
          <w:szCs w:val="32"/>
        </w:rPr>
        <w:t>卫生健康支出（类</w:t>
      </w:r>
      <w:r>
        <w:rPr>
          <w:rFonts w:hint="eastAsia" w:ascii="Times New Roman" w:hAnsi="Times New Roman" w:eastAsia="仿宋_GB2312"/>
          <w:i w:val="0"/>
          <w:iCs w:val="0"/>
          <w:spacing w:val="0"/>
          <w:sz w:val="32"/>
          <w:szCs w:val="32"/>
          <w:lang w:val="en-US" w:eastAsia="zh-CN"/>
        </w:rPr>
        <w:t>210</w:t>
      </w:r>
      <w:r>
        <w:rPr>
          <w:rFonts w:hint="eastAsia" w:ascii="Times New Roman" w:hAnsi="Times New Roman" w:eastAsia="仿宋_GB2312"/>
          <w:i w:val="0"/>
          <w:iCs w:val="0"/>
          <w:spacing w:val="0"/>
          <w:sz w:val="32"/>
          <w:szCs w:val="32"/>
        </w:rPr>
        <w:t>）医疗保障管理事务（款</w:t>
      </w:r>
      <w:r>
        <w:rPr>
          <w:rFonts w:hint="eastAsia" w:ascii="Times New Roman" w:hAnsi="Times New Roman" w:eastAsia="仿宋_GB2312"/>
          <w:i w:val="0"/>
          <w:iCs w:val="0"/>
          <w:spacing w:val="0"/>
          <w:sz w:val="32"/>
          <w:szCs w:val="32"/>
          <w:lang w:val="en-US" w:eastAsia="zh-CN"/>
        </w:rPr>
        <w:t>21015</w:t>
      </w:r>
      <w:r>
        <w:rPr>
          <w:rFonts w:hint="eastAsia" w:ascii="Times New Roman" w:hAnsi="Times New Roman" w:eastAsia="仿宋_GB2312"/>
          <w:i w:val="0"/>
          <w:iCs w:val="0"/>
          <w:spacing w:val="0"/>
          <w:sz w:val="32"/>
          <w:szCs w:val="32"/>
        </w:rPr>
        <w:t>）医疗保障政策管理（项</w:t>
      </w:r>
      <w:r>
        <w:rPr>
          <w:rFonts w:hint="eastAsia" w:ascii="Times New Roman" w:hAnsi="Times New Roman" w:eastAsia="仿宋_GB2312"/>
          <w:i w:val="0"/>
          <w:iCs w:val="0"/>
          <w:spacing w:val="0"/>
          <w:sz w:val="32"/>
          <w:szCs w:val="32"/>
          <w:lang w:val="en-US" w:eastAsia="zh-CN"/>
        </w:rPr>
        <w:t>2101501</w:t>
      </w:r>
      <w:r>
        <w:rPr>
          <w:rFonts w:hint="eastAsia" w:ascii="Times New Roman" w:hAnsi="Times New Roman" w:eastAsia="仿宋_GB2312"/>
          <w:i w:val="0"/>
          <w:iCs w:val="0"/>
          <w:spacing w:val="0"/>
          <w:sz w:val="32"/>
          <w:szCs w:val="32"/>
        </w:rPr>
        <w:t>）。</w:t>
      </w:r>
    </w:p>
    <w:p w14:paraId="32747116">
      <w:pPr>
        <w:pStyle w:val="13"/>
        <w:keepNext w:val="0"/>
        <w:keepLines w:val="0"/>
        <w:pageBreakBefore w:val="0"/>
        <w:widowControl w:val="0"/>
        <w:shd w:val="clear"/>
        <w:kinsoku/>
        <w:wordWrap/>
        <w:overflowPunct/>
        <w:topLinePunct w:val="0"/>
        <w:autoSpaceDE/>
        <w:autoSpaceDN/>
        <w:bidi w:val="0"/>
        <w:snapToGrid/>
        <w:spacing w:afterAutospacing="0" w:line="600" w:lineRule="exact"/>
        <w:ind w:leftChars="0" w:firstLine="640" w:firstLineChars="200"/>
        <w:jc w:val="both"/>
        <w:textAlignment w:val="auto"/>
        <w:rPr>
          <w:rFonts w:ascii="Times New Roman" w:hAnsi="Times New Roman" w:eastAsia="仿宋_GB2312" w:cs="Times New Roman"/>
          <w:i w:val="0"/>
          <w:iCs w:val="0"/>
          <w:sz w:val="32"/>
          <w:szCs w:val="32"/>
        </w:rPr>
      </w:pPr>
      <w:r>
        <w:rPr>
          <w:rFonts w:hint="eastAsia" w:ascii="Times New Roman" w:hAnsi="Times New Roman" w:eastAsia="仿宋_GB2312"/>
          <w:i w:val="0"/>
          <w:iCs w:val="0"/>
          <w:spacing w:val="0"/>
          <w:sz w:val="32"/>
          <w:szCs w:val="32"/>
        </w:rPr>
        <w:t>年初预算为</w:t>
      </w:r>
      <w:r>
        <w:rPr>
          <w:rFonts w:hint="eastAsia" w:ascii="Times New Roman" w:hAnsi="Times New Roman" w:eastAsia="仿宋_GB2312"/>
          <w:i w:val="0"/>
          <w:iCs w:val="0"/>
          <w:spacing w:val="0"/>
          <w:sz w:val="32"/>
          <w:szCs w:val="32"/>
          <w:lang w:val="en-US" w:eastAsia="zh-CN"/>
        </w:rPr>
        <w:t>71.3</w:t>
      </w:r>
      <w:r>
        <w:rPr>
          <w:rFonts w:hint="eastAsia" w:ascii="Times New Roman" w:hAnsi="Times New Roman" w:eastAsia="仿宋_GB2312"/>
          <w:i w:val="0"/>
          <w:iCs w:val="0"/>
          <w:spacing w:val="0"/>
          <w:sz w:val="32"/>
          <w:szCs w:val="32"/>
        </w:rPr>
        <w:t>万元，支出决算为</w:t>
      </w:r>
      <w:r>
        <w:rPr>
          <w:rFonts w:hint="eastAsia" w:ascii="Times New Roman" w:hAnsi="Times New Roman" w:eastAsia="仿宋_GB2312"/>
          <w:i w:val="0"/>
          <w:iCs w:val="0"/>
          <w:spacing w:val="0"/>
          <w:sz w:val="32"/>
          <w:szCs w:val="32"/>
          <w:lang w:val="en-US" w:eastAsia="zh-CN"/>
        </w:rPr>
        <w:t>71.3</w:t>
      </w:r>
      <w:r>
        <w:rPr>
          <w:rFonts w:hint="eastAsia" w:ascii="Times New Roman" w:hAnsi="Times New Roman" w:eastAsia="仿宋_GB2312"/>
          <w:i w:val="0"/>
          <w:iCs w:val="0"/>
          <w:spacing w:val="0"/>
          <w:sz w:val="32"/>
          <w:szCs w:val="32"/>
        </w:rPr>
        <w:t>万元，完成年初预算的</w:t>
      </w:r>
      <w:r>
        <w:rPr>
          <w:rFonts w:hint="eastAsia" w:ascii="Times New Roman" w:hAnsi="Times New Roman" w:eastAsia="仿宋_GB2312"/>
          <w:i w:val="0"/>
          <w:iCs w:val="0"/>
          <w:spacing w:val="0"/>
          <w:sz w:val="32"/>
          <w:szCs w:val="32"/>
          <w:lang w:val="en-US" w:eastAsia="zh-CN"/>
        </w:rPr>
        <w:t>100</w:t>
      </w:r>
      <w:r>
        <w:rPr>
          <w:rFonts w:hint="eastAsia" w:ascii="Times New Roman" w:hAnsi="Times New Roman" w:eastAsia="仿宋_GB2312"/>
          <w:i w:val="0"/>
          <w:iCs w:val="0"/>
          <w:spacing w:val="0"/>
          <w:sz w:val="32"/>
          <w:szCs w:val="32"/>
        </w:rPr>
        <w:t>%，决算数等于年初预算，我局严格按预算执行，厉行节约，发挥财政拨款应有的作用。</w:t>
      </w:r>
    </w:p>
    <w:p w14:paraId="026789F6">
      <w:pPr>
        <w:pStyle w:val="13"/>
        <w:keepNext w:val="0"/>
        <w:keepLines w:val="0"/>
        <w:pageBreakBefore w:val="0"/>
        <w:widowControl w:val="0"/>
        <w:shd w:val="clear"/>
        <w:kinsoku/>
        <w:wordWrap/>
        <w:overflowPunct/>
        <w:topLinePunct w:val="0"/>
        <w:autoSpaceDE/>
        <w:autoSpaceDN/>
        <w:bidi w:val="0"/>
        <w:snapToGrid/>
        <w:spacing w:afterAutospacing="0" w:line="600" w:lineRule="exact"/>
        <w:ind w:leftChars="0" w:firstLine="640" w:firstLineChars="200"/>
        <w:jc w:val="both"/>
        <w:textAlignment w:val="auto"/>
        <w:rPr>
          <w:rFonts w:hint="eastAsia" w:ascii="Times New Roman" w:hAnsi="Times New Roman" w:eastAsia="仿宋_GB2312"/>
          <w:i w:val="0"/>
          <w:iCs w:val="0"/>
          <w:spacing w:val="0"/>
          <w:sz w:val="32"/>
          <w:szCs w:val="32"/>
        </w:rPr>
      </w:pPr>
      <w:r>
        <w:rPr>
          <w:rFonts w:hint="eastAsia" w:ascii="Times New Roman" w:hAnsi="Times New Roman" w:eastAsia="仿宋_GB2312"/>
          <w:i w:val="0"/>
          <w:iCs w:val="0"/>
          <w:spacing w:val="0"/>
          <w:sz w:val="32"/>
          <w:szCs w:val="32"/>
          <w:lang w:val="en-US" w:eastAsia="zh-CN"/>
        </w:rPr>
        <w:t>2、</w:t>
      </w:r>
      <w:r>
        <w:rPr>
          <w:rFonts w:hint="eastAsia" w:ascii="Times New Roman" w:hAnsi="Times New Roman" w:eastAsia="仿宋_GB2312"/>
          <w:i w:val="0"/>
          <w:iCs w:val="0"/>
          <w:spacing w:val="0"/>
          <w:sz w:val="32"/>
          <w:szCs w:val="32"/>
        </w:rPr>
        <w:t>卫生健康支出（类</w:t>
      </w:r>
      <w:r>
        <w:rPr>
          <w:rFonts w:hint="eastAsia" w:ascii="Times New Roman" w:hAnsi="Times New Roman" w:eastAsia="仿宋_GB2312"/>
          <w:i w:val="0"/>
          <w:iCs w:val="0"/>
          <w:spacing w:val="0"/>
          <w:sz w:val="32"/>
          <w:szCs w:val="32"/>
          <w:lang w:val="en-US" w:eastAsia="zh-CN"/>
        </w:rPr>
        <w:t>210</w:t>
      </w:r>
      <w:r>
        <w:rPr>
          <w:rFonts w:hint="eastAsia" w:ascii="Times New Roman" w:hAnsi="Times New Roman" w:eastAsia="仿宋_GB2312"/>
          <w:i w:val="0"/>
          <w:iCs w:val="0"/>
          <w:spacing w:val="0"/>
          <w:sz w:val="32"/>
          <w:szCs w:val="32"/>
        </w:rPr>
        <w:t>）医疗保障管理事务（款</w:t>
      </w:r>
      <w:r>
        <w:rPr>
          <w:rFonts w:hint="eastAsia" w:ascii="Times New Roman" w:hAnsi="Times New Roman" w:eastAsia="仿宋_GB2312"/>
          <w:i w:val="0"/>
          <w:iCs w:val="0"/>
          <w:spacing w:val="0"/>
          <w:sz w:val="32"/>
          <w:szCs w:val="32"/>
          <w:lang w:val="en-US" w:eastAsia="zh-CN"/>
        </w:rPr>
        <w:t>21015</w:t>
      </w:r>
      <w:r>
        <w:rPr>
          <w:rFonts w:hint="eastAsia" w:ascii="Times New Roman" w:hAnsi="Times New Roman" w:eastAsia="仿宋_GB2312"/>
          <w:i w:val="0"/>
          <w:iCs w:val="0"/>
          <w:spacing w:val="0"/>
          <w:sz w:val="32"/>
          <w:szCs w:val="32"/>
        </w:rPr>
        <w:t>）医疗保障政策管理（项</w:t>
      </w:r>
      <w:r>
        <w:rPr>
          <w:rFonts w:hint="eastAsia" w:ascii="Times New Roman" w:hAnsi="Times New Roman" w:eastAsia="仿宋_GB2312"/>
          <w:i w:val="0"/>
          <w:iCs w:val="0"/>
          <w:spacing w:val="0"/>
          <w:sz w:val="32"/>
          <w:szCs w:val="32"/>
          <w:lang w:val="en-US" w:eastAsia="zh-CN"/>
        </w:rPr>
        <w:t>2101505</w:t>
      </w:r>
      <w:r>
        <w:rPr>
          <w:rFonts w:hint="eastAsia" w:ascii="Times New Roman" w:hAnsi="Times New Roman" w:eastAsia="仿宋_GB2312"/>
          <w:i w:val="0"/>
          <w:iCs w:val="0"/>
          <w:spacing w:val="0"/>
          <w:sz w:val="32"/>
          <w:szCs w:val="32"/>
        </w:rPr>
        <w:t>）。</w:t>
      </w:r>
    </w:p>
    <w:p w14:paraId="76D9158F">
      <w:pPr>
        <w:pStyle w:val="13"/>
        <w:keepNext w:val="0"/>
        <w:keepLines w:val="0"/>
        <w:pageBreakBefore w:val="0"/>
        <w:widowControl w:val="0"/>
        <w:shd w:val="clear"/>
        <w:kinsoku/>
        <w:wordWrap/>
        <w:overflowPunct/>
        <w:topLinePunct w:val="0"/>
        <w:autoSpaceDE/>
        <w:autoSpaceDN/>
        <w:bidi w:val="0"/>
        <w:snapToGrid/>
        <w:spacing w:afterAutospacing="0" w:line="600" w:lineRule="exact"/>
        <w:ind w:leftChars="0" w:firstLine="640" w:firstLineChars="200"/>
        <w:jc w:val="both"/>
        <w:textAlignment w:val="auto"/>
        <w:rPr>
          <w:rFonts w:hint="eastAsia" w:ascii="Times New Roman" w:hAnsi="Times New Roman" w:eastAsia="仿宋_GB2312"/>
          <w:i w:val="0"/>
          <w:iCs w:val="0"/>
          <w:spacing w:val="0"/>
          <w:sz w:val="32"/>
          <w:szCs w:val="32"/>
        </w:rPr>
      </w:pPr>
      <w:r>
        <w:rPr>
          <w:rFonts w:hint="eastAsia" w:ascii="Times New Roman" w:hAnsi="Times New Roman" w:eastAsia="仿宋_GB2312"/>
          <w:i w:val="0"/>
          <w:iCs w:val="0"/>
          <w:spacing w:val="0"/>
          <w:sz w:val="32"/>
          <w:szCs w:val="32"/>
        </w:rPr>
        <w:t>年初预算为</w:t>
      </w:r>
      <w:r>
        <w:rPr>
          <w:rFonts w:hint="eastAsia" w:ascii="Times New Roman" w:hAnsi="Times New Roman" w:eastAsia="仿宋_GB2312"/>
          <w:i w:val="0"/>
          <w:iCs w:val="0"/>
          <w:spacing w:val="0"/>
          <w:sz w:val="32"/>
          <w:szCs w:val="32"/>
          <w:lang w:val="en-US" w:eastAsia="zh-CN"/>
        </w:rPr>
        <w:t>490</w:t>
      </w:r>
      <w:r>
        <w:rPr>
          <w:rFonts w:hint="eastAsia" w:ascii="Times New Roman" w:hAnsi="Times New Roman" w:eastAsia="仿宋_GB2312"/>
          <w:i w:val="0"/>
          <w:iCs w:val="0"/>
          <w:spacing w:val="0"/>
          <w:sz w:val="32"/>
          <w:szCs w:val="32"/>
        </w:rPr>
        <w:t>万元，支出决算为</w:t>
      </w:r>
      <w:r>
        <w:rPr>
          <w:rFonts w:hint="eastAsia" w:ascii="Times New Roman" w:hAnsi="Times New Roman" w:eastAsia="仿宋_GB2312"/>
          <w:i w:val="0"/>
          <w:iCs w:val="0"/>
          <w:spacing w:val="0"/>
          <w:sz w:val="32"/>
          <w:szCs w:val="32"/>
          <w:lang w:val="en-US" w:eastAsia="zh-CN"/>
        </w:rPr>
        <w:t>490</w:t>
      </w:r>
      <w:r>
        <w:rPr>
          <w:rFonts w:hint="eastAsia" w:ascii="Times New Roman" w:hAnsi="Times New Roman" w:eastAsia="仿宋_GB2312"/>
          <w:i w:val="0"/>
          <w:iCs w:val="0"/>
          <w:spacing w:val="0"/>
          <w:sz w:val="32"/>
          <w:szCs w:val="32"/>
        </w:rPr>
        <w:t>万元，完成年初预算的</w:t>
      </w:r>
      <w:r>
        <w:rPr>
          <w:rFonts w:hint="eastAsia" w:ascii="Times New Roman" w:hAnsi="Times New Roman" w:eastAsia="仿宋_GB2312"/>
          <w:i w:val="0"/>
          <w:iCs w:val="0"/>
          <w:spacing w:val="0"/>
          <w:sz w:val="32"/>
          <w:szCs w:val="32"/>
          <w:lang w:val="en-US" w:eastAsia="zh-CN"/>
        </w:rPr>
        <w:t>100</w:t>
      </w:r>
      <w:r>
        <w:rPr>
          <w:rFonts w:hint="eastAsia" w:ascii="Times New Roman" w:hAnsi="Times New Roman" w:eastAsia="仿宋_GB2312"/>
          <w:i w:val="0"/>
          <w:iCs w:val="0"/>
          <w:spacing w:val="0"/>
          <w:sz w:val="32"/>
          <w:szCs w:val="32"/>
        </w:rPr>
        <w:t>%，决算数等于年初预算，我局严格按预算执行，厉行节约，发挥财政拨款应有的作用。</w:t>
      </w:r>
    </w:p>
    <w:p w14:paraId="15FF34C5">
      <w:pPr>
        <w:pStyle w:val="13"/>
        <w:keepNext w:val="0"/>
        <w:keepLines w:val="0"/>
        <w:pageBreakBefore w:val="0"/>
        <w:widowControl w:val="0"/>
        <w:shd w:val="clear"/>
        <w:kinsoku/>
        <w:wordWrap/>
        <w:overflowPunct/>
        <w:topLinePunct w:val="0"/>
        <w:autoSpaceDE/>
        <w:autoSpaceDN/>
        <w:bidi w:val="0"/>
        <w:snapToGrid/>
        <w:spacing w:afterAutospacing="0" w:line="600" w:lineRule="exact"/>
        <w:ind w:leftChars="0" w:firstLine="640" w:firstLineChars="200"/>
        <w:jc w:val="both"/>
        <w:textAlignment w:val="auto"/>
        <w:rPr>
          <w:rFonts w:hint="eastAsia" w:ascii="Times New Roman" w:hAnsi="Times New Roman" w:eastAsia="仿宋_GB2312"/>
          <w:i w:val="0"/>
          <w:iCs w:val="0"/>
          <w:spacing w:val="0"/>
          <w:sz w:val="32"/>
          <w:szCs w:val="32"/>
        </w:rPr>
      </w:pPr>
      <w:r>
        <w:rPr>
          <w:rFonts w:hint="eastAsia" w:ascii="Times New Roman" w:hAnsi="Times New Roman" w:eastAsia="仿宋_GB2312"/>
          <w:i w:val="0"/>
          <w:iCs w:val="0"/>
          <w:spacing w:val="0"/>
          <w:sz w:val="32"/>
          <w:szCs w:val="32"/>
          <w:lang w:val="en-US" w:eastAsia="zh-CN"/>
        </w:rPr>
        <w:t>3、</w:t>
      </w:r>
      <w:r>
        <w:rPr>
          <w:rFonts w:hint="eastAsia" w:ascii="Times New Roman" w:hAnsi="Times New Roman" w:eastAsia="仿宋_GB2312"/>
          <w:i w:val="0"/>
          <w:iCs w:val="0"/>
          <w:spacing w:val="0"/>
          <w:sz w:val="32"/>
          <w:szCs w:val="32"/>
        </w:rPr>
        <w:t>卫生健康支出（类</w:t>
      </w:r>
      <w:r>
        <w:rPr>
          <w:rFonts w:hint="eastAsia" w:ascii="Times New Roman" w:hAnsi="Times New Roman" w:eastAsia="仿宋_GB2312"/>
          <w:i w:val="0"/>
          <w:iCs w:val="0"/>
          <w:spacing w:val="0"/>
          <w:sz w:val="32"/>
          <w:szCs w:val="32"/>
          <w:lang w:val="en-US" w:eastAsia="zh-CN"/>
        </w:rPr>
        <w:t>210</w:t>
      </w:r>
      <w:r>
        <w:rPr>
          <w:rFonts w:hint="eastAsia" w:ascii="Times New Roman" w:hAnsi="Times New Roman" w:eastAsia="仿宋_GB2312"/>
          <w:i w:val="0"/>
          <w:iCs w:val="0"/>
          <w:spacing w:val="0"/>
          <w:sz w:val="32"/>
          <w:szCs w:val="32"/>
        </w:rPr>
        <w:t>）医疗保障管理事务（款</w:t>
      </w:r>
      <w:r>
        <w:rPr>
          <w:rFonts w:hint="eastAsia" w:ascii="Times New Roman" w:hAnsi="Times New Roman" w:eastAsia="仿宋_GB2312"/>
          <w:i w:val="0"/>
          <w:iCs w:val="0"/>
          <w:spacing w:val="0"/>
          <w:sz w:val="32"/>
          <w:szCs w:val="32"/>
          <w:lang w:val="en-US" w:eastAsia="zh-CN"/>
        </w:rPr>
        <w:t>21015</w:t>
      </w:r>
      <w:r>
        <w:rPr>
          <w:rFonts w:hint="eastAsia" w:ascii="Times New Roman" w:hAnsi="Times New Roman" w:eastAsia="仿宋_GB2312"/>
          <w:i w:val="0"/>
          <w:iCs w:val="0"/>
          <w:spacing w:val="0"/>
          <w:sz w:val="32"/>
          <w:szCs w:val="32"/>
        </w:rPr>
        <w:t>）其他医疗保障管理事务支出（项</w:t>
      </w:r>
      <w:r>
        <w:rPr>
          <w:rFonts w:hint="eastAsia" w:ascii="Times New Roman" w:hAnsi="Times New Roman" w:eastAsia="仿宋_GB2312"/>
          <w:i w:val="0"/>
          <w:iCs w:val="0"/>
          <w:spacing w:val="0"/>
          <w:sz w:val="32"/>
          <w:szCs w:val="32"/>
          <w:lang w:val="en-US" w:eastAsia="zh-CN"/>
        </w:rPr>
        <w:t>2101599</w:t>
      </w:r>
      <w:r>
        <w:rPr>
          <w:rFonts w:hint="eastAsia" w:ascii="Times New Roman" w:hAnsi="Times New Roman" w:eastAsia="仿宋_GB2312"/>
          <w:i w:val="0"/>
          <w:iCs w:val="0"/>
          <w:spacing w:val="0"/>
          <w:sz w:val="32"/>
          <w:szCs w:val="32"/>
        </w:rPr>
        <w:t>）。</w:t>
      </w:r>
    </w:p>
    <w:p w14:paraId="165F9FB1">
      <w:pPr>
        <w:pStyle w:val="13"/>
        <w:keepNext w:val="0"/>
        <w:keepLines w:val="0"/>
        <w:pageBreakBefore w:val="0"/>
        <w:widowControl w:val="0"/>
        <w:shd w:val="clear"/>
        <w:kinsoku/>
        <w:wordWrap/>
        <w:overflowPunct/>
        <w:topLinePunct w:val="0"/>
        <w:autoSpaceDE/>
        <w:autoSpaceDN/>
        <w:bidi w:val="0"/>
        <w:snapToGrid/>
        <w:spacing w:afterAutospacing="0" w:line="600" w:lineRule="exact"/>
        <w:ind w:leftChars="0" w:firstLine="640" w:firstLineChars="200"/>
        <w:jc w:val="both"/>
        <w:textAlignment w:val="auto"/>
        <w:rPr>
          <w:rFonts w:hint="eastAsia" w:ascii="Times New Roman" w:hAnsi="Times New Roman" w:eastAsia="仿宋_GB2312"/>
          <w:i w:val="0"/>
          <w:iCs w:val="0"/>
          <w:spacing w:val="0"/>
          <w:sz w:val="32"/>
          <w:szCs w:val="32"/>
        </w:rPr>
      </w:pPr>
      <w:r>
        <w:rPr>
          <w:rFonts w:hint="eastAsia" w:ascii="Times New Roman" w:hAnsi="Times New Roman" w:eastAsia="仿宋_GB2312"/>
          <w:i w:val="0"/>
          <w:iCs w:val="0"/>
          <w:spacing w:val="0"/>
          <w:sz w:val="32"/>
          <w:szCs w:val="32"/>
        </w:rPr>
        <w:t>年初预算为</w:t>
      </w:r>
      <w:r>
        <w:rPr>
          <w:rFonts w:hint="eastAsia" w:ascii="Times New Roman" w:hAnsi="Times New Roman" w:eastAsia="仿宋_GB2312"/>
          <w:i w:val="0"/>
          <w:iCs w:val="0"/>
          <w:spacing w:val="0"/>
          <w:sz w:val="32"/>
          <w:szCs w:val="32"/>
          <w:lang w:val="en-US" w:eastAsia="zh-CN"/>
        </w:rPr>
        <w:t>428.86</w:t>
      </w:r>
      <w:r>
        <w:rPr>
          <w:rFonts w:hint="eastAsia" w:ascii="Times New Roman" w:hAnsi="Times New Roman" w:eastAsia="仿宋_GB2312"/>
          <w:i w:val="0"/>
          <w:iCs w:val="0"/>
          <w:spacing w:val="0"/>
          <w:sz w:val="32"/>
          <w:szCs w:val="32"/>
        </w:rPr>
        <w:t>万元，支出决算为</w:t>
      </w:r>
      <w:r>
        <w:rPr>
          <w:rFonts w:hint="eastAsia" w:ascii="Times New Roman" w:hAnsi="Times New Roman" w:eastAsia="仿宋_GB2312"/>
          <w:i w:val="0"/>
          <w:iCs w:val="0"/>
          <w:spacing w:val="0"/>
          <w:sz w:val="32"/>
          <w:szCs w:val="32"/>
          <w:lang w:val="en-US" w:eastAsia="zh-CN"/>
        </w:rPr>
        <w:t>428.86</w:t>
      </w:r>
      <w:r>
        <w:rPr>
          <w:rFonts w:hint="eastAsia" w:ascii="Times New Roman" w:hAnsi="Times New Roman" w:eastAsia="仿宋_GB2312"/>
          <w:i w:val="0"/>
          <w:iCs w:val="0"/>
          <w:spacing w:val="0"/>
          <w:sz w:val="32"/>
          <w:szCs w:val="32"/>
        </w:rPr>
        <w:t>万元，完成年初预算的</w:t>
      </w:r>
      <w:r>
        <w:rPr>
          <w:rFonts w:hint="eastAsia" w:ascii="Times New Roman" w:hAnsi="Times New Roman" w:eastAsia="仿宋_GB2312"/>
          <w:i w:val="0"/>
          <w:iCs w:val="0"/>
          <w:spacing w:val="0"/>
          <w:sz w:val="32"/>
          <w:szCs w:val="32"/>
          <w:lang w:val="en-US" w:eastAsia="zh-CN"/>
        </w:rPr>
        <w:t>100</w:t>
      </w:r>
      <w:r>
        <w:rPr>
          <w:rFonts w:hint="eastAsia" w:ascii="Times New Roman" w:hAnsi="Times New Roman" w:eastAsia="仿宋_GB2312"/>
          <w:i w:val="0"/>
          <w:iCs w:val="0"/>
          <w:spacing w:val="0"/>
          <w:sz w:val="32"/>
          <w:szCs w:val="32"/>
        </w:rPr>
        <w:t>%，决算数等于年初预算，我局严格按预算执行，厉行节约，发挥财政拨款应有的作用。</w:t>
      </w:r>
    </w:p>
    <w:p w14:paraId="368CA308">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i w:val="0"/>
          <w:iCs w:val="0"/>
          <w:sz w:val="32"/>
          <w:szCs w:val="32"/>
          <w:lang w:eastAsia="zh-CN"/>
        </w:rPr>
      </w:pPr>
      <w:r>
        <w:rPr>
          <w:rFonts w:hint="eastAsia" w:ascii="Times New Roman" w:hAnsi="Times New Roman" w:eastAsia="仿宋_GB2312" w:cs="Times New Roman"/>
          <w:i w:val="0"/>
          <w:iCs w:val="0"/>
          <w:sz w:val="32"/>
          <w:szCs w:val="32"/>
        </w:rPr>
        <w:t>按照支出功能分类，</w:t>
      </w:r>
      <w:r>
        <w:rPr>
          <w:rFonts w:hint="eastAsia" w:ascii="Times New Roman" w:hAnsi="Times New Roman" w:eastAsia="仿宋_GB2312" w:cs="Times New Roman"/>
          <w:i w:val="0"/>
          <w:iCs w:val="0"/>
          <w:sz w:val="32"/>
          <w:szCs w:val="32"/>
          <w:lang w:eastAsia="zh-CN"/>
        </w:rPr>
        <w:t>卫生健康支出</w:t>
      </w:r>
      <w:r>
        <w:rPr>
          <w:rFonts w:hint="eastAsia" w:ascii="Times New Roman" w:hAnsi="Times New Roman" w:eastAsia="仿宋_GB2312" w:cs="Times New Roman"/>
          <w:i w:val="0"/>
          <w:iCs w:val="0"/>
          <w:sz w:val="32"/>
          <w:szCs w:val="32"/>
        </w:rPr>
        <w:t>方面的支出规模较大，主要是：医疗保障政策管理，2025年度决算数为</w:t>
      </w:r>
      <w:r>
        <w:rPr>
          <w:rFonts w:hint="eastAsia" w:ascii="Times New Roman" w:hAnsi="Times New Roman" w:eastAsia="仿宋_GB2312" w:cs="Times New Roman"/>
          <w:i w:val="0"/>
          <w:iCs w:val="0"/>
          <w:sz w:val="32"/>
          <w:szCs w:val="32"/>
          <w:lang w:val="en-US" w:eastAsia="zh-CN"/>
        </w:rPr>
        <w:t>490</w:t>
      </w:r>
      <w:r>
        <w:rPr>
          <w:rFonts w:hint="eastAsia" w:ascii="Times New Roman" w:hAnsi="Times New Roman" w:eastAsia="仿宋_GB2312" w:cs="Times New Roman"/>
          <w:i w:val="0"/>
          <w:iCs w:val="0"/>
          <w:sz w:val="32"/>
          <w:szCs w:val="32"/>
        </w:rPr>
        <w:t>万元，占财政拨款支出总额的</w:t>
      </w:r>
      <w:r>
        <w:rPr>
          <w:rFonts w:hint="eastAsia" w:ascii="Times New Roman" w:hAnsi="Times New Roman" w:eastAsia="仿宋_GB2312" w:cs="Times New Roman"/>
          <w:i w:val="0"/>
          <w:iCs w:val="0"/>
          <w:sz w:val="32"/>
          <w:szCs w:val="32"/>
          <w:lang w:val="en-US" w:eastAsia="zh-CN"/>
        </w:rPr>
        <w:t>49.49</w:t>
      </w:r>
      <w:r>
        <w:rPr>
          <w:rFonts w:hint="eastAsia" w:ascii="Times New Roman" w:hAnsi="Times New Roman" w:eastAsia="仿宋_GB2312" w:cs="Times New Roman"/>
          <w:i w:val="0"/>
          <w:iCs w:val="0"/>
          <w:sz w:val="32"/>
          <w:szCs w:val="32"/>
        </w:rPr>
        <w:t>%，主要用于</w:t>
      </w:r>
      <w:r>
        <w:rPr>
          <w:rFonts w:hint="eastAsia" w:ascii="Times New Roman" w:hAnsi="Times New Roman" w:eastAsia="仿宋_GB2312" w:cs="Times New Roman"/>
          <w:i w:val="0"/>
          <w:iCs w:val="0"/>
          <w:sz w:val="32"/>
          <w:szCs w:val="32"/>
          <w:lang w:eastAsia="zh-CN"/>
        </w:rPr>
        <w:t>医保能力提升</w:t>
      </w:r>
      <w:r>
        <w:rPr>
          <w:rFonts w:hint="eastAsia" w:ascii="Times New Roman" w:hAnsi="Times New Roman" w:eastAsia="仿宋_GB2312" w:cs="Times New Roman"/>
          <w:i w:val="0"/>
          <w:iCs w:val="0"/>
          <w:sz w:val="32"/>
          <w:szCs w:val="32"/>
        </w:rPr>
        <w:t>项目建设等方面</w:t>
      </w:r>
      <w:r>
        <w:rPr>
          <w:rFonts w:hint="eastAsia" w:ascii="Times New Roman" w:hAnsi="Times New Roman" w:eastAsia="仿宋_GB2312" w:cs="Times New Roman"/>
          <w:i w:val="0"/>
          <w:iCs w:val="0"/>
          <w:sz w:val="32"/>
          <w:szCs w:val="32"/>
          <w:lang w:eastAsia="zh-CN"/>
        </w:rPr>
        <w:t>。</w:t>
      </w:r>
    </w:p>
    <w:p w14:paraId="6FFA38AF">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sz w:val="32"/>
          <w:szCs w:val="32"/>
        </w:rPr>
      </w:pPr>
      <w:r>
        <w:rPr>
          <w:rFonts w:ascii="Times New Roman" w:hAnsi="Times New Roman" w:cs="Times New Roman"/>
          <w:bCs/>
          <w:i w:val="0"/>
          <w:iCs w:val="0"/>
          <w:sz w:val="32"/>
          <w:szCs w:val="32"/>
        </w:rPr>
        <w:t>六、一般公共预算财政拨款基本支出决算情况说明</w:t>
      </w:r>
    </w:p>
    <w:p w14:paraId="3A722A5D">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年度一般公共预算财政拨款基本支出</w:t>
      </w:r>
      <w:r>
        <w:rPr>
          <w:rFonts w:hint="eastAsia" w:ascii="Times New Roman" w:hAnsi="Times New Roman" w:eastAsia="仿宋_GB2312" w:cs="Times New Roman"/>
          <w:i w:val="0"/>
          <w:iCs w:val="0"/>
          <w:sz w:val="32"/>
          <w:szCs w:val="32"/>
          <w:lang w:val="en-US" w:eastAsia="zh-CN"/>
        </w:rPr>
        <w:t>394.41</w:t>
      </w:r>
      <w:r>
        <w:rPr>
          <w:rFonts w:ascii="Times New Roman" w:hAnsi="Times New Roman" w:eastAsia="仿宋_GB2312" w:cs="Times New Roman"/>
          <w:i w:val="0"/>
          <w:iCs w:val="0"/>
          <w:sz w:val="32"/>
          <w:szCs w:val="32"/>
        </w:rPr>
        <w:t>万元，其中：</w:t>
      </w:r>
    </w:p>
    <w:p w14:paraId="6823EF07">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i w:val="0"/>
          <w:iCs w:val="0"/>
          <w:sz w:val="32"/>
          <w:szCs w:val="32"/>
          <w:lang w:val="en-US" w:eastAsia="zh-CN"/>
        </w:rPr>
      </w:pPr>
      <w:r>
        <w:rPr>
          <w:rFonts w:ascii="Times New Roman" w:hAnsi="Times New Roman" w:eastAsia="仿宋_GB2312" w:cs="Times New Roman"/>
          <w:b/>
          <w:bCs/>
          <w:i w:val="0"/>
          <w:iCs w:val="0"/>
          <w:sz w:val="32"/>
          <w:szCs w:val="32"/>
        </w:rPr>
        <w:t>人员经费</w:t>
      </w:r>
      <w:r>
        <w:rPr>
          <w:rFonts w:hint="eastAsia" w:ascii="Times New Roman" w:hAnsi="Times New Roman" w:eastAsia="仿宋_GB2312" w:cs="Times New Roman"/>
          <w:i w:val="0"/>
          <w:iCs w:val="0"/>
          <w:sz w:val="32"/>
          <w:szCs w:val="32"/>
          <w:lang w:val="en-US" w:eastAsia="zh-CN"/>
        </w:rPr>
        <w:t>347.54</w:t>
      </w:r>
      <w:r>
        <w:rPr>
          <w:rFonts w:ascii="Times New Roman" w:hAnsi="Times New Roman" w:eastAsia="仿宋_GB2312" w:cs="Times New Roman"/>
          <w:i w:val="0"/>
          <w:iCs w:val="0"/>
          <w:sz w:val="32"/>
          <w:szCs w:val="32"/>
        </w:rPr>
        <w:t>万元，占基本支出的</w:t>
      </w:r>
      <w:r>
        <w:rPr>
          <w:rFonts w:hint="eastAsia" w:ascii="Times New Roman" w:hAnsi="Times New Roman" w:eastAsia="仿宋_GB2312" w:cs="Times New Roman"/>
          <w:i w:val="0"/>
          <w:iCs w:val="0"/>
          <w:sz w:val="32"/>
          <w:szCs w:val="32"/>
          <w:lang w:val="en-US" w:eastAsia="zh-CN"/>
        </w:rPr>
        <w:t>88.2</w:t>
      </w:r>
      <w:r>
        <w:rPr>
          <w:rFonts w:ascii="Times New Roman" w:hAnsi="Times New Roman" w:eastAsia="仿宋_GB2312" w:cs="Times New Roman"/>
          <w:i w:val="0"/>
          <w:iCs w:val="0"/>
          <w:sz w:val="32"/>
          <w:szCs w:val="32"/>
        </w:rPr>
        <w:t>%,主要包括基本工资、津贴补贴、奖金、</w:t>
      </w:r>
      <w:r>
        <w:rPr>
          <w:rFonts w:hint="eastAsia" w:ascii="Times New Roman" w:hAnsi="Times New Roman" w:eastAsia="仿宋_GB2312" w:cs="Times New Roman"/>
          <w:i w:val="0"/>
          <w:iCs w:val="0"/>
          <w:sz w:val="32"/>
          <w:szCs w:val="32"/>
          <w:lang w:eastAsia="zh-CN"/>
        </w:rPr>
        <w:t>绩效工资</w:t>
      </w:r>
      <w:r>
        <w:rPr>
          <w:rFonts w:hint="eastAsia" w:ascii="Times New Roman" w:hAnsi="Times New Roman" w:eastAsia="仿宋_GB2312" w:cs="Times New Roman"/>
          <w:i w:val="0"/>
          <w:iCs w:val="0"/>
          <w:sz w:val="32"/>
          <w:szCs w:val="32"/>
          <w:lang w:val="en-US" w:eastAsia="zh-CN"/>
        </w:rPr>
        <w:t>等。</w:t>
      </w:r>
    </w:p>
    <w:p w14:paraId="13E73996">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b/>
          <w:i w:val="0"/>
          <w:iCs w:val="0"/>
          <w:sz w:val="32"/>
          <w:szCs w:val="32"/>
          <w:lang w:eastAsia="zh-CN"/>
        </w:rPr>
      </w:pPr>
      <w:r>
        <w:rPr>
          <w:rFonts w:ascii="Times New Roman" w:hAnsi="Times New Roman" w:eastAsia="仿宋_GB2312" w:cs="Times New Roman"/>
          <w:b/>
          <w:bCs/>
          <w:i w:val="0"/>
          <w:iCs w:val="0"/>
          <w:sz w:val="32"/>
          <w:szCs w:val="32"/>
        </w:rPr>
        <w:t>公用经费</w:t>
      </w:r>
      <w:r>
        <w:rPr>
          <w:rFonts w:hint="eastAsia" w:ascii="Times New Roman" w:hAnsi="Times New Roman" w:eastAsia="仿宋_GB2312" w:cs="Times New Roman"/>
          <w:i w:val="0"/>
          <w:iCs w:val="0"/>
          <w:sz w:val="32"/>
          <w:szCs w:val="32"/>
          <w:lang w:val="en-US" w:eastAsia="zh-CN"/>
        </w:rPr>
        <w:t>46.54</w:t>
      </w:r>
      <w:r>
        <w:rPr>
          <w:rFonts w:ascii="Times New Roman" w:hAnsi="Times New Roman" w:eastAsia="仿宋_GB2312" w:cs="Times New Roman"/>
          <w:i w:val="0"/>
          <w:iCs w:val="0"/>
          <w:sz w:val="32"/>
          <w:szCs w:val="32"/>
        </w:rPr>
        <w:t>万元，占基本支出的</w:t>
      </w:r>
      <w:r>
        <w:rPr>
          <w:rFonts w:hint="eastAsia" w:ascii="Times New Roman" w:hAnsi="Times New Roman" w:eastAsia="仿宋_GB2312" w:cs="Times New Roman"/>
          <w:i w:val="0"/>
          <w:iCs w:val="0"/>
          <w:sz w:val="32"/>
          <w:szCs w:val="32"/>
          <w:lang w:val="en-US" w:eastAsia="zh-CN"/>
        </w:rPr>
        <w:t>11.8</w:t>
      </w:r>
      <w:r>
        <w:rPr>
          <w:rFonts w:ascii="Times New Roman" w:hAnsi="Times New Roman" w:eastAsia="仿宋_GB2312" w:cs="Times New Roman"/>
          <w:i w:val="0"/>
          <w:iCs w:val="0"/>
          <w:sz w:val="32"/>
          <w:szCs w:val="32"/>
        </w:rPr>
        <w:t>%，主要包括办公费、印刷费、</w:t>
      </w:r>
      <w:r>
        <w:rPr>
          <w:rFonts w:hint="eastAsia" w:ascii="Times New Roman" w:hAnsi="Times New Roman" w:eastAsia="仿宋_GB2312" w:cs="Times New Roman"/>
          <w:i w:val="0"/>
          <w:iCs w:val="0"/>
          <w:sz w:val="32"/>
          <w:szCs w:val="32"/>
          <w:lang w:eastAsia="zh-CN"/>
        </w:rPr>
        <w:t>工会经费</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差旅</w:t>
      </w:r>
      <w:r>
        <w:rPr>
          <w:rFonts w:ascii="Times New Roman" w:hAnsi="Times New Roman" w:eastAsia="仿宋_GB2312" w:cs="Times New Roman"/>
          <w:i w:val="0"/>
          <w:iCs w:val="0"/>
          <w:sz w:val="32"/>
          <w:szCs w:val="32"/>
        </w:rPr>
        <w:t>费</w:t>
      </w:r>
      <w:r>
        <w:rPr>
          <w:rFonts w:hint="eastAsia" w:ascii="Times New Roman" w:hAnsi="Times New Roman" w:eastAsia="仿宋_GB2312" w:cs="Times New Roman"/>
          <w:i w:val="0"/>
          <w:iCs w:val="0"/>
          <w:sz w:val="32"/>
          <w:szCs w:val="32"/>
          <w:lang w:eastAsia="zh-CN"/>
        </w:rPr>
        <w:t>等</w:t>
      </w:r>
    </w:p>
    <w:p w14:paraId="3B81965E">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b/>
          <w:i w:val="0"/>
          <w:iCs w:val="0"/>
          <w:sz w:val="32"/>
          <w:szCs w:val="32"/>
        </w:rPr>
      </w:pPr>
      <w:r>
        <w:rPr>
          <w:rFonts w:ascii="Times New Roman" w:hAnsi="Times New Roman" w:cs="Times New Roman"/>
          <w:bCs/>
          <w:i w:val="0"/>
          <w:iCs w:val="0"/>
          <w:sz w:val="32"/>
          <w:szCs w:val="32"/>
        </w:rPr>
        <w:t>七、财政拨款“三公”经费支出决算情况说明</w:t>
      </w:r>
      <w:r>
        <w:rPr>
          <w:rFonts w:ascii="Times New Roman" w:hAnsi="Times New Roman" w:eastAsia="楷体_GB2312" w:cs="Times New Roman"/>
          <w:b/>
          <w:bCs/>
          <w:i w:val="0"/>
          <w:iCs w:val="0"/>
          <w:color w:val="auto"/>
          <w:sz w:val="32"/>
          <w:szCs w:val="32"/>
        </w:rPr>
        <w:t>（注意：“三公”经费不再是一般公共预算财政拨款口径，而是财政拨款口径）</w:t>
      </w:r>
    </w:p>
    <w:p w14:paraId="0B6CE2E1">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i w:val="0"/>
          <w:iCs w:val="0"/>
          <w:sz w:val="32"/>
          <w:szCs w:val="32"/>
        </w:rPr>
      </w:pPr>
      <w:r>
        <w:rPr>
          <w:rFonts w:ascii="Times New Roman" w:hAnsi="Times New Roman" w:eastAsia="楷体_GB2312" w:cs="Times New Roman"/>
          <w:b/>
          <w:i w:val="0"/>
          <w:iCs w:val="0"/>
          <w:sz w:val="32"/>
          <w:szCs w:val="32"/>
        </w:rPr>
        <w:t>（一）“三公”经费财政拨款支出决算总体情况说明</w:t>
      </w:r>
    </w:p>
    <w:p w14:paraId="5F2DEE37">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highlight w:val="yellow"/>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年度“三公”经费财政拨款支出预算为</w:t>
      </w:r>
      <w:r>
        <w:rPr>
          <w:rFonts w:hint="eastAsia" w:ascii="Times New Roman" w:hAnsi="Times New Roman" w:eastAsia="仿宋_GB2312" w:cs="Times New Roman"/>
          <w:i w:val="0"/>
          <w:iCs w:val="0"/>
          <w:sz w:val="32"/>
          <w:szCs w:val="32"/>
          <w:lang w:val="en-US" w:eastAsia="zh-CN"/>
        </w:rPr>
        <w:t>9.5</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4</w:t>
      </w:r>
      <w:r>
        <w:rPr>
          <w:rFonts w:ascii="Times New Roman" w:hAnsi="Times New Roman" w:eastAsia="仿宋_GB2312" w:cs="Times New Roman"/>
          <w:i w:val="0"/>
          <w:iCs w:val="0"/>
          <w:sz w:val="32"/>
          <w:szCs w:val="32"/>
        </w:rPr>
        <w:t>万元，完成预算的</w:t>
      </w:r>
      <w:r>
        <w:rPr>
          <w:rFonts w:hint="eastAsia" w:ascii="Times New Roman" w:hAnsi="Times New Roman" w:eastAsia="仿宋_GB2312" w:cs="Times New Roman"/>
          <w:i w:val="0"/>
          <w:iCs w:val="0"/>
          <w:sz w:val="32"/>
          <w:szCs w:val="32"/>
          <w:lang w:val="en-US" w:eastAsia="zh-CN"/>
        </w:rPr>
        <w:t>42.11</w:t>
      </w:r>
      <w:r>
        <w:rPr>
          <w:rFonts w:ascii="Times New Roman" w:hAnsi="Times New Roman" w:eastAsia="仿宋_GB2312" w:cs="Times New Roman"/>
          <w:i w:val="0"/>
          <w:iCs w:val="0"/>
          <w:sz w:val="32"/>
          <w:szCs w:val="32"/>
        </w:rPr>
        <w:t>%；与上年相比减少</w:t>
      </w:r>
      <w:r>
        <w:rPr>
          <w:rFonts w:hint="eastAsia" w:ascii="Times New Roman" w:hAnsi="Times New Roman" w:eastAsia="仿宋_GB2312" w:cs="Times New Roman"/>
          <w:i w:val="0"/>
          <w:iCs w:val="0"/>
          <w:sz w:val="32"/>
          <w:szCs w:val="32"/>
          <w:lang w:val="en-US" w:eastAsia="zh-CN"/>
        </w:rPr>
        <w:t>4.11</w:t>
      </w:r>
      <w:r>
        <w:rPr>
          <w:rFonts w:ascii="Times New Roman" w:hAnsi="Times New Roman" w:eastAsia="仿宋_GB2312" w:cs="Times New Roman"/>
          <w:i w:val="0"/>
          <w:iCs w:val="0"/>
          <w:sz w:val="32"/>
          <w:szCs w:val="32"/>
        </w:rPr>
        <w:t>万元，降低</w:t>
      </w:r>
      <w:r>
        <w:rPr>
          <w:rFonts w:hint="eastAsia" w:ascii="Times New Roman" w:hAnsi="Times New Roman" w:eastAsia="仿宋_GB2312" w:cs="Times New Roman"/>
          <w:i w:val="0"/>
          <w:iCs w:val="0"/>
          <w:sz w:val="32"/>
          <w:szCs w:val="32"/>
          <w:lang w:val="en-US" w:eastAsia="zh-CN"/>
        </w:rPr>
        <w:t>50.68</w:t>
      </w:r>
      <w:r>
        <w:rPr>
          <w:rFonts w:ascii="Times New Roman" w:hAnsi="Times New Roman" w:eastAsia="仿宋_GB2312" w:cs="Times New Roman"/>
          <w:i w:val="0"/>
          <w:iCs w:val="0"/>
          <w:sz w:val="32"/>
          <w:szCs w:val="32"/>
        </w:rPr>
        <w:t>%。决算数小于预算数的主要原因是</w:t>
      </w:r>
      <w:r>
        <w:rPr>
          <w:rFonts w:hint="eastAsia" w:ascii="Times New Roman" w:hAnsi="Times New Roman" w:eastAsia="仿宋_GB2312"/>
          <w:i w:val="0"/>
          <w:iCs w:val="0"/>
          <w:spacing w:val="0"/>
          <w:sz w:val="32"/>
          <w:szCs w:val="32"/>
          <w:lang w:val="en-US" w:eastAsia="zh-CN"/>
        </w:rPr>
        <w:t>我单位本着厉行节约的原则，严格控制三公经费。</w:t>
      </w:r>
      <w:r>
        <w:rPr>
          <w:rFonts w:ascii="Times New Roman" w:hAnsi="Times New Roman" w:eastAsia="仿宋_GB2312" w:cs="Times New Roman"/>
          <w:i w:val="0"/>
          <w:iCs w:val="0"/>
          <w:sz w:val="32"/>
          <w:szCs w:val="32"/>
        </w:rPr>
        <w:t>决算数小于上年数的主要原因是</w:t>
      </w:r>
      <w:r>
        <w:rPr>
          <w:rFonts w:hint="eastAsia" w:ascii="Times New Roman" w:hAnsi="Times New Roman" w:eastAsia="仿宋_GB2312"/>
          <w:i w:val="0"/>
          <w:iCs w:val="0"/>
          <w:spacing w:val="0"/>
          <w:sz w:val="32"/>
          <w:szCs w:val="32"/>
          <w:lang w:val="en-US" w:eastAsia="zh-CN"/>
        </w:rPr>
        <w:t>我单位本着厉行节约的原则，严格控制三公经费。</w:t>
      </w:r>
    </w:p>
    <w:p w14:paraId="0C5AF8E3">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i w:val="0"/>
          <w:iCs w:val="0"/>
          <w:sz w:val="32"/>
          <w:szCs w:val="32"/>
        </w:rPr>
      </w:pPr>
      <w:r>
        <w:rPr>
          <w:rFonts w:ascii="Times New Roman" w:hAnsi="Times New Roman" w:eastAsia="楷体_GB2312" w:cs="Times New Roman"/>
          <w:b/>
          <w:i w:val="0"/>
          <w:iCs w:val="0"/>
          <w:sz w:val="32"/>
          <w:szCs w:val="32"/>
        </w:rPr>
        <w:t>（二）“三公”经费财政拨款支出决算具体情况说明</w:t>
      </w:r>
    </w:p>
    <w:p w14:paraId="28C1915A">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 w:cs="Times New Roman"/>
          <w:b/>
          <w:bCs/>
          <w:i w:val="0"/>
          <w:iCs w:val="0"/>
          <w:color w:val="auto"/>
          <w:sz w:val="32"/>
          <w:szCs w:val="32"/>
        </w:rPr>
      </w:pPr>
      <w:r>
        <w:rPr>
          <w:rFonts w:ascii="Times New Roman" w:hAnsi="Times New Roman" w:eastAsia="仿宋_GB2312" w:cs="Times New Roman"/>
          <w:i w:val="0"/>
          <w:iCs w:val="0"/>
          <w:sz w:val="32"/>
          <w:szCs w:val="32"/>
        </w:rPr>
        <w:t>1.因公出国（境）费支出预算为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w:t>
      </w:r>
      <w:r>
        <w:rPr>
          <w:rFonts w:hint="eastAsia" w:ascii="Times New Roman" w:hAnsi="Times New Roman" w:eastAsia="仿宋_GB2312"/>
          <w:i w:val="0"/>
          <w:iCs w:val="0"/>
          <w:spacing w:val="0"/>
          <w:sz w:val="32"/>
          <w:szCs w:val="32"/>
        </w:rPr>
        <w:t>我局没有因公出国（境）工作，该项资金没有发生额。</w:t>
      </w:r>
    </w:p>
    <w:p w14:paraId="7903FDF5">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2.公务用车购置费及运行维护费支出预算为</w:t>
      </w:r>
      <w:r>
        <w:rPr>
          <w:rFonts w:hint="eastAsia" w:ascii="Times New Roman" w:hAnsi="Times New Roman" w:eastAsia="仿宋_GB2312" w:cs="Times New Roman"/>
          <w:i w:val="0"/>
          <w:iCs w:val="0"/>
          <w:sz w:val="32"/>
          <w:szCs w:val="32"/>
          <w:lang w:val="en-US" w:eastAsia="zh-CN"/>
        </w:rPr>
        <w:t>6</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3.02</w:t>
      </w:r>
      <w:r>
        <w:rPr>
          <w:rFonts w:ascii="Times New Roman" w:hAnsi="Times New Roman" w:eastAsia="仿宋_GB2312" w:cs="Times New Roman"/>
          <w:i w:val="0"/>
          <w:iCs w:val="0"/>
          <w:sz w:val="32"/>
          <w:szCs w:val="32"/>
        </w:rPr>
        <w:t>万元，完成预算的</w:t>
      </w:r>
      <w:r>
        <w:rPr>
          <w:rFonts w:hint="eastAsia" w:ascii="Times New Roman" w:hAnsi="Times New Roman" w:eastAsia="仿宋_GB2312" w:cs="Times New Roman"/>
          <w:i w:val="0"/>
          <w:iCs w:val="0"/>
          <w:sz w:val="32"/>
          <w:szCs w:val="32"/>
          <w:lang w:val="en-US" w:eastAsia="zh-CN"/>
        </w:rPr>
        <w:t>50.33</w:t>
      </w:r>
      <w:r>
        <w:rPr>
          <w:rFonts w:ascii="Times New Roman" w:hAnsi="Times New Roman" w:eastAsia="仿宋_GB2312" w:cs="Times New Roman"/>
          <w:i w:val="0"/>
          <w:iCs w:val="0"/>
          <w:sz w:val="32"/>
          <w:szCs w:val="32"/>
        </w:rPr>
        <w:t>%；与上年相比减少</w:t>
      </w:r>
      <w:r>
        <w:rPr>
          <w:rFonts w:hint="eastAsia" w:ascii="Times New Roman" w:hAnsi="Times New Roman" w:eastAsia="仿宋_GB2312" w:cs="Times New Roman"/>
          <w:i w:val="0"/>
          <w:iCs w:val="0"/>
          <w:sz w:val="32"/>
          <w:szCs w:val="32"/>
          <w:lang w:val="en-US" w:eastAsia="zh-CN"/>
        </w:rPr>
        <w:t>2.94</w:t>
      </w:r>
      <w:r>
        <w:rPr>
          <w:rFonts w:ascii="Times New Roman" w:hAnsi="Times New Roman" w:eastAsia="仿宋_GB2312" w:cs="Times New Roman"/>
          <w:i w:val="0"/>
          <w:iCs w:val="0"/>
          <w:sz w:val="32"/>
          <w:szCs w:val="32"/>
        </w:rPr>
        <w:t>万元，降低</w:t>
      </w:r>
      <w:r>
        <w:rPr>
          <w:rFonts w:hint="eastAsia" w:ascii="Times New Roman" w:hAnsi="Times New Roman" w:eastAsia="仿宋_GB2312" w:cs="Times New Roman"/>
          <w:i w:val="0"/>
          <w:iCs w:val="0"/>
          <w:sz w:val="32"/>
          <w:szCs w:val="32"/>
          <w:lang w:val="en-US" w:eastAsia="zh-CN"/>
        </w:rPr>
        <w:t>49.33</w:t>
      </w:r>
      <w:r>
        <w:rPr>
          <w:rFonts w:ascii="Times New Roman" w:hAnsi="Times New Roman" w:eastAsia="仿宋_GB2312" w:cs="Times New Roman"/>
          <w:i w:val="0"/>
          <w:iCs w:val="0"/>
          <w:sz w:val="32"/>
          <w:szCs w:val="32"/>
        </w:rPr>
        <w:t>%。其中：</w:t>
      </w:r>
    </w:p>
    <w:p w14:paraId="0A4ACACD">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公务用车购置费支出预算为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w:t>
      </w:r>
      <w:r>
        <w:rPr>
          <w:rFonts w:hint="eastAsia" w:ascii="Times New Roman" w:hAnsi="Times New Roman" w:eastAsia="仿宋_GB2312"/>
          <w:i w:val="0"/>
          <w:iCs w:val="0"/>
          <w:spacing w:val="0"/>
          <w:sz w:val="32"/>
          <w:szCs w:val="32"/>
        </w:rPr>
        <w:t>本年没有安排该项预算支出。</w:t>
      </w:r>
      <w:r>
        <w:rPr>
          <w:rFonts w:hint="eastAsia" w:ascii="Times New Roman" w:hAnsi="Times New Roman" w:eastAsia="仿宋_GB2312"/>
          <w:i w:val="0"/>
          <w:iCs w:val="0"/>
          <w:spacing w:val="0"/>
          <w:sz w:val="32"/>
          <w:szCs w:val="32"/>
          <w:lang w:val="en-US" w:eastAsia="zh-CN"/>
        </w:rPr>
        <w:t>较上年度没有变化。</w:t>
      </w:r>
    </w:p>
    <w:p w14:paraId="1D43710E">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公务用车运行维护费支出预算为</w:t>
      </w:r>
      <w:r>
        <w:rPr>
          <w:rFonts w:hint="eastAsia" w:ascii="Times New Roman" w:hAnsi="Times New Roman" w:eastAsia="仿宋_GB2312" w:cs="Times New Roman"/>
          <w:i w:val="0"/>
          <w:iCs w:val="0"/>
          <w:sz w:val="32"/>
          <w:szCs w:val="32"/>
          <w:lang w:val="en-US" w:eastAsia="zh-CN"/>
        </w:rPr>
        <w:t>6</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3.02</w:t>
      </w:r>
      <w:r>
        <w:rPr>
          <w:rFonts w:ascii="Times New Roman" w:hAnsi="Times New Roman" w:eastAsia="仿宋_GB2312" w:cs="Times New Roman"/>
          <w:i w:val="0"/>
          <w:iCs w:val="0"/>
          <w:sz w:val="32"/>
          <w:szCs w:val="32"/>
        </w:rPr>
        <w:t>万元，</w:t>
      </w:r>
    </w:p>
    <w:p w14:paraId="0CCCBEF1">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highlight w:val="yellow"/>
        </w:rPr>
      </w:pPr>
      <w:r>
        <w:rPr>
          <w:rFonts w:ascii="Times New Roman" w:hAnsi="Times New Roman" w:eastAsia="仿宋_GB2312" w:cs="Times New Roman"/>
          <w:i w:val="0"/>
          <w:iCs w:val="0"/>
          <w:sz w:val="32"/>
          <w:szCs w:val="32"/>
        </w:rPr>
        <w:t>主要是</w:t>
      </w:r>
      <w:r>
        <w:rPr>
          <w:rFonts w:hint="eastAsia" w:ascii="Times New Roman" w:hAnsi="Times New Roman" w:eastAsia="仿宋_GB2312" w:cs="Times New Roman"/>
          <w:i w:val="0"/>
          <w:iCs w:val="0"/>
          <w:sz w:val="32"/>
          <w:szCs w:val="32"/>
          <w:lang w:eastAsia="zh-CN"/>
        </w:rPr>
        <w:t>车辆加油、维修、驾车安全奖、过路过过桥费</w:t>
      </w:r>
      <w:r>
        <w:rPr>
          <w:rFonts w:ascii="Times New Roman" w:hAnsi="Times New Roman" w:eastAsia="仿宋_GB2312" w:cs="Times New Roman"/>
          <w:i w:val="0"/>
          <w:iCs w:val="0"/>
          <w:sz w:val="32"/>
          <w:szCs w:val="32"/>
        </w:rPr>
        <w:t>支出，完成预算的</w:t>
      </w:r>
      <w:r>
        <w:rPr>
          <w:rFonts w:hint="eastAsia" w:ascii="Times New Roman" w:hAnsi="Times New Roman" w:eastAsia="仿宋_GB2312" w:cs="Times New Roman"/>
          <w:i w:val="0"/>
          <w:iCs w:val="0"/>
          <w:sz w:val="32"/>
          <w:szCs w:val="32"/>
          <w:lang w:val="en-US" w:eastAsia="zh-CN"/>
        </w:rPr>
        <w:t>50.33</w:t>
      </w:r>
      <w:r>
        <w:rPr>
          <w:rFonts w:ascii="Times New Roman" w:hAnsi="Times New Roman" w:eastAsia="仿宋_GB2312" w:cs="Times New Roman"/>
          <w:i w:val="0"/>
          <w:iCs w:val="0"/>
          <w:sz w:val="32"/>
          <w:szCs w:val="32"/>
        </w:rPr>
        <w:t>%；与上年相比减少</w:t>
      </w:r>
      <w:r>
        <w:rPr>
          <w:rFonts w:hint="eastAsia" w:ascii="Times New Roman" w:hAnsi="Times New Roman" w:eastAsia="仿宋_GB2312" w:cs="Times New Roman"/>
          <w:i w:val="0"/>
          <w:iCs w:val="0"/>
          <w:sz w:val="32"/>
          <w:szCs w:val="32"/>
          <w:lang w:val="en-US" w:eastAsia="zh-CN"/>
        </w:rPr>
        <w:t>2.94</w:t>
      </w:r>
      <w:r>
        <w:rPr>
          <w:rFonts w:ascii="Times New Roman" w:hAnsi="Times New Roman" w:eastAsia="仿宋_GB2312" w:cs="Times New Roman"/>
          <w:i w:val="0"/>
          <w:iCs w:val="0"/>
          <w:sz w:val="32"/>
          <w:szCs w:val="32"/>
        </w:rPr>
        <w:t>万元，降低</w:t>
      </w:r>
      <w:r>
        <w:rPr>
          <w:rFonts w:hint="eastAsia" w:ascii="Times New Roman" w:hAnsi="Times New Roman" w:eastAsia="仿宋_GB2312" w:cs="Times New Roman"/>
          <w:i w:val="0"/>
          <w:iCs w:val="0"/>
          <w:sz w:val="32"/>
          <w:szCs w:val="32"/>
          <w:lang w:val="en-US" w:eastAsia="zh-CN"/>
        </w:rPr>
        <w:t>49.33</w:t>
      </w:r>
      <w:r>
        <w:rPr>
          <w:rFonts w:ascii="Times New Roman" w:hAnsi="Times New Roman" w:eastAsia="仿宋_GB2312" w:cs="Times New Roman"/>
          <w:i w:val="0"/>
          <w:iCs w:val="0"/>
          <w:sz w:val="32"/>
          <w:szCs w:val="32"/>
        </w:rPr>
        <w:t>%。决算数小于预算数的主要原因是</w:t>
      </w:r>
      <w:r>
        <w:rPr>
          <w:rFonts w:hint="eastAsia" w:ascii="Times New Roman" w:hAnsi="Times New Roman" w:eastAsia="仿宋_GB2312"/>
          <w:i w:val="0"/>
          <w:iCs w:val="0"/>
          <w:spacing w:val="0"/>
          <w:sz w:val="32"/>
          <w:szCs w:val="32"/>
          <w:lang w:val="en-US" w:eastAsia="zh-CN"/>
        </w:rPr>
        <w:t>我单位本着厉行节约的原则，严格控制三公经费。</w:t>
      </w:r>
    </w:p>
    <w:p w14:paraId="3660DCDB">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 w:cs="Times New Roman"/>
          <w:b/>
          <w:bCs/>
          <w:i w:val="0"/>
          <w:iCs w:val="0"/>
          <w:sz w:val="32"/>
          <w:szCs w:val="32"/>
        </w:rPr>
      </w:pPr>
      <w:r>
        <w:rPr>
          <w:rFonts w:ascii="Times New Roman" w:hAnsi="Times New Roman" w:eastAsia="仿宋_GB2312" w:cs="Times New Roman"/>
          <w:i w:val="0"/>
          <w:iCs w:val="0"/>
          <w:sz w:val="32"/>
          <w:szCs w:val="32"/>
        </w:rPr>
        <w:t>决算数小于上年数的主要原因是</w:t>
      </w:r>
      <w:r>
        <w:rPr>
          <w:rFonts w:hint="eastAsia" w:ascii="Times New Roman" w:hAnsi="Times New Roman" w:eastAsia="仿宋_GB2312"/>
          <w:i w:val="0"/>
          <w:iCs w:val="0"/>
          <w:spacing w:val="0"/>
          <w:sz w:val="32"/>
          <w:szCs w:val="32"/>
          <w:lang w:val="en-US" w:eastAsia="zh-CN"/>
        </w:rPr>
        <w:t>我单位本着厉行节约的原则，严格控制三公经费</w:t>
      </w:r>
      <w:r>
        <w:rPr>
          <w:rFonts w:ascii="Times New Roman" w:hAnsi="Times New Roman" w:eastAsia="仿宋_GB2312" w:cs="Times New Roman"/>
          <w:i w:val="0"/>
          <w:iCs w:val="0"/>
          <w:sz w:val="32"/>
          <w:szCs w:val="32"/>
        </w:rPr>
        <w:t>。截止202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年12月31日，我单位开支财政拨款的公务用车保有量为</w:t>
      </w:r>
      <w:r>
        <w:rPr>
          <w:rFonts w:hint="eastAsia" w:ascii="Times New Roman" w:hAnsi="Times New Roman" w:eastAsia="仿宋_GB2312" w:cs="Times New Roman"/>
          <w:i w:val="0"/>
          <w:iCs w:val="0"/>
          <w:sz w:val="32"/>
          <w:szCs w:val="32"/>
          <w:lang w:val="en-US" w:eastAsia="zh-CN"/>
        </w:rPr>
        <w:t>1</w:t>
      </w:r>
      <w:r>
        <w:rPr>
          <w:rFonts w:ascii="Times New Roman" w:hAnsi="Times New Roman" w:eastAsia="仿宋_GB2312" w:cs="Times New Roman"/>
          <w:i w:val="0"/>
          <w:iCs w:val="0"/>
          <w:sz w:val="32"/>
          <w:szCs w:val="32"/>
        </w:rPr>
        <w:t>辆。</w:t>
      </w:r>
    </w:p>
    <w:p w14:paraId="05092178">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3.公务接待费支出预算为</w:t>
      </w:r>
      <w:r>
        <w:rPr>
          <w:rFonts w:hint="eastAsia" w:ascii="Times New Roman" w:hAnsi="Times New Roman" w:eastAsia="仿宋_GB2312" w:cs="Times New Roman"/>
          <w:i w:val="0"/>
          <w:iCs w:val="0"/>
          <w:sz w:val="32"/>
          <w:szCs w:val="32"/>
          <w:lang w:val="en-US" w:eastAsia="zh-CN"/>
        </w:rPr>
        <w:t>3.5</w:t>
      </w:r>
      <w:r>
        <w:rPr>
          <w:rFonts w:ascii="Times New Roman" w:hAnsi="Times New Roman" w:eastAsia="仿宋_GB2312" w:cs="Times New Roman"/>
          <w:i w:val="0"/>
          <w:iCs w:val="0"/>
          <w:sz w:val="32"/>
          <w:szCs w:val="32"/>
        </w:rPr>
        <w:t>万元，支出决算为</w:t>
      </w:r>
      <w:r>
        <w:rPr>
          <w:rFonts w:hint="eastAsia" w:ascii="Times New Roman" w:hAnsi="Times New Roman" w:eastAsia="仿宋_GB2312" w:cs="Times New Roman"/>
          <w:i w:val="0"/>
          <w:iCs w:val="0"/>
          <w:sz w:val="32"/>
          <w:szCs w:val="32"/>
          <w:lang w:val="en-US" w:eastAsia="zh-CN"/>
        </w:rPr>
        <w:t>0.98</w:t>
      </w:r>
      <w:r>
        <w:rPr>
          <w:rFonts w:ascii="Times New Roman" w:hAnsi="Times New Roman" w:eastAsia="仿宋_GB2312" w:cs="Times New Roman"/>
          <w:i w:val="0"/>
          <w:iCs w:val="0"/>
          <w:sz w:val="32"/>
          <w:szCs w:val="32"/>
        </w:rPr>
        <w:t>万元，完成预算的</w:t>
      </w:r>
      <w:r>
        <w:rPr>
          <w:rFonts w:hint="eastAsia" w:ascii="Times New Roman" w:hAnsi="Times New Roman" w:eastAsia="仿宋_GB2312" w:cs="Times New Roman"/>
          <w:i w:val="0"/>
          <w:iCs w:val="0"/>
          <w:sz w:val="32"/>
          <w:szCs w:val="32"/>
          <w:lang w:val="en-US" w:eastAsia="zh-CN"/>
        </w:rPr>
        <w:t>28</w:t>
      </w:r>
      <w:r>
        <w:rPr>
          <w:rFonts w:ascii="Times New Roman" w:hAnsi="Times New Roman" w:eastAsia="仿宋_GB2312" w:cs="Times New Roman"/>
          <w:i w:val="0"/>
          <w:iCs w:val="0"/>
          <w:sz w:val="32"/>
          <w:szCs w:val="32"/>
        </w:rPr>
        <w:t>%；与上年相比增加减少</w:t>
      </w:r>
      <w:r>
        <w:rPr>
          <w:rFonts w:hint="eastAsia" w:ascii="Times New Roman" w:hAnsi="Times New Roman" w:eastAsia="仿宋_GB2312" w:cs="Times New Roman"/>
          <w:i w:val="0"/>
          <w:iCs w:val="0"/>
          <w:sz w:val="32"/>
          <w:szCs w:val="32"/>
          <w:lang w:val="en-US" w:eastAsia="zh-CN"/>
        </w:rPr>
        <w:t>1.17</w:t>
      </w:r>
      <w:r>
        <w:rPr>
          <w:rFonts w:ascii="Times New Roman" w:hAnsi="Times New Roman" w:eastAsia="仿宋_GB2312" w:cs="Times New Roman"/>
          <w:i w:val="0"/>
          <w:iCs w:val="0"/>
          <w:sz w:val="32"/>
          <w:szCs w:val="32"/>
        </w:rPr>
        <w:t>万元，降低</w:t>
      </w:r>
      <w:r>
        <w:rPr>
          <w:rFonts w:hint="eastAsia" w:ascii="Times New Roman" w:hAnsi="Times New Roman" w:eastAsia="仿宋_GB2312" w:cs="Times New Roman"/>
          <w:i w:val="0"/>
          <w:iCs w:val="0"/>
          <w:sz w:val="32"/>
          <w:szCs w:val="32"/>
          <w:lang w:val="en-US" w:eastAsia="zh-CN"/>
        </w:rPr>
        <w:t>54.42</w:t>
      </w:r>
      <w:r>
        <w:rPr>
          <w:rFonts w:ascii="Times New Roman" w:hAnsi="Times New Roman" w:eastAsia="仿宋_GB2312" w:cs="Times New Roman"/>
          <w:i w:val="0"/>
          <w:iCs w:val="0"/>
          <w:sz w:val="32"/>
          <w:szCs w:val="32"/>
        </w:rPr>
        <w:t>%。决算数小于预算数的主要原因是</w:t>
      </w:r>
      <w:r>
        <w:rPr>
          <w:rFonts w:hint="eastAsia" w:ascii="Times New Roman" w:hAnsi="Times New Roman" w:eastAsia="仿宋_GB2312"/>
          <w:i w:val="0"/>
          <w:iCs w:val="0"/>
          <w:spacing w:val="0"/>
          <w:sz w:val="32"/>
          <w:szCs w:val="32"/>
          <w:lang w:val="en-US" w:eastAsia="zh-CN"/>
        </w:rPr>
        <w:t>我单位本着厉行节约的原则，严格控制三公经费。</w:t>
      </w:r>
      <w:r>
        <w:rPr>
          <w:rFonts w:ascii="Times New Roman" w:hAnsi="Times New Roman" w:eastAsia="仿宋_GB2312" w:cs="Times New Roman"/>
          <w:i w:val="0"/>
          <w:iCs w:val="0"/>
          <w:sz w:val="32"/>
          <w:szCs w:val="32"/>
        </w:rPr>
        <w:t>决算数小于上年数的主要原因是</w:t>
      </w:r>
      <w:r>
        <w:rPr>
          <w:rFonts w:hint="eastAsia" w:ascii="Times New Roman" w:hAnsi="Times New Roman" w:eastAsia="仿宋_GB2312"/>
          <w:i w:val="0"/>
          <w:iCs w:val="0"/>
          <w:spacing w:val="0"/>
          <w:sz w:val="32"/>
          <w:szCs w:val="32"/>
          <w:lang w:val="en-US" w:eastAsia="zh-CN"/>
        </w:rPr>
        <w:t>我单位本着厉行节约的原则，严格控制三公经费。</w:t>
      </w:r>
      <w:r>
        <w:rPr>
          <w:rFonts w:hint="eastAsia" w:ascii="Times New Roman" w:hAnsi="Times New Roman" w:eastAsia="仿宋_GB2312" w:cs="Times New Roman"/>
          <w:i w:val="0"/>
          <w:iCs w:val="0"/>
          <w:sz w:val="32"/>
          <w:szCs w:val="32"/>
          <w:lang w:eastAsia="zh-CN"/>
        </w:rPr>
        <w:t>2025年</w:t>
      </w:r>
      <w:r>
        <w:rPr>
          <w:rFonts w:ascii="Times New Roman" w:hAnsi="Times New Roman" w:eastAsia="仿宋_GB2312" w:cs="Times New Roman"/>
          <w:i w:val="0"/>
          <w:iCs w:val="0"/>
          <w:sz w:val="32"/>
          <w:szCs w:val="32"/>
        </w:rPr>
        <w:t>度共接待来访团组</w:t>
      </w:r>
      <w:r>
        <w:rPr>
          <w:rFonts w:hint="eastAsia" w:ascii="Times New Roman" w:hAnsi="Times New Roman" w:eastAsia="仿宋_GB2312" w:cs="Times New Roman"/>
          <w:i w:val="0"/>
          <w:iCs w:val="0"/>
          <w:sz w:val="32"/>
          <w:szCs w:val="32"/>
          <w:lang w:val="en-US" w:eastAsia="zh-CN"/>
        </w:rPr>
        <w:t>10</w:t>
      </w:r>
      <w:r>
        <w:rPr>
          <w:rFonts w:ascii="Times New Roman" w:hAnsi="Times New Roman" w:eastAsia="仿宋_GB2312" w:cs="Times New Roman"/>
          <w:i w:val="0"/>
          <w:iCs w:val="0"/>
          <w:sz w:val="32"/>
          <w:szCs w:val="32"/>
        </w:rPr>
        <w:t>个、来宾</w:t>
      </w:r>
      <w:r>
        <w:rPr>
          <w:rFonts w:hint="eastAsia" w:ascii="Times New Roman" w:hAnsi="Times New Roman" w:eastAsia="仿宋_GB2312" w:cs="Times New Roman"/>
          <w:i w:val="0"/>
          <w:iCs w:val="0"/>
          <w:sz w:val="32"/>
          <w:szCs w:val="32"/>
          <w:lang w:val="en-US" w:eastAsia="zh-CN"/>
        </w:rPr>
        <w:t>65</w:t>
      </w:r>
      <w:r>
        <w:rPr>
          <w:rFonts w:ascii="Times New Roman" w:hAnsi="Times New Roman" w:eastAsia="仿宋_GB2312" w:cs="Times New Roman"/>
          <w:i w:val="0"/>
          <w:iCs w:val="0"/>
          <w:sz w:val="32"/>
          <w:szCs w:val="32"/>
        </w:rPr>
        <w:t>人次，主要是</w:t>
      </w:r>
      <w:r>
        <w:rPr>
          <w:rFonts w:hint="eastAsia" w:ascii="Times New Roman" w:hAnsi="Times New Roman" w:eastAsia="仿宋_GB2312" w:cs="Times New Roman"/>
          <w:i w:val="0"/>
          <w:iCs w:val="0"/>
          <w:sz w:val="32"/>
          <w:szCs w:val="32"/>
          <w:lang w:eastAsia="zh-CN"/>
        </w:rPr>
        <w:t>对接公务</w:t>
      </w:r>
      <w:r>
        <w:rPr>
          <w:rFonts w:ascii="Times New Roman" w:hAnsi="Times New Roman" w:eastAsia="仿宋_GB2312" w:cs="Times New Roman"/>
          <w:i w:val="0"/>
          <w:iCs w:val="0"/>
          <w:sz w:val="32"/>
          <w:szCs w:val="32"/>
        </w:rPr>
        <w:t>发生的接待支出。</w:t>
      </w:r>
    </w:p>
    <w:p w14:paraId="7C89B6E3">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sz w:val="32"/>
          <w:szCs w:val="32"/>
        </w:rPr>
      </w:pPr>
      <w:r>
        <w:rPr>
          <w:rFonts w:ascii="Times New Roman" w:hAnsi="Times New Roman" w:cs="Times New Roman"/>
          <w:bCs/>
          <w:i w:val="0"/>
          <w:iCs w:val="0"/>
          <w:sz w:val="32"/>
          <w:szCs w:val="32"/>
        </w:rPr>
        <w:t>八、政府性基金预算收入支出决算情况</w:t>
      </w:r>
    </w:p>
    <w:p w14:paraId="0D982DAA">
      <w:pPr>
        <w:pStyle w:val="13"/>
        <w:keepNext w:val="0"/>
        <w:keepLines w:val="0"/>
        <w:pageBreakBefore w:val="0"/>
        <w:widowControl w:val="0"/>
        <w:shd w:val="clear"/>
        <w:kinsoku/>
        <w:wordWrap/>
        <w:overflowPunct/>
        <w:topLinePunct w:val="0"/>
        <w:autoSpaceDE/>
        <w:autoSpaceDN/>
        <w:bidi w:val="0"/>
        <w:snapToGrid/>
        <w:spacing w:afterAutospacing="0" w:line="600" w:lineRule="exact"/>
        <w:ind w:leftChars="0" w:firstLine="640" w:firstLineChars="200"/>
        <w:jc w:val="both"/>
        <w:textAlignment w:val="auto"/>
        <w:rPr>
          <w:rFonts w:hint="eastAsia" w:ascii="Times New Roman" w:hAnsi="Times New Roman" w:eastAsia="仿宋_GB2312"/>
          <w:i w:val="0"/>
          <w:iCs w:val="0"/>
          <w:spacing w:val="0"/>
          <w:sz w:val="32"/>
          <w:szCs w:val="32"/>
        </w:rPr>
      </w:pPr>
      <w:r>
        <w:rPr>
          <w:rFonts w:hint="eastAsia" w:ascii="Times New Roman" w:hAnsi="Times New Roman" w:eastAsia="仿宋_GB2312"/>
          <w:i w:val="0"/>
          <w:iCs w:val="0"/>
          <w:spacing w:val="0"/>
          <w:sz w:val="32"/>
          <w:szCs w:val="32"/>
        </w:rPr>
        <w:t>本单位无政府性基金预算收入支出。</w:t>
      </w:r>
    </w:p>
    <w:p w14:paraId="7DBD7061">
      <w:pPr>
        <w:pStyle w:val="13"/>
        <w:keepNext w:val="0"/>
        <w:keepLines w:val="0"/>
        <w:pageBreakBefore w:val="0"/>
        <w:widowControl w:val="0"/>
        <w:numPr>
          <w:ilvl w:val="0"/>
          <w:numId w:val="0"/>
        </w:numPr>
        <w:shd w:val="clear"/>
        <w:kinsoku/>
        <w:wordWrap/>
        <w:overflowPunct/>
        <w:topLinePunct w:val="0"/>
        <w:autoSpaceDE/>
        <w:autoSpaceDN/>
        <w:bidi w:val="0"/>
        <w:snapToGrid/>
        <w:spacing w:afterAutospacing="0" w:line="600" w:lineRule="exact"/>
        <w:ind w:firstLine="640" w:firstLineChars="200"/>
        <w:jc w:val="both"/>
        <w:textAlignment w:val="auto"/>
        <w:rPr>
          <w:rFonts w:hint="eastAsia" w:ascii="Times New Roman" w:hAnsi="Times New Roman" w:eastAsia="黑体" w:cs="黑体"/>
          <w:b w:val="0"/>
          <w:bCs/>
          <w:i w:val="0"/>
          <w:iCs w:val="0"/>
          <w:spacing w:val="0"/>
          <w:sz w:val="32"/>
          <w:szCs w:val="32"/>
        </w:rPr>
      </w:pPr>
      <w:r>
        <w:rPr>
          <w:rFonts w:hint="eastAsia" w:ascii="Times New Roman" w:hAnsi="Times New Roman" w:cs="黑体"/>
          <w:b w:val="0"/>
          <w:bCs/>
          <w:i w:val="0"/>
          <w:iCs w:val="0"/>
          <w:spacing w:val="0"/>
          <w:sz w:val="32"/>
          <w:szCs w:val="32"/>
          <w:lang w:val="en-US" w:eastAsia="zh-CN"/>
        </w:rPr>
        <w:t>九、</w:t>
      </w:r>
      <w:r>
        <w:rPr>
          <w:rFonts w:hint="eastAsia" w:ascii="Times New Roman" w:hAnsi="Times New Roman" w:eastAsia="黑体" w:cs="黑体"/>
          <w:b w:val="0"/>
          <w:bCs/>
          <w:i w:val="0"/>
          <w:iCs w:val="0"/>
          <w:spacing w:val="0"/>
          <w:sz w:val="32"/>
          <w:szCs w:val="32"/>
        </w:rPr>
        <w:t>国有资本经营预算收入支出决算情况说明</w:t>
      </w:r>
    </w:p>
    <w:p w14:paraId="3DF885AC">
      <w:pPr>
        <w:pStyle w:val="13"/>
        <w:keepNext w:val="0"/>
        <w:keepLines w:val="0"/>
        <w:pageBreakBefore w:val="0"/>
        <w:widowControl w:val="0"/>
        <w:shd w:val="clear"/>
        <w:kinsoku/>
        <w:wordWrap/>
        <w:overflowPunct/>
        <w:topLinePunct w:val="0"/>
        <w:autoSpaceDE/>
        <w:autoSpaceDN/>
        <w:bidi w:val="0"/>
        <w:snapToGrid/>
        <w:spacing w:afterAutospacing="0" w:line="600" w:lineRule="exact"/>
        <w:ind w:firstLine="640" w:firstLineChars="200"/>
        <w:jc w:val="both"/>
        <w:textAlignment w:val="auto"/>
        <w:rPr>
          <w:rFonts w:hint="eastAsia" w:ascii="Times New Roman" w:hAnsi="Times New Roman" w:eastAsia="仿宋_GB2312"/>
          <w:i w:val="0"/>
          <w:iCs w:val="0"/>
          <w:spacing w:val="0"/>
          <w:sz w:val="32"/>
          <w:szCs w:val="32"/>
        </w:rPr>
      </w:pPr>
      <w:r>
        <w:rPr>
          <w:rFonts w:hint="eastAsia" w:ascii="Times New Roman" w:hAnsi="Times New Roman" w:eastAsia="仿宋_GB2312"/>
          <w:i w:val="0"/>
          <w:iCs w:val="0"/>
          <w:spacing w:val="0"/>
          <w:sz w:val="32"/>
          <w:szCs w:val="32"/>
        </w:rPr>
        <w:t>本单位无政府性基金预算收入支出。</w:t>
      </w:r>
    </w:p>
    <w:p w14:paraId="1E618AB7">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sz w:val="32"/>
          <w:szCs w:val="32"/>
        </w:rPr>
      </w:pPr>
      <w:r>
        <w:rPr>
          <w:rFonts w:hint="eastAsia" w:ascii="Times New Roman" w:hAnsi="Times New Roman" w:cs="Times New Roman"/>
          <w:bCs/>
          <w:i w:val="0"/>
          <w:iCs w:val="0"/>
          <w:sz w:val="32"/>
          <w:szCs w:val="32"/>
          <w:lang w:eastAsia="zh-CN"/>
        </w:rPr>
        <w:t>十、</w:t>
      </w:r>
      <w:r>
        <w:rPr>
          <w:rFonts w:ascii="Times New Roman" w:hAnsi="Times New Roman" w:cs="Times New Roman"/>
          <w:bCs/>
          <w:i w:val="0"/>
          <w:iCs w:val="0"/>
          <w:sz w:val="32"/>
          <w:szCs w:val="32"/>
        </w:rPr>
        <w:t>关于机关运行经费支出说明</w:t>
      </w:r>
    </w:p>
    <w:p w14:paraId="576E3FF9">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sz w:val="32"/>
          <w:szCs w:val="32"/>
        </w:rPr>
      </w:pPr>
      <w:r>
        <w:rPr>
          <w:rFonts w:ascii="Times New Roman" w:hAnsi="Times New Roman" w:eastAsia="仿宋_GB2312" w:cs="Times New Roman"/>
          <w:i w:val="0"/>
          <w:iCs w:val="0"/>
          <w:sz w:val="32"/>
          <w:szCs w:val="32"/>
        </w:rPr>
        <w:t>本部门202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年度机关运行经费支出</w:t>
      </w:r>
      <w:r>
        <w:rPr>
          <w:rFonts w:hint="eastAsia" w:ascii="Times New Roman" w:hAnsi="Times New Roman" w:eastAsia="仿宋_GB2312" w:cs="Times New Roman"/>
          <w:i w:val="0"/>
          <w:iCs w:val="0"/>
          <w:sz w:val="32"/>
          <w:szCs w:val="32"/>
          <w:lang w:val="en-US" w:eastAsia="zh-CN"/>
        </w:rPr>
        <w:t>46.54</w:t>
      </w:r>
      <w:r>
        <w:rPr>
          <w:rFonts w:ascii="Times New Roman" w:hAnsi="Times New Roman" w:eastAsia="仿宋_GB2312" w:cs="Times New Roman"/>
          <w:i w:val="0"/>
          <w:iCs w:val="0"/>
          <w:sz w:val="32"/>
          <w:szCs w:val="32"/>
        </w:rPr>
        <w:t>万元</w:t>
      </w:r>
      <w:r>
        <w:rPr>
          <w:rFonts w:hint="eastAsia" w:ascii="Times New Roman" w:hAnsi="Times New Roman" w:eastAsia="楷体_GB2312" w:cs="Times New Roman"/>
          <w:b/>
          <w:bCs/>
          <w:i w:val="0"/>
          <w:iCs w:val="0"/>
          <w:color w:val="auto"/>
          <w:sz w:val="32"/>
          <w:szCs w:val="32"/>
          <w:lang w:val="en-US" w:eastAsia="zh-CN"/>
        </w:rPr>
        <w:t>.</w:t>
      </w:r>
      <w:r>
        <w:rPr>
          <w:rFonts w:ascii="Times New Roman" w:hAnsi="Times New Roman" w:eastAsia="仿宋_GB2312" w:cs="Times New Roman"/>
          <w:i w:val="0"/>
          <w:iCs w:val="0"/>
          <w:sz w:val="32"/>
          <w:szCs w:val="32"/>
        </w:rPr>
        <w:t>比上年决算数</w:t>
      </w:r>
      <w:r>
        <w:rPr>
          <w:rFonts w:hint="eastAsia" w:ascii="Times New Roman" w:hAnsi="Times New Roman" w:eastAsia="仿宋_GB2312" w:cs="Times New Roman"/>
          <w:i w:val="0"/>
          <w:iCs w:val="0"/>
          <w:sz w:val="32"/>
          <w:szCs w:val="32"/>
          <w:lang w:eastAsia="zh-CN"/>
        </w:rPr>
        <w:t>增加</w:t>
      </w:r>
      <w:r>
        <w:rPr>
          <w:rFonts w:hint="eastAsia" w:ascii="Times New Roman" w:hAnsi="Times New Roman" w:eastAsia="仿宋_GB2312" w:cs="Times New Roman"/>
          <w:i w:val="0"/>
          <w:iCs w:val="0"/>
          <w:sz w:val="32"/>
          <w:szCs w:val="32"/>
          <w:lang w:val="en-US" w:eastAsia="zh-CN"/>
        </w:rPr>
        <w:t>7.56</w:t>
      </w:r>
      <w:r>
        <w:rPr>
          <w:rFonts w:ascii="Times New Roman" w:hAnsi="Times New Roman" w:eastAsia="仿宋_GB2312" w:cs="Times New Roman"/>
          <w:i w:val="0"/>
          <w:iCs w:val="0"/>
          <w:sz w:val="32"/>
          <w:szCs w:val="32"/>
        </w:rPr>
        <w:t>万元，增长</w:t>
      </w:r>
      <w:r>
        <w:rPr>
          <w:rFonts w:hint="eastAsia" w:ascii="Times New Roman" w:hAnsi="Times New Roman" w:eastAsia="仿宋_GB2312" w:cs="Times New Roman"/>
          <w:i w:val="0"/>
          <w:iCs w:val="0"/>
          <w:sz w:val="32"/>
          <w:szCs w:val="32"/>
          <w:lang w:val="en-US" w:eastAsia="zh-CN"/>
        </w:rPr>
        <w:t>19.39</w:t>
      </w:r>
      <w:r>
        <w:rPr>
          <w:rFonts w:ascii="Times New Roman" w:hAnsi="Times New Roman" w:eastAsia="仿宋_GB2312" w:cs="Times New Roman"/>
          <w:i w:val="0"/>
          <w:iCs w:val="0"/>
          <w:sz w:val="32"/>
          <w:szCs w:val="32"/>
        </w:rPr>
        <w:t>%。主要原因是：</w:t>
      </w:r>
      <w:r>
        <w:rPr>
          <w:rFonts w:hint="eastAsia" w:ascii="Times New Roman" w:hAnsi="Times New Roman" w:eastAsia="仿宋_GB2312" w:cs="Times New Roman"/>
          <w:i w:val="0"/>
          <w:iCs w:val="0"/>
          <w:sz w:val="32"/>
          <w:szCs w:val="32"/>
        </w:rPr>
        <w:t>办公设施设备购置经费增加</w:t>
      </w:r>
      <w:r>
        <w:rPr>
          <w:rFonts w:hint="eastAsia" w:ascii="Times New Roman" w:hAnsi="Times New Roman" w:eastAsia="仿宋_GB2312" w:cs="Times New Roman"/>
          <w:i w:val="0"/>
          <w:iCs w:val="0"/>
          <w:sz w:val="32"/>
          <w:szCs w:val="32"/>
          <w:lang w:eastAsia="zh-CN"/>
        </w:rPr>
        <w:t>、</w:t>
      </w:r>
      <w:r>
        <w:rPr>
          <w:rFonts w:hint="eastAsia" w:ascii="Times New Roman" w:hAnsi="Times New Roman" w:eastAsia="仿宋_GB2312" w:cs="Times New Roman"/>
          <w:i w:val="0"/>
          <w:iCs w:val="0"/>
          <w:sz w:val="32"/>
          <w:szCs w:val="32"/>
        </w:rPr>
        <w:t>信息系统运行维护支出增加</w:t>
      </w:r>
      <w:r>
        <w:rPr>
          <w:rFonts w:hint="eastAsia" w:ascii="Times New Roman" w:hAnsi="Times New Roman" w:eastAsia="仿宋_GB2312" w:cs="Times New Roman"/>
          <w:i w:val="0"/>
          <w:iCs w:val="0"/>
          <w:sz w:val="32"/>
          <w:szCs w:val="32"/>
          <w:lang w:eastAsia="zh-CN"/>
        </w:rPr>
        <w:t>。</w:t>
      </w:r>
    </w:p>
    <w:p w14:paraId="3F83004E">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sz w:val="32"/>
          <w:szCs w:val="32"/>
        </w:rPr>
      </w:pPr>
      <w:r>
        <w:rPr>
          <w:rFonts w:ascii="Times New Roman" w:hAnsi="Times New Roman" w:cs="Times New Roman"/>
          <w:bCs/>
          <w:i w:val="0"/>
          <w:iCs w:val="0"/>
          <w:sz w:val="32"/>
          <w:szCs w:val="32"/>
        </w:rPr>
        <w:t>十、一般性支出情况说明</w:t>
      </w:r>
    </w:p>
    <w:p w14:paraId="12D8367E">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i w:val="0"/>
          <w:iCs w:val="0"/>
          <w:sz w:val="32"/>
          <w:szCs w:val="32"/>
          <w:lang w:val="en-US" w:eastAsia="zh-CN"/>
        </w:rPr>
      </w:pP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年本部门开支会议费</w:t>
      </w:r>
      <w:r>
        <w:rPr>
          <w:rFonts w:hint="eastAsia" w:ascii="Times New Roman" w:hAnsi="Times New Roman" w:eastAsia="仿宋_GB2312" w:cs="Times New Roman"/>
          <w:i w:val="0"/>
          <w:iCs w:val="0"/>
          <w:sz w:val="32"/>
          <w:szCs w:val="32"/>
          <w:lang w:val="en-US" w:eastAsia="zh-CN"/>
        </w:rPr>
        <w:t>12.69</w:t>
      </w:r>
      <w:r>
        <w:rPr>
          <w:rFonts w:ascii="Times New Roman" w:hAnsi="Times New Roman" w:eastAsia="仿宋_GB2312" w:cs="Times New Roman"/>
          <w:i w:val="0"/>
          <w:iCs w:val="0"/>
          <w:sz w:val="32"/>
          <w:szCs w:val="32"/>
        </w:rPr>
        <w:t>万元，用于召开</w:t>
      </w:r>
      <w:r>
        <w:rPr>
          <w:rFonts w:hint="eastAsia" w:ascii="Times New Roman" w:hAnsi="Times New Roman" w:eastAsia="仿宋_GB2312" w:cs="Times New Roman"/>
          <w:i w:val="0"/>
          <w:iCs w:val="0"/>
          <w:sz w:val="32"/>
          <w:szCs w:val="32"/>
        </w:rPr>
        <w:t>湖南省首场医保数据定向发布</w:t>
      </w:r>
      <w:r>
        <w:rPr>
          <w:rFonts w:ascii="Times New Roman" w:hAnsi="Times New Roman" w:eastAsia="仿宋_GB2312" w:cs="Times New Roman"/>
          <w:i w:val="0"/>
          <w:iCs w:val="0"/>
          <w:sz w:val="32"/>
          <w:szCs w:val="32"/>
        </w:rPr>
        <w:t>会议，人数</w:t>
      </w:r>
      <w:r>
        <w:rPr>
          <w:rFonts w:hint="eastAsia" w:ascii="Times New Roman" w:hAnsi="Times New Roman" w:eastAsia="仿宋_GB2312" w:cs="Times New Roman"/>
          <w:i w:val="0"/>
          <w:iCs w:val="0"/>
          <w:sz w:val="32"/>
          <w:szCs w:val="32"/>
          <w:lang w:val="en-US" w:eastAsia="zh-CN"/>
        </w:rPr>
        <w:t>50</w:t>
      </w:r>
      <w:r>
        <w:rPr>
          <w:rFonts w:ascii="Times New Roman" w:hAnsi="Times New Roman" w:eastAsia="仿宋_GB2312" w:cs="Times New Roman"/>
          <w:i w:val="0"/>
          <w:iCs w:val="0"/>
          <w:sz w:val="32"/>
          <w:szCs w:val="32"/>
        </w:rPr>
        <w:t>人，内容为</w:t>
      </w:r>
      <w:r>
        <w:rPr>
          <w:rFonts w:hint="eastAsia" w:ascii="Times New Roman" w:hAnsi="Times New Roman" w:eastAsia="仿宋_GB2312" w:cs="Times New Roman"/>
          <w:i w:val="0"/>
          <w:iCs w:val="0"/>
          <w:sz w:val="32"/>
          <w:szCs w:val="32"/>
          <w:lang w:eastAsia="zh-CN"/>
        </w:rPr>
        <w:t>医保数据定向发布</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2025年度省级医疗保障基金飞行检查</w:t>
      </w:r>
      <w:r>
        <w:rPr>
          <w:rFonts w:hint="eastAsia" w:ascii="Times New Roman" w:hAnsi="Times New Roman" w:eastAsia="仿宋_GB2312" w:cs="Times New Roman"/>
          <w:i w:val="0"/>
          <w:iCs w:val="0"/>
          <w:sz w:val="32"/>
          <w:szCs w:val="32"/>
          <w:lang w:eastAsia="zh-CN"/>
        </w:rPr>
        <w:t>会议，</w:t>
      </w:r>
      <w:r>
        <w:rPr>
          <w:rFonts w:ascii="Times New Roman" w:hAnsi="Times New Roman" w:eastAsia="仿宋_GB2312" w:cs="Times New Roman"/>
          <w:i w:val="0"/>
          <w:iCs w:val="0"/>
          <w:sz w:val="32"/>
          <w:szCs w:val="32"/>
        </w:rPr>
        <w:t>人数</w:t>
      </w:r>
      <w:r>
        <w:rPr>
          <w:rFonts w:hint="eastAsia" w:ascii="Times New Roman" w:hAnsi="Times New Roman" w:eastAsia="仿宋_GB2312" w:cs="Times New Roman"/>
          <w:i w:val="0"/>
          <w:iCs w:val="0"/>
          <w:sz w:val="32"/>
          <w:szCs w:val="32"/>
          <w:lang w:val="en-US" w:eastAsia="zh-CN"/>
        </w:rPr>
        <w:t>50</w:t>
      </w:r>
      <w:r>
        <w:rPr>
          <w:rFonts w:ascii="Times New Roman" w:hAnsi="Times New Roman" w:eastAsia="仿宋_GB2312" w:cs="Times New Roman"/>
          <w:i w:val="0"/>
          <w:iCs w:val="0"/>
          <w:sz w:val="32"/>
          <w:szCs w:val="32"/>
        </w:rPr>
        <w:t>人，内容为</w:t>
      </w:r>
      <w:r>
        <w:rPr>
          <w:rFonts w:hint="eastAsia" w:ascii="Times New Roman" w:hAnsi="Times New Roman" w:eastAsia="仿宋_GB2312" w:cs="Times New Roman"/>
          <w:i w:val="0"/>
          <w:iCs w:val="0"/>
          <w:sz w:val="32"/>
          <w:szCs w:val="32"/>
          <w:lang w:eastAsia="zh-CN"/>
        </w:rPr>
        <w:t>医保基金飞行检查</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推进门诊统筹综合试点改革试点工作座谈</w:t>
      </w:r>
      <w:r>
        <w:rPr>
          <w:rFonts w:hint="eastAsia" w:ascii="Times New Roman" w:hAnsi="Times New Roman" w:eastAsia="仿宋_GB2312" w:cs="Times New Roman"/>
          <w:i w:val="0"/>
          <w:iCs w:val="0"/>
          <w:sz w:val="32"/>
          <w:szCs w:val="32"/>
          <w:lang w:eastAsia="zh-CN"/>
        </w:rPr>
        <w:t>，人数</w:t>
      </w:r>
      <w:r>
        <w:rPr>
          <w:rFonts w:hint="eastAsia" w:ascii="Times New Roman" w:hAnsi="Times New Roman" w:eastAsia="仿宋_GB2312" w:cs="Times New Roman"/>
          <w:i w:val="0"/>
          <w:iCs w:val="0"/>
          <w:sz w:val="32"/>
          <w:szCs w:val="32"/>
          <w:lang w:val="en-US" w:eastAsia="zh-CN"/>
        </w:rPr>
        <w:t>30人，内容为</w:t>
      </w:r>
      <w:r>
        <w:rPr>
          <w:rFonts w:hint="eastAsia" w:ascii="Times New Roman" w:hAnsi="Times New Roman" w:eastAsia="仿宋_GB2312" w:cs="Times New Roman"/>
          <w:i w:val="0"/>
          <w:iCs w:val="0"/>
          <w:sz w:val="32"/>
          <w:szCs w:val="32"/>
        </w:rPr>
        <w:t>门诊统筹综合试点改革</w:t>
      </w:r>
      <w:r>
        <w:rPr>
          <w:rFonts w:hint="eastAsia" w:ascii="Times New Roman" w:hAnsi="Times New Roman" w:eastAsia="仿宋_GB2312" w:cs="Times New Roman"/>
          <w:i w:val="0"/>
          <w:iCs w:val="0"/>
          <w:sz w:val="32"/>
          <w:szCs w:val="32"/>
          <w:lang w:eastAsia="zh-CN"/>
        </w:rPr>
        <w:t>部署</w:t>
      </w:r>
      <w:r>
        <w:rPr>
          <w:rFonts w:hint="eastAsia" w:ascii="Times New Roman" w:hAnsi="Times New Roman" w:eastAsia="仿宋_GB2312" w:cs="Times New Roman"/>
          <w:i w:val="0"/>
          <w:iCs w:val="0"/>
          <w:sz w:val="32"/>
          <w:szCs w:val="32"/>
          <w:lang w:val="en-US" w:eastAsia="zh-CN"/>
        </w:rPr>
        <w:t>；强化监管降低不合理住院率推进会，人数为45人，内容为降低不合理住院率工作部署；电子处方应用工作会，人数40人，内容为电子处方应用相关工作部署；全市深化医疗保障改革会议，人数50人，内容为全市深化医疗保障改革相关工作部署等会议。</w:t>
      </w:r>
    </w:p>
    <w:p w14:paraId="43ED1211">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i w:val="0"/>
          <w:iCs w:val="0"/>
          <w:sz w:val="32"/>
          <w:szCs w:val="32"/>
          <w:lang w:val="en-US" w:eastAsia="zh-CN"/>
        </w:rPr>
      </w:pPr>
      <w:r>
        <w:rPr>
          <w:rFonts w:ascii="Times New Roman" w:hAnsi="Times New Roman" w:eastAsia="仿宋_GB2312" w:cs="Times New Roman"/>
          <w:i w:val="0"/>
          <w:iCs w:val="0"/>
          <w:sz w:val="32"/>
          <w:szCs w:val="32"/>
        </w:rPr>
        <w:t>开支培训费</w:t>
      </w:r>
      <w:r>
        <w:rPr>
          <w:rFonts w:hint="eastAsia" w:ascii="Times New Roman" w:hAnsi="Times New Roman" w:eastAsia="仿宋_GB2312" w:cs="Times New Roman"/>
          <w:i w:val="0"/>
          <w:iCs w:val="0"/>
          <w:sz w:val="32"/>
          <w:szCs w:val="32"/>
          <w:lang w:val="en-US" w:eastAsia="zh-CN"/>
        </w:rPr>
        <w:t>4.19</w:t>
      </w:r>
      <w:r>
        <w:rPr>
          <w:rFonts w:ascii="Times New Roman" w:hAnsi="Times New Roman" w:eastAsia="仿宋_GB2312" w:cs="Times New Roman"/>
          <w:i w:val="0"/>
          <w:iCs w:val="0"/>
          <w:sz w:val="32"/>
          <w:szCs w:val="32"/>
        </w:rPr>
        <w:t>万元，用于开展</w:t>
      </w:r>
      <w:r>
        <w:rPr>
          <w:rFonts w:hint="eastAsia" w:ascii="Times New Roman" w:hAnsi="Times New Roman" w:eastAsia="仿宋_GB2312" w:cs="Times New Roman"/>
          <w:i w:val="0"/>
          <w:iCs w:val="0"/>
          <w:sz w:val="32"/>
          <w:szCs w:val="32"/>
        </w:rPr>
        <w:t>加快推进基层门诊统筹综合改革试点视频培训</w:t>
      </w:r>
      <w:r>
        <w:rPr>
          <w:rFonts w:ascii="Times New Roman" w:hAnsi="Times New Roman" w:eastAsia="仿宋_GB2312" w:cs="Times New Roman"/>
          <w:i w:val="0"/>
          <w:iCs w:val="0"/>
          <w:sz w:val="32"/>
          <w:szCs w:val="32"/>
        </w:rPr>
        <w:t>，人数</w:t>
      </w:r>
      <w:r>
        <w:rPr>
          <w:rFonts w:hint="eastAsia" w:ascii="Times New Roman" w:hAnsi="Times New Roman" w:eastAsia="仿宋_GB2312" w:cs="Times New Roman"/>
          <w:i w:val="0"/>
          <w:iCs w:val="0"/>
          <w:sz w:val="32"/>
          <w:szCs w:val="32"/>
          <w:lang w:val="en-US" w:eastAsia="zh-CN"/>
        </w:rPr>
        <w:t>80</w:t>
      </w:r>
      <w:r>
        <w:rPr>
          <w:rFonts w:ascii="Times New Roman" w:hAnsi="Times New Roman" w:eastAsia="仿宋_GB2312" w:cs="Times New Roman"/>
          <w:i w:val="0"/>
          <w:iCs w:val="0"/>
          <w:sz w:val="32"/>
          <w:szCs w:val="32"/>
        </w:rPr>
        <w:t>人，内容为</w:t>
      </w:r>
      <w:r>
        <w:rPr>
          <w:rFonts w:hint="eastAsia" w:ascii="Times New Roman" w:hAnsi="Times New Roman" w:eastAsia="仿宋_GB2312" w:cs="Times New Roman"/>
          <w:i w:val="0"/>
          <w:iCs w:val="0"/>
          <w:sz w:val="32"/>
          <w:szCs w:val="32"/>
        </w:rPr>
        <w:t>推进基层门诊统筹综合改革</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rPr>
        <w:t>基层医保服务终端和查房终端使用培训</w:t>
      </w:r>
      <w:r>
        <w:rPr>
          <w:rFonts w:hint="eastAsia" w:ascii="Times New Roman" w:hAnsi="Times New Roman" w:eastAsia="仿宋_GB2312" w:cs="Times New Roman"/>
          <w:i w:val="0"/>
          <w:iCs w:val="0"/>
          <w:sz w:val="32"/>
          <w:szCs w:val="32"/>
          <w:lang w:eastAsia="zh-CN"/>
        </w:rPr>
        <w:t>，人数</w:t>
      </w:r>
      <w:r>
        <w:rPr>
          <w:rFonts w:hint="eastAsia" w:ascii="Times New Roman" w:hAnsi="Times New Roman" w:eastAsia="仿宋_GB2312" w:cs="Times New Roman"/>
          <w:i w:val="0"/>
          <w:iCs w:val="0"/>
          <w:sz w:val="32"/>
          <w:szCs w:val="32"/>
          <w:lang w:val="en-US" w:eastAsia="zh-CN"/>
        </w:rPr>
        <w:t>90人，</w:t>
      </w:r>
      <w:r>
        <w:rPr>
          <w:rFonts w:ascii="Times New Roman" w:hAnsi="Times New Roman" w:eastAsia="仿宋_GB2312" w:cs="Times New Roman"/>
          <w:i w:val="0"/>
          <w:iCs w:val="0"/>
          <w:sz w:val="32"/>
          <w:szCs w:val="32"/>
        </w:rPr>
        <w:t>内容为</w:t>
      </w:r>
      <w:r>
        <w:rPr>
          <w:rFonts w:hint="eastAsia" w:ascii="Times New Roman" w:hAnsi="Times New Roman" w:eastAsia="仿宋_GB2312" w:cs="Times New Roman"/>
          <w:i w:val="0"/>
          <w:iCs w:val="0"/>
          <w:sz w:val="32"/>
          <w:szCs w:val="32"/>
        </w:rPr>
        <w:t>基层医保服务终端和查房终端使用</w:t>
      </w:r>
      <w:r>
        <w:rPr>
          <w:rFonts w:hint="eastAsia" w:ascii="Times New Roman" w:hAnsi="Times New Roman" w:eastAsia="仿宋_GB2312" w:cs="Times New Roman"/>
          <w:i w:val="0"/>
          <w:iCs w:val="0"/>
          <w:sz w:val="32"/>
          <w:szCs w:val="32"/>
          <w:lang w:eastAsia="zh-CN"/>
        </w:rPr>
        <w:t>；</w:t>
      </w:r>
      <w:r>
        <w:rPr>
          <w:rFonts w:hint="eastAsia" w:ascii="Times New Roman" w:hAnsi="Times New Roman" w:eastAsia="仿宋_GB2312" w:cs="Times New Roman"/>
          <w:i w:val="0"/>
          <w:iCs w:val="0"/>
          <w:sz w:val="32"/>
          <w:szCs w:val="32"/>
        </w:rPr>
        <w:t>集中带量采购结余留用资金测算拨付业务培训</w:t>
      </w:r>
      <w:r>
        <w:rPr>
          <w:rFonts w:hint="eastAsia" w:ascii="Times New Roman" w:hAnsi="Times New Roman" w:eastAsia="仿宋_GB2312" w:cs="Times New Roman"/>
          <w:i w:val="0"/>
          <w:iCs w:val="0"/>
          <w:sz w:val="32"/>
          <w:szCs w:val="32"/>
          <w:lang w:eastAsia="zh-CN"/>
        </w:rPr>
        <w:t>，人数</w:t>
      </w:r>
      <w:r>
        <w:rPr>
          <w:rFonts w:hint="eastAsia" w:ascii="Times New Roman" w:hAnsi="Times New Roman" w:eastAsia="仿宋_GB2312" w:cs="Times New Roman"/>
          <w:i w:val="0"/>
          <w:iCs w:val="0"/>
          <w:sz w:val="32"/>
          <w:szCs w:val="32"/>
          <w:lang w:val="en-US" w:eastAsia="zh-CN"/>
        </w:rPr>
        <w:t>65人，内容为</w:t>
      </w:r>
      <w:r>
        <w:rPr>
          <w:rFonts w:hint="eastAsia" w:ascii="Times New Roman" w:hAnsi="Times New Roman" w:eastAsia="仿宋_GB2312" w:cs="Times New Roman"/>
          <w:i w:val="0"/>
          <w:iCs w:val="0"/>
          <w:sz w:val="32"/>
          <w:szCs w:val="32"/>
        </w:rPr>
        <w:t>集中带量采购结余留用资金测算拨付业务</w:t>
      </w:r>
      <w:r>
        <w:rPr>
          <w:rFonts w:hint="eastAsia" w:ascii="Times New Roman" w:hAnsi="Times New Roman" w:eastAsia="仿宋_GB2312" w:cs="Times New Roman"/>
          <w:i w:val="0"/>
          <w:iCs w:val="0"/>
          <w:sz w:val="32"/>
          <w:szCs w:val="32"/>
          <w:lang w:eastAsia="zh-CN"/>
        </w:rPr>
        <w:t>相关内容；</w:t>
      </w:r>
      <w:r>
        <w:rPr>
          <w:rFonts w:hint="eastAsia" w:ascii="Times New Roman" w:hAnsi="Times New Roman" w:eastAsia="仿宋_GB2312" w:cs="Times New Roman"/>
          <w:i w:val="0"/>
          <w:iCs w:val="0"/>
          <w:sz w:val="32"/>
          <w:szCs w:val="32"/>
        </w:rPr>
        <w:t>“一人一档”全民参保数据库</w:t>
      </w:r>
      <w:r>
        <w:rPr>
          <w:rFonts w:hint="eastAsia" w:ascii="Times New Roman" w:hAnsi="Times New Roman" w:eastAsia="仿宋_GB2312" w:cs="Times New Roman"/>
          <w:i w:val="0"/>
          <w:iCs w:val="0"/>
          <w:sz w:val="32"/>
          <w:szCs w:val="32"/>
          <w:lang w:eastAsia="zh-CN"/>
        </w:rPr>
        <w:t>培训，人数</w:t>
      </w:r>
      <w:r>
        <w:rPr>
          <w:rFonts w:hint="eastAsia" w:ascii="Times New Roman" w:hAnsi="Times New Roman" w:eastAsia="仿宋_GB2312" w:cs="Times New Roman"/>
          <w:i w:val="0"/>
          <w:iCs w:val="0"/>
          <w:sz w:val="32"/>
          <w:szCs w:val="32"/>
          <w:lang w:val="en-US" w:eastAsia="zh-CN"/>
        </w:rPr>
        <w:t>105人，内容为</w:t>
      </w:r>
      <w:r>
        <w:rPr>
          <w:rFonts w:hint="eastAsia" w:ascii="Times New Roman" w:hAnsi="Times New Roman" w:eastAsia="仿宋_GB2312" w:cs="Times New Roman"/>
          <w:i w:val="0"/>
          <w:iCs w:val="0"/>
          <w:sz w:val="32"/>
          <w:szCs w:val="32"/>
        </w:rPr>
        <w:t>“一人一档”全民参保数据库</w:t>
      </w:r>
      <w:r>
        <w:rPr>
          <w:rFonts w:hint="eastAsia" w:ascii="Times New Roman" w:hAnsi="Times New Roman" w:eastAsia="仿宋_GB2312" w:cs="Times New Roman"/>
          <w:i w:val="0"/>
          <w:iCs w:val="0"/>
          <w:sz w:val="32"/>
          <w:szCs w:val="32"/>
          <w:lang w:eastAsia="zh-CN"/>
        </w:rPr>
        <w:t>；</w:t>
      </w:r>
      <w:r>
        <w:rPr>
          <w:rFonts w:hint="eastAsia" w:ascii="Times New Roman" w:hAnsi="Times New Roman" w:eastAsia="仿宋_GB2312" w:cs="Times New Roman"/>
          <w:i w:val="0"/>
          <w:iCs w:val="0"/>
          <w:sz w:val="32"/>
          <w:szCs w:val="32"/>
        </w:rPr>
        <w:t>2025年全市医保基金交叉检查培训</w:t>
      </w:r>
      <w:r>
        <w:rPr>
          <w:rFonts w:hint="eastAsia" w:ascii="Times New Roman" w:hAnsi="Times New Roman" w:eastAsia="仿宋_GB2312" w:cs="Times New Roman"/>
          <w:i w:val="0"/>
          <w:iCs w:val="0"/>
          <w:sz w:val="32"/>
          <w:szCs w:val="32"/>
          <w:lang w:eastAsia="zh-CN"/>
        </w:rPr>
        <w:t>，人数</w:t>
      </w:r>
      <w:r>
        <w:rPr>
          <w:rFonts w:hint="eastAsia" w:ascii="Times New Roman" w:hAnsi="Times New Roman" w:eastAsia="仿宋_GB2312" w:cs="Times New Roman"/>
          <w:i w:val="0"/>
          <w:iCs w:val="0"/>
          <w:sz w:val="32"/>
          <w:szCs w:val="32"/>
          <w:lang w:val="en-US" w:eastAsia="zh-CN"/>
        </w:rPr>
        <w:t>60人，内容为</w:t>
      </w:r>
      <w:r>
        <w:rPr>
          <w:rFonts w:hint="eastAsia" w:ascii="Times New Roman" w:hAnsi="Times New Roman" w:eastAsia="仿宋_GB2312" w:cs="Times New Roman"/>
          <w:i w:val="0"/>
          <w:iCs w:val="0"/>
          <w:sz w:val="32"/>
          <w:szCs w:val="32"/>
        </w:rPr>
        <w:t>全市医保基金交叉检查培训</w:t>
      </w:r>
      <w:r>
        <w:rPr>
          <w:rFonts w:hint="eastAsia" w:ascii="Times New Roman" w:hAnsi="Times New Roman" w:eastAsia="仿宋_GB2312" w:cs="Times New Roman"/>
          <w:i w:val="0"/>
          <w:iCs w:val="0"/>
          <w:sz w:val="32"/>
          <w:szCs w:val="32"/>
          <w:lang w:eastAsia="zh-CN"/>
        </w:rPr>
        <w:t>；</w:t>
      </w:r>
      <w:r>
        <w:rPr>
          <w:rFonts w:hint="eastAsia" w:ascii="Times New Roman" w:hAnsi="Times New Roman" w:eastAsia="仿宋_GB2312" w:cs="Times New Roman"/>
          <w:i w:val="0"/>
          <w:iCs w:val="0"/>
          <w:sz w:val="32"/>
          <w:szCs w:val="32"/>
        </w:rPr>
        <w:t>2025年度医保刷脸结算培训</w:t>
      </w:r>
      <w:r>
        <w:rPr>
          <w:rFonts w:hint="eastAsia" w:ascii="Times New Roman" w:hAnsi="Times New Roman" w:eastAsia="仿宋_GB2312" w:cs="Times New Roman"/>
          <w:i w:val="0"/>
          <w:iCs w:val="0"/>
          <w:sz w:val="32"/>
          <w:szCs w:val="32"/>
          <w:lang w:eastAsia="zh-CN"/>
        </w:rPr>
        <w:t>，人数</w:t>
      </w:r>
      <w:r>
        <w:rPr>
          <w:rFonts w:hint="eastAsia" w:ascii="Times New Roman" w:hAnsi="Times New Roman" w:eastAsia="仿宋_GB2312" w:cs="Times New Roman"/>
          <w:i w:val="0"/>
          <w:iCs w:val="0"/>
          <w:sz w:val="32"/>
          <w:szCs w:val="32"/>
          <w:lang w:val="en-US" w:eastAsia="zh-CN"/>
        </w:rPr>
        <w:t>70人，内容为</w:t>
      </w:r>
      <w:r>
        <w:rPr>
          <w:rFonts w:hint="eastAsia" w:ascii="Times New Roman" w:hAnsi="Times New Roman" w:eastAsia="仿宋_GB2312" w:cs="Times New Roman"/>
          <w:i w:val="0"/>
          <w:iCs w:val="0"/>
          <w:sz w:val="32"/>
          <w:szCs w:val="32"/>
        </w:rPr>
        <w:t>医保刷脸结算</w:t>
      </w:r>
      <w:r>
        <w:rPr>
          <w:rFonts w:hint="eastAsia" w:ascii="Times New Roman" w:hAnsi="Times New Roman" w:eastAsia="仿宋_GB2312" w:cs="Times New Roman"/>
          <w:i w:val="0"/>
          <w:iCs w:val="0"/>
          <w:sz w:val="32"/>
          <w:szCs w:val="32"/>
          <w:lang w:eastAsia="zh-CN"/>
        </w:rPr>
        <w:t>相关内容</w:t>
      </w:r>
      <w:r>
        <w:rPr>
          <w:rFonts w:hint="eastAsia" w:ascii="Times New Roman" w:hAnsi="Times New Roman" w:eastAsia="仿宋_GB2312" w:cs="Times New Roman"/>
          <w:i w:val="0"/>
          <w:iCs w:val="0"/>
          <w:sz w:val="32"/>
          <w:szCs w:val="32"/>
        </w:rPr>
        <w:t>。全市医保政策巡回宣讲</w:t>
      </w:r>
      <w:r>
        <w:rPr>
          <w:rFonts w:hint="eastAsia" w:ascii="Times New Roman" w:hAnsi="Times New Roman" w:eastAsia="仿宋_GB2312" w:cs="Times New Roman"/>
          <w:i w:val="0"/>
          <w:iCs w:val="0"/>
          <w:sz w:val="32"/>
          <w:szCs w:val="32"/>
          <w:lang w:eastAsia="zh-CN"/>
        </w:rPr>
        <w:t>培训为，人数为</w:t>
      </w:r>
      <w:r>
        <w:rPr>
          <w:rFonts w:hint="eastAsia" w:ascii="Times New Roman" w:hAnsi="Times New Roman" w:eastAsia="仿宋_GB2312" w:cs="Times New Roman"/>
          <w:i w:val="0"/>
          <w:iCs w:val="0"/>
          <w:sz w:val="32"/>
          <w:szCs w:val="32"/>
          <w:lang w:val="en-US" w:eastAsia="zh-CN"/>
        </w:rPr>
        <w:t>300人，内容为医保政策。</w:t>
      </w:r>
    </w:p>
    <w:p w14:paraId="37F91846">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sz w:val="32"/>
          <w:szCs w:val="32"/>
        </w:rPr>
      </w:pPr>
      <w:r>
        <w:rPr>
          <w:rFonts w:ascii="Times New Roman" w:hAnsi="Times New Roman" w:cs="Times New Roman"/>
          <w:bCs/>
          <w:i w:val="0"/>
          <w:iCs w:val="0"/>
          <w:sz w:val="32"/>
          <w:szCs w:val="32"/>
        </w:rPr>
        <w:t>十一、关于政府采购支出说明</w:t>
      </w:r>
    </w:p>
    <w:p w14:paraId="48632CBF">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 w:cs="Times New Roman"/>
          <w:b/>
          <w:bCs/>
          <w:i w:val="0"/>
          <w:iCs w:val="0"/>
          <w:color w:val="auto"/>
          <w:sz w:val="32"/>
          <w:szCs w:val="32"/>
        </w:rPr>
      </w:pPr>
      <w:r>
        <w:rPr>
          <w:rFonts w:ascii="Times New Roman" w:hAnsi="Times New Roman" w:eastAsia="仿宋_GB2312" w:cs="Times New Roman"/>
          <w:i w:val="0"/>
          <w:iCs w:val="0"/>
          <w:sz w:val="32"/>
          <w:szCs w:val="32"/>
        </w:rPr>
        <w:t>本部门202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年度政府采购支出总额</w:t>
      </w:r>
      <w:r>
        <w:rPr>
          <w:rFonts w:hint="eastAsia" w:ascii="Times New Roman" w:hAnsi="Times New Roman" w:eastAsia="仿宋_GB2312" w:cs="Times New Roman"/>
          <w:i w:val="0"/>
          <w:iCs w:val="0"/>
          <w:sz w:val="32"/>
          <w:szCs w:val="32"/>
          <w:lang w:val="en-US" w:eastAsia="zh-CN"/>
        </w:rPr>
        <w:t>21.6</w:t>
      </w:r>
      <w:r>
        <w:rPr>
          <w:rFonts w:ascii="Times New Roman" w:hAnsi="Times New Roman" w:eastAsia="仿宋_GB2312" w:cs="Times New Roman"/>
          <w:i w:val="0"/>
          <w:iCs w:val="0"/>
          <w:sz w:val="32"/>
          <w:szCs w:val="32"/>
        </w:rPr>
        <w:t>万元，其中：政府采购货物支出</w:t>
      </w:r>
      <w:r>
        <w:rPr>
          <w:rFonts w:hint="eastAsia" w:ascii="Times New Roman" w:hAnsi="Times New Roman" w:eastAsia="仿宋_GB2312" w:cs="Times New Roman"/>
          <w:i w:val="0"/>
          <w:iCs w:val="0"/>
          <w:sz w:val="32"/>
          <w:szCs w:val="32"/>
          <w:lang w:val="en-US" w:eastAsia="zh-CN"/>
        </w:rPr>
        <w:t>21.6</w:t>
      </w:r>
      <w:r>
        <w:rPr>
          <w:rFonts w:ascii="Times New Roman" w:hAnsi="Times New Roman" w:eastAsia="仿宋_GB2312" w:cs="Times New Roman"/>
          <w:i w:val="0"/>
          <w:iCs w:val="0"/>
          <w:sz w:val="32"/>
          <w:szCs w:val="32"/>
        </w:rPr>
        <w:t>万元、政府采购工程支出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万元、政府采购服务支出</w:t>
      </w:r>
      <w:r>
        <w:rPr>
          <w:rFonts w:hint="eastAsia" w:ascii="Times New Roman" w:hAnsi="Times New Roman" w:eastAsia="仿宋_GB2312" w:cs="Times New Roman"/>
          <w:i w:val="0"/>
          <w:iCs w:val="0"/>
          <w:sz w:val="32"/>
          <w:szCs w:val="32"/>
          <w:lang w:val="en-US" w:eastAsia="zh-CN"/>
        </w:rPr>
        <w:t>0</w:t>
      </w:r>
      <w:r>
        <w:rPr>
          <w:rFonts w:ascii="Times New Roman" w:hAnsi="Times New Roman" w:eastAsia="仿宋_GB2312" w:cs="Times New Roman"/>
          <w:i w:val="0"/>
          <w:iCs w:val="0"/>
          <w:sz w:val="32"/>
          <w:szCs w:val="32"/>
        </w:rPr>
        <w:t>万元。授予中小企业合同金额</w:t>
      </w:r>
      <w:r>
        <w:rPr>
          <w:rFonts w:hint="eastAsia" w:ascii="Times New Roman" w:hAnsi="Times New Roman" w:eastAsia="仿宋_GB2312" w:cs="Times New Roman"/>
          <w:i w:val="0"/>
          <w:iCs w:val="0"/>
          <w:sz w:val="32"/>
          <w:szCs w:val="32"/>
          <w:lang w:val="en-US" w:eastAsia="zh-CN"/>
        </w:rPr>
        <w:t>21.6</w:t>
      </w:r>
      <w:r>
        <w:rPr>
          <w:rFonts w:ascii="Times New Roman" w:hAnsi="Times New Roman" w:eastAsia="仿宋_GB2312" w:cs="Times New Roman"/>
          <w:i w:val="0"/>
          <w:iCs w:val="0"/>
          <w:sz w:val="32"/>
          <w:szCs w:val="32"/>
        </w:rPr>
        <w:t>万元，占政府采购支出总额的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%，其中：授予小微企业合同金额</w:t>
      </w:r>
      <w:r>
        <w:rPr>
          <w:rFonts w:hint="eastAsia" w:ascii="Times New Roman" w:hAnsi="Times New Roman" w:eastAsia="仿宋_GB2312" w:cs="Times New Roman"/>
          <w:i w:val="0"/>
          <w:iCs w:val="0"/>
          <w:sz w:val="32"/>
          <w:szCs w:val="32"/>
          <w:lang w:val="en-US" w:eastAsia="zh-CN"/>
        </w:rPr>
        <w:t>21.6</w:t>
      </w:r>
      <w:r>
        <w:rPr>
          <w:rFonts w:ascii="Times New Roman" w:hAnsi="Times New Roman" w:eastAsia="仿宋_GB2312" w:cs="Times New Roman"/>
          <w:i w:val="0"/>
          <w:iCs w:val="0"/>
          <w:sz w:val="32"/>
          <w:szCs w:val="32"/>
        </w:rPr>
        <w:t>万元，</w:t>
      </w:r>
      <w:r>
        <w:rPr>
          <w:rFonts w:ascii="Times New Roman" w:hAnsi="Times New Roman" w:eastAsia="仿宋_GB2312" w:cs="Times New Roman"/>
          <w:i w:val="0"/>
          <w:iCs w:val="0"/>
          <w:color w:val="auto"/>
          <w:sz w:val="32"/>
          <w:szCs w:val="32"/>
        </w:rPr>
        <w:t>占授予中小企业合同金额的</w:t>
      </w:r>
      <w:r>
        <w:rPr>
          <w:rFonts w:hint="eastAsia" w:ascii="Times New Roman" w:hAnsi="Times New Roman" w:eastAsia="仿宋_GB2312" w:cs="Times New Roman"/>
          <w:i w:val="0"/>
          <w:iCs w:val="0"/>
          <w:color w:val="auto"/>
          <w:sz w:val="32"/>
          <w:szCs w:val="32"/>
          <w:lang w:val="en-US" w:eastAsia="zh-CN"/>
        </w:rPr>
        <w:t>100</w:t>
      </w:r>
      <w:r>
        <w:rPr>
          <w:rFonts w:ascii="Times New Roman" w:hAnsi="Times New Roman" w:eastAsia="仿宋_GB2312" w:cs="Times New Roman"/>
          <w:i w:val="0"/>
          <w:iCs w:val="0"/>
          <w:color w:val="auto"/>
          <w:sz w:val="32"/>
          <w:szCs w:val="32"/>
        </w:rPr>
        <w:t>%。货物采购授予中小企业合同金额占货物支出金额的</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%，工程采购授予中小企业合同金额占工程支出金额的</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%，服务采购授予中小企业合同金额占服务支出金额的</w:t>
      </w:r>
      <w:r>
        <w:rPr>
          <w:rFonts w:hint="eastAsia" w:ascii="Times New Roman" w:hAnsi="Times New Roman" w:eastAsia="仿宋_GB2312" w:cs="Times New Roman"/>
          <w:i w:val="0"/>
          <w:iCs w:val="0"/>
          <w:color w:val="auto"/>
          <w:sz w:val="32"/>
          <w:szCs w:val="32"/>
          <w:lang w:val="en-US" w:eastAsia="zh-CN"/>
        </w:rPr>
        <w:t>0</w:t>
      </w:r>
      <w:r>
        <w:rPr>
          <w:rFonts w:ascii="Times New Roman" w:hAnsi="Times New Roman" w:eastAsia="仿宋_GB2312" w:cs="Times New Roman"/>
          <w:i w:val="0"/>
          <w:iCs w:val="0"/>
          <w:color w:val="auto"/>
          <w:sz w:val="32"/>
          <w:szCs w:val="32"/>
        </w:rPr>
        <w:t>%。</w:t>
      </w:r>
      <w:r>
        <w:rPr>
          <w:rFonts w:ascii="Times New Roman" w:hAnsi="Times New Roman" w:eastAsia="楷体_GB2312" w:cs="Times New Roman"/>
          <w:b/>
          <w:bCs/>
          <w:i w:val="0"/>
          <w:iCs w:val="0"/>
          <w:color w:val="auto"/>
          <w:sz w:val="32"/>
          <w:szCs w:val="32"/>
        </w:rPr>
        <w:t>（政府采购金额的计算口径为：本部门纳入202</w:t>
      </w:r>
      <w:r>
        <w:rPr>
          <w:rFonts w:hint="eastAsia" w:ascii="Times New Roman" w:hAnsi="Times New Roman" w:eastAsia="楷体_GB2312" w:cs="Times New Roman"/>
          <w:b/>
          <w:bCs/>
          <w:i w:val="0"/>
          <w:iCs w:val="0"/>
          <w:color w:val="auto"/>
          <w:sz w:val="32"/>
          <w:szCs w:val="32"/>
          <w:lang w:val="en-US" w:eastAsia="zh-CN"/>
        </w:rPr>
        <w:t>5</w:t>
      </w:r>
      <w:r>
        <w:rPr>
          <w:rFonts w:ascii="Times New Roman" w:hAnsi="Times New Roman" w:eastAsia="楷体_GB2312" w:cs="Times New Roman"/>
          <w:b/>
          <w:bCs/>
          <w:i w:val="0"/>
          <w:iCs w:val="0"/>
          <w:color w:val="auto"/>
          <w:sz w:val="32"/>
          <w:szCs w:val="32"/>
        </w:rPr>
        <w:t>年度部门预算范围的各项政府采购支出金额之和，不包括涉密采购项目的支出金额）</w:t>
      </w:r>
    </w:p>
    <w:p w14:paraId="2F0C2E88">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color w:val="auto"/>
          <w:sz w:val="32"/>
          <w:szCs w:val="32"/>
        </w:rPr>
      </w:pPr>
      <w:r>
        <w:rPr>
          <w:rFonts w:ascii="Times New Roman" w:hAnsi="Times New Roman" w:cs="Times New Roman"/>
          <w:bCs/>
          <w:i w:val="0"/>
          <w:iCs w:val="0"/>
          <w:color w:val="auto"/>
          <w:sz w:val="32"/>
          <w:szCs w:val="32"/>
        </w:rPr>
        <w:t>十二、关于国有资产占用情况说明</w:t>
      </w:r>
    </w:p>
    <w:p w14:paraId="5E9E7AD8">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color w:val="auto"/>
          <w:sz w:val="32"/>
          <w:szCs w:val="32"/>
        </w:rPr>
      </w:pPr>
      <w:r>
        <w:rPr>
          <w:rFonts w:ascii="Times New Roman" w:hAnsi="Times New Roman" w:eastAsia="仿宋_GB2312" w:cs="Times New Roman"/>
          <w:i w:val="0"/>
          <w:iCs w:val="0"/>
          <w:color w:val="auto"/>
          <w:sz w:val="32"/>
          <w:szCs w:val="32"/>
        </w:rPr>
        <w:t>截至202</w:t>
      </w:r>
      <w:r>
        <w:rPr>
          <w:rFonts w:hint="eastAsia" w:ascii="Times New Roman" w:hAnsi="Times New Roman" w:eastAsia="仿宋_GB2312" w:cs="Times New Roman"/>
          <w:i w:val="0"/>
          <w:iCs w:val="0"/>
          <w:color w:val="auto"/>
          <w:sz w:val="32"/>
          <w:szCs w:val="32"/>
          <w:lang w:val="en-US" w:eastAsia="zh-CN"/>
        </w:rPr>
        <w:t>5</w:t>
      </w:r>
      <w:r>
        <w:rPr>
          <w:rFonts w:ascii="Times New Roman" w:hAnsi="Times New Roman" w:eastAsia="仿宋_GB2312" w:cs="Times New Roman"/>
          <w:i w:val="0"/>
          <w:iCs w:val="0"/>
          <w:color w:val="auto"/>
          <w:sz w:val="32"/>
          <w:szCs w:val="32"/>
        </w:rPr>
        <w:t>年12月31日，部门（单位）共有车辆</w:t>
      </w:r>
      <w:r>
        <w:rPr>
          <w:rFonts w:hint="eastAsia" w:ascii="Times New Roman" w:hAnsi="Times New Roman" w:eastAsia="仿宋_GB2312" w:cs="Times New Roman"/>
          <w:i w:val="0"/>
          <w:iCs w:val="0"/>
          <w:color w:val="auto"/>
          <w:sz w:val="32"/>
          <w:szCs w:val="32"/>
          <w:lang w:val="en-US" w:eastAsia="zh-CN"/>
        </w:rPr>
        <w:t>1</w:t>
      </w:r>
      <w:r>
        <w:rPr>
          <w:rFonts w:ascii="Times New Roman" w:hAnsi="Times New Roman" w:eastAsia="仿宋_GB2312" w:cs="Times New Roman"/>
          <w:i w:val="0"/>
          <w:iCs w:val="0"/>
          <w:color w:val="auto"/>
          <w:sz w:val="32"/>
          <w:szCs w:val="32"/>
        </w:rPr>
        <w:t>辆，其中，</w:t>
      </w:r>
      <w:r>
        <w:rPr>
          <w:rFonts w:hint="eastAsia" w:ascii="Times New Roman" w:hAnsi="Times New Roman" w:eastAsia="仿宋_GB2312"/>
          <w:i w:val="0"/>
          <w:iCs w:val="0"/>
          <w:spacing w:val="0"/>
          <w:sz w:val="32"/>
          <w:szCs w:val="32"/>
        </w:rPr>
        <w:t>其他用车</w:t>
      </w:r>
      <w:r>
        <w:rPr>
          <w:rFonts w:hint="eastAsia" w:ascii="Times New Roman" w:hAnsi="Times New Roman" w:eastAsia="仿宋_GB2312"/>
          <w:i w:val="0"/>
          <w:iCs w:val="0"/>
          <w:spacing w:val="0"/>
          <w:sz w:val="32"/>
          <w:szCs w:val="32"/>
          <w:lang w:val="en-US" w:eastAsia="zh-CN"/>
        </w:rPr>
        <w:t>1</w:t>
      </w:r>
      <w:r>
        <w:rPr>
          <w:rFonts w:hint="eastAsia" w:ascii="Times New Roman" w:hAnsi="Times New Roman" w:eastAsia="仿宋_GB2312"/>
          <w:i w:val="0"/>
          <w:iCs w:val="0"/>
          <w:spacing w:val="0"/>
          <w:sz w:val="32"/>
          <w:szCs w:val="32"/>
        </w:rPr>
        <w:t>辆，其他用车主要是</w:t>
      </w:r>
      <w:r>
        <w:rPr>
          <w:rFonts w:hint="eastAsia" w:ascii="Times New Roman" w:hAnsi="Times New Roman" w:eastAsia="仿宋_GB2312"/>
          <w:i w:val="0"/>
          <w:iCs w:val="0"/>
          <w:spacing w:val="0"/>
          <w:sz w:val="32"/>
          <w:szCs w:val="32"/>
          <w:lang w:val="en-US" w:eastAsia="zh-CN"/>
        </w:rPr>
        <w:t>用于单位日常工作派车</w:t>
      </w:r>
      <w:r>
        <w:rPr>
          <w:rFonts w:hint="eastAsia" w:ascii="Times New Roman" w:hAnsi="Times New Roman" w:eastAsia="仿宋_GB2312"/>
          <w:i w:val="0"/>
          <w:iCs w:val="0"/>
          <w:spacing w:val="0"/>
          <w:sz w:val="32"/>
          <w:szCs w:val="32"/>
        </w:rPr>
        <w:t>；</w:t>
      </w:r>
      <w:r>
        <w:rPr>
          <w:rFonts w:hint="eastAsia" w:ascii="Times New Roman" w:hAnsi="Times New Roman" w:eastAsia="仿宋_GB2312"/>
          <w:i w:val="0"/>
          <w:iCs w:val="0"/>
          <w:spacing w:val="0"/>
          <w:sz w:val="32"/>
          <w:szCs w:val="32"/>
          <w:lang w:val="en-US" w:eastAsia="zh-CN"/>
        </w:rPr>
        <w:t>我单位无</w:t>
      </w:r>
      <w:r>
        <w:rPr>
          <w:rFonts w:hint="eastAsia" w:ascii="Times New Roman" w:hAnsi="Times New Roman" w:eastAsia="仿宋_GB2312"/>
          <w:i w:val="0"/>
          <w:iCs w:val="0"/>
          <w:spacing w:val="0"/>
          <w:sz w:val="32"/>
          <w:szCs w:val="32"/>
        </w:rPr>
        <w:t>单位价值100万元以上设备</w:t>
      </w:r>
      <w:r>
        <w:rPr>
          <w:rFonts w:hint="eastAsia" w:ascii="Times New Roman" w:hAnsi="Times New Roman" w:eastAsia="仿宋_GB2312"/>
          <w:i w:val="0"/>
          <w:iCs w:val="0"/>
          <w:spacing w:val="0"/>
          <w:sz w:val="32"/>
          <w:szCs w:val="32"/>
          <w:lang w:eastAsia="zh-CN"/>
        </w:rPr>
        <w:t>（不含车辆）</w:t>
      </w:r>
      <w:r>
        <w:rPr>
          <w:rFonts w:hint="eastAsia" w:ascii="Times New Roman" w:hAnsi="Times New Roman" w:eastAsia="仿宋_GB2312"/>
          <w:i w:val="0"/>
          <w:iCs w:val="0"/>
          <w:spacing w:val="0"/>
          <w:sz w:val="32"/>
          <w:szCs w:val="32"/>
        </w:rPr>
        <w:t>。</w:t>
      </w:r>
    </w:p>
    <w:p w14:paraId="4E22653D">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i w:val="0"/>
          <w:iCs w:val="0"/>
          <w:color w:val="auto"/>
          <w:sz w:val="32"/>
          <w:szCs w:val="32"/>
        </w:rPr>
      </w:pPr>
      <w:r>
        <w:rPr>
          <w:rFonts w:ascii="Times New Roman" w:hAnsi="Times New Roman" w:cs="Times New Roman"/>
          <w:bCs/>
          <w:i w:val="0"/>
          <w:iCs w:val="0"/>
          <w:color w:val="auto"/>
          <w:sz w:val="32"/>
          <w:szCs w:val="32"/>
        </w:rPr>
        <w:t>十三、关于</w:t>
      </w:r>
      <w:r>
        <w:rPr>
          <w:rFonts w:ascii="Times New Roman" w:hAnsi="Times New Roman" w:eastAsia="仿宋_GB2312" w:cs="Times New Roman"/>
          <w:i w:val="0"/>
          <w:iCs w:val="0"/>
          <w:color w:val="auto"/>
          <w:sz w:val="32"/>
          <w:szCs w:val="32"/>
        </w:rPr>
        <w:t>202</w:t>
      </w:r>
      <w:r>
        <w:rPr>
          <w:rFonts w:hint="eastAsia" w:ascii="Times New Roman" w:hAnsi="Times New Roman" w:eastAsia="仿宋_GB2312" w:cs="Times New Roman"/>
          <w:i w:val="0"/>
          <w:iCs w:val="0"/>
          <w:color w:val="auto"/>
          <w:sz w:val="32"/>
          <w:szCs w:val="32"/>
          <w:lang w:val="en-US" w:eastAsia="zh-CN"/>
        </w:rPr>
        <w:t>5</w:t>
      </w:r>
      <w:r>
        <w:rPr>
          <w:rFonts w:ascii="Times New Roman" w:hAnsi="Times New Roman" w:cs="Times New Roman"/>
          <w:bCs/>
          <w:i w:val="0"/>
          <w:iCs w:val="0"/>
          <w:color w:val="auto"/>
          <w:sz w:val="32"/>
          <w:szCs w:val="32"/>
        </w:rPr>
        <w:t>年度预算绩效情况的说明</w:t>
      </w:r>
    </w:p>
    <w:p w14:paraId="66775611">
      <w:pPr>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b/>
          <w:bCs/>
          <w:i w:val="0"/>
          <w:iCs w:val="0"/>
          <w:sz w:val="32"/>
          <w:szCs w:val="32"/>
          <w:lang w:eastAsia="zh-CN"/>
        </w:rPr>
      </w:pPr>
      <w:r>
        <w:rPr>
          <w:rFonts w:ascii="Times New Roman" w:hAnsi="Times New Roman" w:eastAsia="楷体_GB2312" w:cs="Times New Roman"/>
          <w:b/>
          <w:bCs/>
          <w:i w:val="0"/>
          <w:iCs w:val="0"/>
          <w:sz w:val="32"/>
          <w:szCs w:val="32"/>
        </w:rPr>
        <w:t>（一）绩效评价工作开展情况。</w:t>
      </w:r>
      <w:r>
        <w:rPr>
          <w:rFonts w:ascii="Times New Roman" w:hAnsi="Times New Roman" w:eastAsia="仿宋_GB2312" w:cs="Times New Roman"/>
          <w:b/>
          <w:bCs/>
          <w:i w:val="0"/>
          <w:iCs w:val="0"/>
          <w:kern w:val="0"/>
          <w:sz w:val="32"/>
          <w:szCs w:val="32"/>
        </w:rPr>
        <w:t>一是绩效自评开展情况。</w:t>
      </w:r>
      <w:r>
        <w:rPr>
          <w:rFonts w:ascii="Times New Roman" w:hAnsi="Times New Roman" w:eastAsia="仿宋_GB2312" w:cs="Times New Roman"/>
          <w:i w:val="0"/>
          <w:iCs w:val="0"/>
          <w:kern w:val="0"/>
          <w:sz w:val="32"/>
          <w:szCs w:val="32"/>
        </w:rPr>
        <w:t>组织对202</w:t>
      </w:r>
      <w:r>
        <w:rPr>
          <w:rFonts w:hint="eastAsia" w:ascii="Times New Roman" w:hAnsi="Times New Roman" w:eastAsia="仿宋_GB2312" w:cs="Times New Roman"/>
          <w:i w:val="0"/>
          <w:iCs w:val="0"/>
          <w:kern w:val="0"/>
          <w:sz w:val="32"/>
          <w:szCs w:val="32"/>
          <w:lang w:val="en-US" w:eastAsia="zh-CN"/>
        </w:rPr>
        <w:t>5</w:t>
      </w:r>
      <w:r>
        <w:rPr>
          <w:rFonts w:ascii="Times New Roman" w:hAnsi="Times New Roman" w:eastAsia="仿宋_GB2312" w:cs="Times New Roman"/>
          <w:i w:val="0"/>
          <w:iCs w:val="0"/>
          <w:kern w:val="0"/>
          <w:sz w:val="32"/>
          <w:szCs w:val="32"/>
        </w:rPr>
        <w:t>年度本部门（单位）整体支出开展绩效自评，涉及项目</w:t>
      </w:r>
      <w:r>
        <w:rPr>
          <w:rFonts w:hint="eastAsia" w:ascii="Times New Roman" w:hAnsi="Times New Roman" w:eastAsia="仿宋_GB2312" w:cs="Times New Roman"/>
          <w:i w:val="0"/>
          <w:iCs w:val="0"/>
          <w:kern w:val="0"/>
          <w:sz w:val="32"/>
          <w:szCs w:val="32"/>
          <w:lang w:val="en-US" w:eastAsia="zh-CN"/>
        </w:rPr>
        <w:t>5</w:t>
      </w:r>
      <w:r>
        <w:rPr>
          <w:rFonts w:ascii="Times New Roman" w:hAnsi="Times New Roman" w:eastAsia="仿宋_GB2312" w:cs="Times New Roman"/>
          <w:i w:val="0"/>
          <w:iCs w:val="0"/>
          <w:kern w:val="0"/>
          <w:sz w:val="32"/>
          <w:szCs w:val="32"/>
        </w:rPr>
        <w:t>个，共涉及资金</w:t>
      </w:r>
      <w:r>
        <w:rPr>
          <w:rFonts w:hint="eastAsia" w:ascii="Times New Roman" w:hAnsi="Times New Roman" w:eastAsia="仿宋_GB2312" w:cs="Times New Roman"/>
          <w:i w:val="0"/>
          <w:iCs w:val="0"/>
          <w:kern w:val="0"/>
          <w:sz w:val="32"/>
          <w:szCs w:val="32"/>
          <w:lang w:val="en-US" w:eastAsia="zh-CN"/>
        </w:rPr>
        <w:t>595.74</w:t>
      </w:r>
      <w:r>
        <w:rPr>
          <w:rFonts w:ascii="Times New Roman" w:hAnsi="Times New Roman" w:eastAsia="仿宋_GB2312" w:cs="Times New Roman"/>
          <w:i w:val="0"/>
          <w:iCs w:val="0"/>
          <w:kern w:val="0"/>
          <w:sz w:val="32"/>
          <w:szCs w:val="32"/>
        </w:rPr>
        <w:t>万元。其中，一般公共预算项目</w:t>
      </w:r>
      <w:r>
        <w:rPr>
          <w:rFonts w:hint="eastAsia" w:ascii="Times New Roman" w:hAnsi="Times New Roman" w:eastAsia="仿宋_GB2312" w:cs="Times New Roman"/>
          <w:i w:val="0"/>
          <w:iCs w:val="0"/>
          <w:kern w:val="0"/>
          <w:sz w:val="32"/>
          <w:szCs w:val="32"/>
          <w:lang w:val="en-US" w:eastAsia="zh-CN"/>
        </w:rPr>
        <w:t>5</w:t>
      </w:r>
      <w:r>
        <w:rPr>
          <w:rFonts w:ascii="Times New Roman" w:hAnsi="Times New Roman" w:eastAsia="仿宋_GB2312" w:cs="Times New Roman"/>
          <w:i w:val="0"/>
          <w:iCs w:val="0"/>
          <w:kern w:val="0"/>
          <w:sz w:val="32"/>
          <w:szCs w:val="32"/>
        </w:rPr>
        <w:t>个</w:t>
      </w:r>
      <w:r>
        <w:rPr>
          <w:rFonts w:hint="eastAsia" w:ascii="Times New Roman" w:hAnsi="Times New Roman" w:eastAsia="仿宋_GB2312" w:cs="Times New Roman"/>
          <w:i w:val="0"/>
          <w:iCs w:val="0"/>
          <w:kern w:val="0"/>
          <w:sz w:val="32"/>
          <w:szCs w:val="32"/>
          <w:lang w:val="en-US" w:eastAsia="zh-CN"/>
        </w:rPr>
        <w:t>595.74</w:t>
      </w:r>
      <w:r>
        <w:rPr>
          <w:rFonts w:ascii="Times New Roman" w:hAnsi="Times New Roman" w:eastAsia="仿宋_GB2312" w:cs="Times New Roman"/>
          <w:i w:val="0"/>
          <w:iCs w:val="0"/>
          <w:kern w:val="0"/>
          <w:sz w:val="32"/>
          <w:szCs w:val="32"/>
        </w:rPr>
        <w:t>万元，占一般公共预算支出总额的</w:t>
      </w:r>
      <w:r>
        <w:rPr>
          <w:rFonts w:hint="eastAsia" w:ascii="Times New Roman" w:hAnsi="Times New Roman" w:eastAsia="仿宋_GB2312" w:cs="Times New Roman"/>
          <w:i w:val="0"/>
          <w:iCs w:val="0"/>
          <w:kern w:val="0"/>
          <w:sz w:val="32"/>
          <w:szCs w:val="32"/>
          <w:lang w:val="en-US" w:eastAsia="zh-CN"/>
        </w:rPr>
        <w:t>100</w:t>
      </w:r>
      <w:r>
        <w:rPr>
          <w:rFonts w:ascii="Times New Roman" w:hAnsi="Times New Roman" w:eastAsia="仿宋_GB2312" w:cs="Times New Roman"/>
          <w:i w:val="0"/>
          <w:iCs w:val="0"/>
          <w:kern w:val="0"/>
          <w:sz w:val="32"/>
          <w:szCs w:val="32"/>
        </w:rPr>
        <w:t>%；</w:t>
      </w:r>
      <w:r>
        <w:rPr>
          <w:rFonts w:hint="eastAsia" w:ascii="Times New Roman" w:hAnsi="Times New Roman" w:eastAsia="仿宋_GB2312"/>
          <w:i w:val="0"/>
          <w:iCs w:val="0"/>
          <w:spacing w:val="0"/>
          <w:sz w:val="32"/>
          <w:szCs w:val="32"/>
          <w:lang w:val="en-US" w:eastAsia="zh-CN"/>
        </w:rPr>
        <w:t>我单位无政府性基金预算项目支出，无国有资本经营预算项目支出。无</w:t>
      </w:r>
      <w:r>
        <w:rPr>
          <w:rFonts w:ascii="Times New Roman" w:hAnsi="Times New Roman" w:eastAsia="仿宋_GB2312" w:cs="Times New Roman"/>
          <w:i w:val="0"/>
          <w:iCs w:val="0"/>
          <w:kern w:val="0"/>
          <w:sz w:val="32"/>
          <w:szCs w:val="32"/>
        </w:rPr>
        <w:t>社会保险基金预算项目。</w:t>
      </w:r>
      <w:r>
        <w:rPr>
          <w:rFonts w:ascii="Times New Roman" w:hAnsi="Times New Roman" w:eastAsia="仿宋_GB2312" w:cs="Times New Roman"/>
          <w:b/>
          <w:bCs/>
          <w:i w:val="0"/>
          <w:iCs w:val="0"/>
          <w:kern w:val="0"/>
          <w:sz w:val="32"/>
          <w:szCs w:val="32"/>
        </w:rPr>
        <w:t>二是部门评价开展情况。</w:t>
      </w:r>
      <w:r>
        <w:rPr>
          <w:rFonts w:hint="eastAsia" w:ascii="Times New Roman" w:hAnsi="Times New Roman" w:eastAsia="仿宋_GB2312" w:cs="Times New Roman"/>
          <w:i w:val="0"/>
          <w:iCs w:val="0"/>
          <w:kern w:val="0"/>
          <w:sz w:val="32"/>
          <w:szCs w:val="32"/>
        </w:rPr>
        <w:t>组织对所属单位2025年度“慢特病评审工作经费”“医疗保障服务能力提升”等5个项目开展了部门评价，涉及一般公共预算支出265.15万元。</w:t>
      </w:r>
    </w:p>
    <w:p w14:paraId="0B521E37">
      <w:pPr>
        <w:keepNext w:val="0"/>
        <w:keepLines w:val="0"/>
        <w:pageBreakBefore w:val="0"/>
        <w:widowControl w:val="0"/>
        <w:suppressLineNumbers w:val="0"/>
        <w:shd w:val="clear"/>
        <w:kinsoku/>
        <w:wordWrap/>
        <w:topLinePunct w:val="0"/>
        <w:autoSpaceDE/>
        <w:autoSpaceDN/>
        <w:bidi w:val="0"/>
        <w:snapToGrid/>
        <w:spacing w:line="600" w:lineRule="exact"/>
        <w:ind w:firstLine="640" w:firstLineChars="200"/>
        <w:jc w:val="both"/>
        <w:textAlignment w:val="auto"/>
        <w:rPr>
          <w:rFonts w:ascii="Times New Roman" w:hAnsi="Times New Roman" w:eastAsia="仿宋_GB2312" w:cs="Times New Roman"/>
          <w:bCs/>
          <w:i w:val="0"/>
          <w:iCs w:val="0"/>
          <w:sz w:val="32"/>
          <w:szCs w:val="32"/>
        </w:rPr>
      </w:pPr>
      <w:r>
        <w:rPr>
          <w:rFonts w:ascii="Times New Roman" w:hAnsi="Times New Roman" w:eastAsia="楷体_GB2312" w:cs="Times New Roman"/>
          <w:b/>
          <w:bCs/>
          <w:i w:val="0"/>
          <w:iCs w:val="0"/>
          <w:sz w:val="32"/>
          <w:szCs w:val="32"/>
        </w:rPr>
        <w:t>（二）绩效评价结果。</w:t>
      </w:r>
      <w:r>
        <w:rPr>
          <w:rFonts w:ascii="Times New Roman" w:hAnsi="Times New Roman" w:eastAsia="仿宋_GB2312" w:cs="Times New Roman"/>
          <w:b/>
          <w:bCs/>
          <w:i w:val="0"/>
          <w:iCs w:val="0"/>
          <w:kern w:val="0"/>
          <w:sz w:val="32"/>
          <w:szCs w:val="32"/>
        </w:rPr>
        <w:t>一是绩效自评结果。</w:t>
      </w:r>
      <w:r>
        <w:rPr>
          <w:rFonts w:ascii="Times New Roman" w:hAnsi="Times New Roman" w:eastAsia="仿宋_GB2312" w:cs="Times New Roman"/>
          <w:i w:val="0"/>
          <w:iCs w:val="0"/>
          <w:kern w:val="0"/>
          <w:sz w:val="32"/>
          <w:szCs w:val="32"/>
        </w:rPr>
        <w:t>202</w:t>
      </w:r>
      <w:r>
        <w:rPr>
          <w:rFonts w:hint="eastAsia" w:ascii="Times New Roman" w:hAnsi="Times New Roman" w:eastAsia="仿宋_GB2312" w:cs="Times New Roman"/>
          <w:i w:val="0"/>
          <w:iCs w:val="0"/>
          <w:kern w:val="0"/>
          <w:sz w:val="32"/>
          <w:szCs w:val="32"/>
          <w:lang w:val="en-US" w:eastAsia="zh-CN"/>
        </w:rPr>
        <w:t>5</w:t>
      </w:r>
      <w:r>
        <w:rPr>
          <w:rFonts w:ascii="Times New Roman" w:hAnsi="Times New Roman" w:eastAsia="仿宋_GB2312" w:cs="Times New Roman"/>
          <w:i w:val="0"/>
          <w:iCs w:val="0"/>
          <w:kern w:val="0"/>
          <w:sz w:val="32"/>
          <w:szCs w:val="32"/>
        </w:rPr>
        <w:t>年度本部门（单位）整体支出</w:t>
      </w:r>
      <w:r>
        <w:rPr>
          <w:rFonts w:ascii="Times New Roman" w:hAnsi="Times New Roman" w:eastAsia="仿宋_GB2312" w:cs="Times New Roman"/>
          <w:i w:val="0"/>
          <w:iCs w:val="0"/>
          <w:sz w:val="32"/>
          <w:szCs w:val="32"/>
        </w:rPr>
        <w:t>全年预算数</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万元，执行数</w:t>
      </w:r>
      <w:r>
        <w:rPr>
          <w:rFonts w:hint="eastAsia" w:ascii="Times New Roman" w:hAnsi="Times New Roman" w:eastAsia="仿宋_GB2312" w:cs="Times New Roman"/>
          <w:i w:val="0"/>
          <w:iCs w:val="0"/>
          <w:sz w:val="32"/>
          <w:szCs w:val="32"/>
          <w:lang w:val="en-US" w:eastAsia="zh-CN"/>
        </w:rPr>
        <w:t>990.15</w:t>
      </w:r>
      <w:r>
        <w:rPr>
          <w:rFonts w:ascii="Times New Roman" w:hAnsi="Times New Roman" w:eastAsia="仿宋_GB2312" w:cs="Times New Roman"/>
          <w:i w:val="0"/>
          <w:iCs w:val="0"/>
          <w:sz w:val="32"/>
          <w:szCs w:val="32"/>
        </w:rPr>
        <w:t>万元，完成预算的</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w:t>
      </w:r>
      <w:r>
        <w:rPr>
          <w:rFonts w:ascii="Times New Roman" w:hAnsi="Times New Roman" w:eastAsia="仿宋_GB2312" w:cs="Times New Roman"/>
          <w:i w:val="0"/>
          <w:iCs w:val="0"/>
          <w:kern w:val="0"/>
          <w:sz w:val="32"/>
          <w:szCs w:val="32"/>
        </w:rPr>
        <w:t>，绩效自评得分</w:t>
      </w:r>
      <w:r>
        <w:rPr>
          <w:rFonts w:hint="eastAsia" w:ascii="Times New Roman" w:hAnsi="Times New Roman" w:eastAsia="仿宋_GB2312" w:cs="Times New Roman"/>
          <w:i w:val="0"/>
          <w:iCs w:val="0"/>
          <w:sz w:val="32"/>
          <w:szCs w:val="32"/>
          <w:lang w:val="en-US" w:eastAsia="zh-CN"/>
        </w:rPr>
        <w:t>100</w:t>
      </w:r>
      <w:r>
        <w:rPr>
          <w:rFonts w:ascii="Times New Roman" w:hAnsi="Times New Roman" w:eastAsia="仿宋_GB2312" w:cs="Times New Roman"/>
          <w:i w:val="0"/>
          <w:iCs w:val="0"/>
          <w:sz w:val="32"/>
          <w:szCs w:val="32"/>
        </w:rPr>
        <w:t>分</w:t>
      </w:r>
      <w:r>
        <w:rPr>
          <w:rFonts w:ascii="Times New Roman" w:hAnsi="Times New Roman" w:eastAsia="仿宋_GB2312" w:cs="Times New Roman"/>
          <w:i w:val="0"/>
          <w:iCs w:val="0"/>
          <w:kern w:val="0"/>
          <w:sz w:val="32"/>
          <w:szCs w:val="32"/>
        </w:rPr>
        <w:t>，评价等级为</w:t>
      </w:r>
      <w:r>
        <w:rPr>
          <w:rFonts w:ascii="Times New Roman" w:hAnsi="Times New Roman" w:eastAsia="仿宋_GB2312" w:cs="Times New Roman"/>
          <w:i w:val="0"/>
          <w:iCs w:val="0"/>
          <w:sz w:val="32"/>
          <w:szCs w:val="32"/>
        </w:rPr>
        <w:t>“</w:t>
      </w:r>
      <w:r>
        <w:rPr>
          <w:rFonts w:hint="eastAsia" w:ascii="Times New Roman" w:hAnsi="Times New Roman" w:eastAsia="仿宋_GB2312" w:cs="Times New Roman"/>
          <w:i w:val="0"/>
          <w:iCs w:val="0"/>
          <w:sz w:val="32"/>
          <w:szCs w:val="32"/>
          <w:lang w:eastAsia="zh-CN"/>
        </w:rPr>
        <w:t>优秀</w:t>
      </w:r>
      <w:r>
        <w:rPr>
          <w:rFonts w:ascii="Times New Roman" w:hAnsi="Times New Roman" w:eastAsia="仿宋_GB2312" w:cs="Times New Roman"/>
          <w:i w:val="0"/>
          <w:iCs w:val="0"/>
          <w:sz w:val="32"/>
          <w:szCs w:val="32"/>
        </w:rPr>
        <w:t>”。绩效目标完成情况：</w:t>
      </w:r>
      <w:r>
        <w:rPr>
          <w:rFonts w:hint="default" w:ascii="Times New Roman" w:hAnsi="Times New Roman" w:eastAsia="宋体" w:cs="Times New Roman"/>
          <w:i w:val="0"/>
          <w:iCs w:val="0"/>
          <w:caps w:val="0"/>
          <w:color w:val="000000"/>
          <w:spacing w:val="0"/>
          <w:kern w:val="0"/>
          <w:sz w:val="32"/>
          <w:szCs w:val="32"/>
          <w:shd w:val="clear" w:fill="FFFFFF"/>
          <w:lang w:val="en-US" w:eastAsia="zh-CN" w:bidi="ar"/>
        </w:rPr>
        <w:t>2025</w:t>
      </w:r>
      <w:r>
        <w:rPr>
          <w:rFonts w:ascii="仿宋_GB2312" w:hAnsi="宋体" w:eastAsia="仿宋_GB2312" w:cs="仿宋_GB2312"/>
          <w:i w:val="0"/>
          <w:iCs w:val="0"/>
          <w:caps w:val="0"/>
          <w:color w:val="000000"/>
          <w:spacing w:val="0"/>
          <w:kern w:val="0"/>
          <w:sz w:val="32"/>
          <w:szCs w:val="32"/>
          <w:shd w:val="clear" w:fill="FFFFFF"/>
          <w:lang w:val="en-US" w:eastAsia="zh-CN" w:bidi="ar"/>
        </w:rPr>
        <w:t>年，单位根据年初工作规划和重点工作，在市财政局的工作部署安排下，积极履行职责，强化管理，圆满完成了年度工作目标，同时加强预算收支的管理，建立健全内部管理制度，严格内部管理流程，部门整体支出管理得到了提升。从评价情况来看，严格规范专项经费管理，在预算执行中贯彻绩效管理理念，注重资金使用绩效，所有资金使用严格按审批程序办理、操作规范，会计核算结果真实、准确，各项支出严格按照各项制度执行。</w:t>
      </w:r>
      <w:r>
        <w:rPr>
          <w:rFonts w:ascii="Times New Roman" w:hAnsi="Times New Roman" w:eastAsia="仿宋_GB2312" w:cs="Times New Roman"/>
          <w:i w:val="0"/>
          <w:iCs w:val="0"/>
          <w:sz w:val="32"/>
          <w:szCs w:val="32"/>
        </w:rPr>
        <w:t>发现的主要问题及原因：一</w:t>
      </w:r>
      <w:r>
        <w:rPr>
          <w:rFonts w:ascii="仿宋_GB2312" w:hAnsi="宋体" w:eastAsia="仿宋_GB2312" w:cs="仿宋_GB2312"/>
          <w:i w:val="0"/>
          <w:iCs w:val="0"/>
          <w:caps w:val="0"/>
          <w:color w:val="000000"/>
          <w:spacing w:val="0"/>
          <w:kern w:val="0"/>
          <w:sz w:val="32"/>
          <w:szCs w:val="32"/>
          <w:shd w:val="clear" w:fill="FFFFFF"/>
          <w:lang w:val="en-US" w:eastAsia="zh-CN" w:bidi="ar"/>
        </w:rPr>
        <w:t>是近年来虽然财政资金绩效评价工作推行得越来越广泛和深入，单位领导也越来越重视，但是绩效管理意识还未在单位形成浓厚氛围，仅限于财务管理人员，且对于绩效管理方面的知识和技能掌握也较欠缺</w:t>
      </w:r>
      <w:r>
        <w:rPr>
          <w:rFonts w:ascii="Times New Roman" w:hAnsi="Times New Roman" w:eastAsia="仿宋_GB2312" w:cs="Times New Roman"/>
          <w:i w:val="0"/>
          <w:iCs w:val="0"/>
          <w:sz w:val="32"/>
          <w:szCs w:val="32"/>
        </w:rPr>
        <w:t>；二</w:t>
      </w:r>
      <w:r>
        <w:rPr>
          <w:rFonts w:ascii="仿宋_GB2312" w:hAnsi="宋体" w:eastAsia="仿宋_GB2312" w:cs="仿宋_GB2312"/>
          <w:i w:val="0"/>
          <w:iCs w:val="0"/>
          <w:caps w:val="0"/>
          <w:color w:val="000000"/>
          <w:spacing w:val="0"/>
          <w:kern w:val="0"/>
          <w:sz w:val="32"/>
          <w:szCs w:val="32"/>
          <w:shd w:val="clear" w:fill="FFFFFF"/>
          <w:lang w:val="en-US" w:eastAsia="zh-CN" w:bidi="ar"/>
        </w:rPr>
        <w:t>是项目管理，单位对项目资金绩效评价工作的具体要求了解不够全面，对项目绩效目标的设定和各项指标的理解、认识不够全面，绩效评价的意识还有待加强</w:t>
      </w:r>
      <w:r>
        <w:rPr>
          <w:rFonts w:ascii="Times New Roman" w:hAnsi="Times New Roman" w:eastAsia="仿宋_GB2312" w:cs="Times New Roman"/>
          <w:i w:val="0"/>
          <w:iCs w:val="0"/>
          <w:sz w:val="32"/>
          <w:szCs w:val="32"/>
        </w:rPr>
        <w:t>。下一步改进措施：一</w:t>
      </w:r>
      <w:r>
        <w:rPr>
          <w:rFonts w:ascii="仿宋_GB2312" w:hAnsi="宋体" w:eastAsia="仿宋_GB2312" w:cs="仿宋_GB2312"/>
          <w:i w:val="0"/>
          <w:iCs w:val="0"/>
          <w:caps w:val="0"/>
          <w:color w:val="000000"/>
          <w:spacing w:val="0"/>
          <w:kern w:val="0"/>
          <w:sz w:val="32"/>
          <w:szCs w:val="32"/>
          <w:shd w:val="clear" w:fill="FFFFFF"/>
          <w:lang w:val="en-US" w:eastAsia="zh-CN" w:bidi="ar"/>
        </w:rPr>
        <w:t>是加大部门支出整体绩效评价工作管理宣传培训力度。我局应该进一步结合国家治理体系和治理能力现代化的建设需求，突出宣传预算绩效管理在促进单位提高绩效工作效率方面的重要作用，形成强化绩效管理的氛围</w:t>
      </w:r>
      <w:r>
        <w:rPr>
          <w:rFonts w:ascii="Times New Roman" w:hAnsi="Times New Roman" w:eastAsia="仿宋_GB2312" w:cs="Times New Roman"/>
          <w:i w:val="0"/>
          <w:iCs w:val="0"/>
          <w:sz w:val="32"/>
          <w:szCs w:val="32"/>
        </w:rPr>
        <w:t>；二是</w:t>
      </w:r>
      <w:r>
        <w:rPr>
          <w:rFonts w:ascii="仿宋_GB2312" w:hAnsi="宋体" w:eastAsia="仿宋_GB2312" w:cs="仿宋_GB2312"/>
          <w:i w:val="0"/>
          <w:iCs w:val="0"/>
          <w:caps w:val="0"/>
          <w:color w:val="000000"/>
          <w:spacing w:val="0"/>
          <w:kern w:val="0"/>
          <w:sz w:val="32"/>
          <w:szCs w:val="32"/>
          <w:shd w:val="clear" w:fill="FFFFFF"/>
          <w:lang w:val="en-US" w:eastAsia="zh-CN" w:bidi="ar"/>
        </w:rPr>
        <w:t>是增强财务人员的绩效管理意识和专业水平，提高对预算绩效目标管理的认识，充分理解财政绩效评价指标体系，注重绩效目标、评价指标的关联性，依据部门职责和年度工作重点，更加科学合理地确定部门绩效目标和评价目标</w:t>
      </w:r>
      <w:r>
        <w:rPr>
          <w:rFonts w:ascii="Times New Roman" w:hAnsi="Times New Roman" w:eastAsia="仿宋_GB2312" w:cs="Times New Roman"/>
          <w:i w:val="0"/>
          <w:iCs w:val="0"/>
          <w:kern w:val="0"/>
          <w:sz w:val="32"/>
          <w:szCs w:val="32"/>
        </w:rPr>
        <w:t>。</w:t>
      </w:r>
      <w:r>
        <w:rPr>
          <w:rFonts w:ascii="Times New Roman" w:hAnsi="Times New Roman" w:eastAsia="仿宋_GB2312" w:cs="Times New Roman"/>
          <w:b/>
          <w:bCs/>
          <w:i w:val="0"/>
          <w:iCs w:val="0"/>
          <w:kern w:val="0"/>
          <w:sz w:val="32"/>
          <w:szCs w:val="32"/>
        </w:rPr>
        <w:t>二是部门评价结果。</w:t>
      </w:r>
      <w:r>
        <w:rPr>
          <w:rFonts w:hint="default" w:ascii="Times New Roman" w:hAnsi="Times New Roman" w:eastAsia="宋体" w:cs="Times New Roman"/>
          <w:i w:val="0"/>
          <w:iCs w:val="0"/>
          <w:caps w:val="0"/>
          <w:color w:val="000000"/>
          <w:spacing w:val="0"/>
          <w:kern w:val="0"/>
          <w:sz w:val="32"/>
          <w:szCs w:val="32"/>
          <w:shd w:val="clear" w:fill="FFFFFF"/>
          <w:lang w:val="en-US" w:eastAsia="zh-CN" w:bidi="ar"/>
        </w:rPr>
        <w:t>5</w:t>
      </w:r>
      <w:r>
        <w:rPr>
          <w:rFonts w:ascii="仿宋_GB2312" w:hAnsi="宋体" w:eastAsia="仿宋_GB2312" w:cs="仿宋_GB2312"/>
          <w:i w:val="0"/>
          <w:iCs w:val="0"/>
          <w:caps w:val="0"/>
          <w:color w:val="000000"/>
          <w:spacing w:val="0"/>
          <w:kern w:val="0"/>
          <w:sz w:val="32"/>
          <w:szCs w:val="32"/>
          <w:shd w:val="clear" w:fill="FFFFFF"/>
          <w:lang w:val="en-US" w:eastAsia="zh-CN" w:bidi="ar"/>
        </w:rPr>
        <w:t>个项目自评平均分</w:t>
      </w:r>
      <w:r>
        <w:rPr>
          <w:rFonts w:hint="default" w:ascii="Times New Roman" w:hAnsi="Times New Roman" w:eastAsia="宋体" w:cs="Times New Roman"/>
          <w:i w:val="0"/>
          <w:iCs w:val="0"/>
          <w:caps w:val="0"/>
          <w:color w:val="000000"/>
          <w:spacing w:val="0"/>
          <w:kern w:val="0"/>
          <w:sz w:val="32"/>
          <w:szCs w:val="32"/>
          <w:shd w:val="clear" w:fill="FFFFFF"/>
          <w:lang w:val="en-US" w:eastAsia="zh-CN" w:bidi="ar"/>
        </w:rPr>
        <w:t>96.5</w:t>
      </w:r>
      <w:r>
        <w:rPr>
          <w:rFonts w:hint="eastAsia" w:ascii="仿宋_GB2312" w:hAnsi="宋体" w:eastAsia="仿宋_GB2312" w:cs="仿宋_GB2312"/>
          <w:i w:val="0"/>
          <w:iCs w:val="0"/>
          <w:caps w:val="0"/>
          <w:color w:val="000000"/>
          <w:spacing w:val="0"/>
          <w:kern w:val="0"/>
          <w:sz w:val="32"/>
          <w:szCs w:val="32"/>
          <w:shd w:val="clear" w:fill="FFFFFF"/>
          <w:lang w:val="en-US" w:eastAsia="zh-CN" w:bidi="ar"/>
        </w:rPr>
        <w:t>分，其中多个项目得分</w:t>
      </w:r>
      <w:r>
        <w:rPr>
          <w:rFonts w:hint="default" w:ascii="Times New Roman" w:hAnsi="Times New Roman" w:eastAsia="宋体" w:cs="Times New Roman"/>
          <w:i w:val="0"/>
          <w:iCs w:val="0"/>
          <w:caps w:val="0"/>
          <w:color w:val="000000"/>
          <w:spacing w:val="0"/>
          <w:kern w:val="0"/>
          <w:sz w:val="32"/>
          <w:szCs w:val="32"/>
          <w:shd w:val="clear" w:fill="FFFFFF"/>
          <w:lang w:val="en-US" w:eastAsia="zh-CN" w:bidi="ar"/>
        </w:rPr>
        <w:t>100</w:t>
      </w:r>
      <w:r>
        <w:rPr>
          <w:rFonts w:hint="eastAsia" w:ascii="仿宋_GB2312" w:hAnsi="宋体" w:eastAsia="仿宋_GB2312" w:cs="仿宋_GB2312"/>
          <w:i w:val="0"/>
          <w:iCs w:val="0"/>
          <w:caps w:val="0"/>
          <w:color w:val="000000"/>
          <w:spacing w:val="0"/>
          <w:kern w:val="0"/>
          <w:sz w:val="32"/>
          <w:szCs w:val="32"/>
          <w:shd w:val="clear" w:fill="FFFFFF"/>
          <w:lang w:val="en-US" w:eastAsia="zh-CN" w:bidi="ar"/>
        </w:rPr>
        <w:t>分，部分项目因预算执行率等问题得分稍低，整体表现良好，医疗保障类项目得分较高。</w:t>
      </w:r>
      <w:r>
        <w:rPr>
          <w:rFonts w:ascii="Times New Roman" w:hAnsi="Times New Roman" w:eastAsia="仿宋_GB2312" w:cs="Times New Roman"/>
          <w:i w:val="0"/>
          <w:iCs w:val="0"/>
          <w:sz w:val="32"/>
          <w:szCs w:val="32"/>
        </w:rPr>
        <w:t>发现的主要问题及原因：一是</w:t>
      </w:r>
      <w:r>
        <w:rPr>
          <w:rFonts w:ascii="仿宋_GB2312" w:hAnsi="Times New Roman" w:eastAsia="仿宋_GB2312" w:cs="仿宋_GB2312"/>
          <w:b w:val="0"/>
          <w:bCs w:val="0"/>
          <w:i w:val="0"/>
          <w:iCs w:val="0"/>
          <w:caps w:val="0"/>
          <w:color w:val="000000"/>
          <w:spacing w:val="0"/>
          <w:kern w:val="0"/>
          <w:sz w:val="32"/>
          <w:szCs w:val="32"/>
          <w:shd w:val="clear" w:fill="FFFFFF"/>
          <w:lang w:val="en-US" w:eastAsia="zh-CN" w:bidi="ar"/>
        </w:rPr>
        <w:t>预算编制的完整性与细化程度有待提高。在</w:t>
      </w:r>
      <w:r>
        <w:rPr>
          <w:rFonts w:hint="eastAsia" w:ascii="仿宋_GB2312" w:hAnsi="仿宋_GB2312" w:eastAsia="仿宋_GB2312" w:cs="仿宋_GB2312"/>
          <w:b w:val="0"/>
          <w:bCs w:val="0"/>
          <w:i w:val="0"/>
          <w:iCs w:val="0"/>
          <w:caps w:val="0"/>
          <w:color w:val="000000"/>
          <w:spacing w:val="0"/>
          <w:kern w:val="0"/>
          <w:sz w:val="32"/>
          <w:szCs w:val="32"/>
          <w:shd w:val="clear" w:fill="FFFFFF"/>
          <w:lang w:val="en-US" w:eastAsia="zh-CN" w:bidi="ar"/>
        </w:rPr>
        <w:t>审核</w:t>
      </w:r>
      <w:r>
        <w:rPr>
          <w:rFonts w:hint="eastAsia" w:ascii="仿宋_GB2312" w:hAnsi="Times New Roman" w:eastAsia="仿宋_GB2312" w:cs="仿宋_GB2312"/>
          <w:b w:val="0"/>
          <w:bCs w:val="0"/>
          <w:i w:val="0"/>
          <w:iCs w:val="0"/>
          <w:caps w:val="0"/>
          <w:color w:val="000000"/>
          <w:spacing w:val="0"/>
          <w:kern w:val="0"/>
          <w:sz w:val="32"/>
          <w:szCs w:val="32"/>
          <w:shd w:val="clear" w:fill="FFFFFF"/>
          <w:lang w:val="en-US" w:eastAsia="zh-CN" w:bidi="ar"/>
        </w:rPr>
        <w:t>过程中发现，市医保局缺少预算编制过程资料，预算编制的基本信息</w:t>
      </w:r>
      <w:r>
        <w:rPr>
          <w:rFonts w:hint="eastAsia" w:ascii="仿宋_GB2312" w:hAnsi="Times New Roman" w:eastAsia="仿宋_GB2312" w:cs="仿宋_GB2312"/>
          <w:b w:val="0"/>
          <w:bCs w:val="0"/>
          <w:i w:val="0"/>
          <w:iCs w:val="0"/>
          <w:caps w:val="0"/>
          <w:color w:val="000000"/>
          <w:spacing w:val="-6"/>
          <w:kern w:val="0"/>
          <w:sz w:val="32"/>
          <w:szCs w:val="32"/>
          <w:shd w:val="clear" w:fill="FFFFFF"/>
          <w:lang w:val="en-US" w:eastAsia="zh-CN" w:bidi="ar"/>
        </w:rPr>
        <w:t>内容的真实性、完整性、准确性以及测算依据的充分性难以衡量</w:t>
      </w:r>
      <w:r>
        <w:rPr>
          <w:rFonts w:ascii="Times New Roman" w:hAnsi="Times New Roman" w:eastAsia="仿宋_GB2312" w:cs="Times New Roman"/>
          <w:i w:val="0"/>
          <w:iCs w:val="0"/>
          <w:sz w:val="32"/>
          <w:szCs w:val="32"/>
        </w:rPr>
        <w:t>；二是</w:t>
      </w:r>
      <w:r>
        <w:rPr>
          <w:rFonts w:ascii="仿宋_GB2312" w:hAnsi="宋体" w:eastAsia="仿宋_GB2312" w:cs="仿宋_GB2312"/>
          <w:i w:val="0"/>
          <w:iCs w:val="0"/>
          <w:caps w:val="0"/>
          <w:color w:val="000000"/>
          <w:spacing w:val="0"/>
          <w:kern w:val="0"/>
          <w:sz w:val="32"/>
          <w:szCs w:val="32"/>
          <w:shd w:val="clear" w:fill="FFFFFF"/>
          <w:lang w:val="en-US" w:eastAsia="zh-CN" w:bidi="ar"/>
        </w:rPr>
        <w:t>全过程预算绩效管理有待进一步加强。绩效指标的量化性有待提</w:t>
      </w:r>
      <w:r>
        <w:rPr>
          <w:rFonts w:hint="eastAsia" w:ascii="仿宋_GB2312" w:hAnsi="宋体" w:eastAsia="仿宋_GB2312" w:cs="仿宋_GB2312"/>
          <w:i w:val="0"/>
          <w:iCs w:val="0"/>
          <w:caps w:val="0"/>
          <w:color w:val="000000"/>
          <w:spacing w:val="0"/>
          <w:kern w:val="0"/>
          <w:sz w:val="32"/>
          <w:szCs w:val="32"/>
          <w:shd w:val="clear" w:fill="FFFFFF"/>
          <w:lang w:val="en-US" w:eastAsia="zh-CN" w:bidi="ar"/>
        </w:rPr>
        <w:t>高</w:t>
      </w:r>
      <w:r>
        <w:rPr>
          <w:rFonts w:ascii="Times New Roman" w:hAnsi="Times New Roman" w:eastAsia="仿宋_GB2312" w:cs="Times New Roman"/>
          <w:i w:val="0"/>
          <w:iCs w:val="0"/>
          <w:sz w:val="32"/>
          <w:szCs w:val="32"/>
        </w:rPr>
        <w:t>。下一步改进措施：一是</w:t>
      </w:r>
      <w:r>
        <w:rPr>
          <w:rFonts w:ascii="仿宋_GB2312" w:hAnsi="仿宋_GB2312" w:eastAsia="仿宋_GB2312" w:cs="仿宋_GB2312"/>
          <w:b w:val="0"/>
          <w:bCs w:val="0"/>
          <w:i w:val="0"/>
          <w:iCs w:val="0"/>
          <w:caps w:val="0"/>
          <w:color w:val="000000"/>
          <w:spacing w:val="0"/>
          <w:kern w:val="0"/>
          <w:sz w:val="32"/>
          <w:szCs w:val="32"/>
          <w:shd w:val="clear" w:fill="FFFFFF"/>
          <w:lang w:val="en-US" w:eastAsia="zh-CN" w:bidi="ar"/>
        </w:rPr>
        <w:t>建议建立全流程文档留痕机制，制定包含政策依据、分项测算、实施范围等</w:t>
      </w:r>
      <w:r>
        <w:rPr>
          <w:rFonts w:hint="default" w:ascii="Times New Roman" w:hAnsi="Times New Roman" w:eastAsia="宋体" w:cs="Times New Roman"/>
          <w:b w:val="0"/>
          <w:bCs w:val="0"/>
          <w:i w:val="0"/>
          <w:iCs w:val="0"/>
          <w:caps w:val="0"/>
          <w:color w:val="000000"/>
          <w:spacing w:val="0"/>
          <w:kern w:val="0"/>
          <w:sz w:val="32"/>
          <w:szCs w:val="32"/>
          <w:shd w:val="clear" w:fill="FFFFFF"/>
          <w:lang w:val="en-US" w:eastAsia="zh-CN" w:bidi="ar"/>
        </w:rPr>
        <w:t>12</w:t>
      </w:r>
      <w:r>
        <w:rPr>
          <w:rFonts w:hint="eastAsia" w:ascii="仿宋_GB2312" w:hAnsi="Times New Roman" w:eastAsia="仿宋_GB2312" w:cs="仿宋_GB2312"/>
          <w:b w:val="0"/>
          <w:bCs w:val="0"/>
          <w:i w:val="0"/>
          <w:iCs w:val="0"/>
          <w:caps w:val="0"/>
          <w:color w:val="000000"/>
          <w:spacing w:val="0"/>
          <w:kern w:val="0"/>
          <w:sz w:val="32"/>
          <w:szCs w:val="32"/>
          <w:shd w:val="clear" w:fill="FFFFFF"/>
          <w:lang w:val="en-US" w:eastAsia="zh-CN" w:bidi="ar"/>
        </w:rPr>
        <w:t>项要素的标准化模板</w:t>
      </w:r>
      <w:r>
        <w:rPr>
          <w:rFonts w:hint="eastAsia" w:ascii="仿宋_GB2312" w:hAnsi="仿宋_GB2312" w:eastAsia="仿宋_GB2312" w:cs="仿宋_GB2312"/>
          <w:b w:val="0"/>
          <w:bCs w:val="0"/>
          <w:i w:val="0"/>
          <w:iCs w:val="0"/>
          <w:caps w:val="0"/>
          <w:color w:val="000000"/>
          <w:spacing w:val="0"/>
          <w:kern w:val="0"/>
          <w:sz w:val="32"/>
          <w:szCs w:val="32"/>
          <w:shd w:val="clear" w:fill="FFFFFF"/>
          <w:lang w:val="en-US" w:eastAsia="zh-CN" w:bidi="ar"/>
        </w:rPr>
        <w:t>，强化科学预测与零基预算，提升精准性。全面应用零基预算原则，打破支出固化格局，每年重新审核所有项目必要性，优先保障“三保”支出，压缩非急需支出</w:t>
      </w:r>
      <w:r>
        <w:rPr>
          <w:rFonts w:ascii="Times New Roman" w:hAnsi="Times New Roman" w:eastAsia="仿宋_GB2312" w:cs="Times New Roman"/>
          <w:i w:val="0"/>
          <w:iCs w:val="0"/>
          <w:sz w:val="32"/>
          <w:szCs w:val="32"/>
        </w:rPr>
        <w:t>；二是</w:t>
      </w:r>
      <w:r>
        <w:rPr>
          <w:rFonts w:ascii="仿宋_GB2312" w:hAnsi="宋体" w:eastAsia="仿宋_GB2312" w:cs="仿宋_GB2312"/>
          <w:i w:val="0"/>
          <w:iCs w:val="0"/>
          <w:caps w:val="0"/>
          <w:color w:val="000000"/>
          <w:spacing w:val="0"/>
          <w:kern w:val="0"/>
          <w:sz w:val="32"/>
          <w:szCs w:val="32"/>
          <w:shd w:val="clear" w:fill="FFFFFF"/>
          <w:lang w:val="en-US" w:eastAsia="zh-CN" w:bidi="ar"/>
        </w:rPr>
        <w:t>提高绩效目标与指标编制的科学性。进一步细化绩效目标及指标，根据项目实施计划从产出数量、质量和时效，以及项目实施产生的经济、社会、生态效益和长效机制等方面对目标进行全面梳理</w:t>
      </w:r>
      <w:r>
        <w:rPr>
          <w:rFonts w:ascii="Times New Roman" w:hAnsi="Times New Roman" w:eastAsia="仿宋_GB2312" w:cs="Times New Roman"/>
          <w:i w:val="0"/>
          <w:iCs w:val="0"/>
          <w:sz w:val="32"/>
          <w:szCs w:val="32"/>
        </w:rPr>
        <w:t>。</w:t>
      </w:r>
    </w:p>
    <w:p w14:paraId="006856D1">
      <w:pPr>
        <w:pStyle w:val="13"/>
        <w:keepNext w:val="0"/>
        <w:keepLines w:val="0"/>
        <w:pageBreakBefore w:val="0"/>
        <w:widowControl w:val="0"/>
        <w:shd w:val="clear"/>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i w:val="0"/>
          <w:iCs w:val="0"/>
          <w:color w:val="auto"/>
          <w:sz w:val="72"/>
          <w:szCs w:val="72"/>
        </w:rPr>
      </w:pPr>
      <w:r>
        <w:rPr>
          <w:rFonts w:ascii="Times New Roman" w:hAnsi="Times New Roman" w:eastAsia="楷体_GB2312" w:cs="Times New Roman"/>
          <w:b/>
          <w:bCs/>
          <w:i w:val="0"/>
          <w:iCs w:val="0"/>
          <w:color w:val="auto"/>
          <w:kern w:val="2"/>
          <w:sz w:val="32"/>
          <w:szCs w:val="32"/>
        </w:rPr>
        <w:t>（三）评价结果应用情况。</w:t>
      </w:r>
      <w:r>
        <w:rPr>
          <w:rFonts w:hint="eastAsia" w:ascii="Times New Roman" w:hAnsi="Times New Roman" w:eastAsia="仿宋_GB2312" w:cs="Times New Roman"/>
          <w:i w:val="0"/>
          <w:iCs w:val="0"/>
          <w:color w:val="auto"/>
          <w:sz w:val="32"/>
          <w:szCs w:val="32"/>
        </w:rPr>
        <w:t>一是优化年度预算安排。对评价结果优、效益突出的重点业务项目，优先保障资金需求，将绩效评价结论作为下一年度项目立项、预算申报的重要前置依据，实现“以效定支”。二是调整完善支出结构。将资金向核心履职、重点民生项目倾斜；对项目实施进度滞后、资金拨付不均衡问题，优化支出时序，提升资金配置精准度。三是强化资金全过程管理。针对评价指出的资金拨付、项目执行、台账资料、绩效监控等薄弱环节，压实项目科室资金管理主体责任，常态化开展绩效运行监控，及时纠偏资金使用偏差。四是健全内部管理制度建设。组织业务及财务人员开展绩效业务培训，强化全员绩效理念，形成“预算编制—执行监控—绩效评价—结果应用”闭环管理。</w:t>
      </w:r>
    </w:p>
    <w:p w14:paraId="1BD31B66">
      <w:pPr>
        <w:shd w:val="clear"/>
        <w:rPr>
          <w:rFonts w:ascii="Times New Roman" w:hAnsi="Times New Roman" w:eastAsia="方正小标宋_GBK" w:cs="Times New Roman"/>
          <w:i w:val="0"/>
          <w:iCs w:val="0"/>
          <w:sz w:val="52"/>
          <w:szCs w:val="52"/>
        </w:rPr>
      </w:pPr>
      <w:r>
        <w:rPr>
          <w:rFonts w:ascii="Times New Roman" w:hAnsi="Times New Roman" w:eastAsia="方正小标宋_GBK" w:cs="Times New Roman"/>
          <w:i w:val="0"/>
          <w:iCs w:val="0"/>
          <w:sz w:val="52"/>
          <w:szCs w:val="52"/>
        </w:rPr>
        <w:br w:type="page"/>
      </w:r>
    </w:p>
    <w:p w14:paraId="5749ABE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第四部分    名词解释</w:t>
      </w:r>
    </w:p>
    <w:p w14:paraId="2EBBE41C">
      <w:pPr>
        <w:widowControl/>
        <w:shd w:val="clear"/>
        <w:jc w:val="left"/>
        <w:rPr>
          <w:rFonts w:ascii="Times New Roman" w:hAnsi="Times New Roman" w:cs="Times New Roman"/>
          <w:i w:val="0"/>
          <w:iCs w:val="0"/>
          <w:color w:val="000000"/>
          <w:kern w:val="0"/>
          <w:sz w:val="32"/>
          <w:szCs w:val="32"/>
        </w:rPr>
      </w:pPr>
    </w:p>
    <w:p w14:paraId="36C31B1B">
      <w:pPr>
        <w:pStyle w:val="13"/>
        <w:keepNext w:val="0"/>
        <w:keepLines w:val="0"/>
        <w:pageBreakBefore w:val="0"/>
        <w:widowControl w:val="0"/>
        <w:numPr>
          <w:ilvl w:val="0"/>
          <w:numId w:val="0"/>
        </w:numPr>
        <w:shd w:val="clear"/>
        <w:kinsoku/>
        <w:wordWrap/>
        <w:overflowPunct/>
        <w:topLinePunct w:val="0"/>
        <w:autoSpaceDE/>
        <w:autoSpaceDN/>
        <w:bidi w:val="0"/>
        <w:adjustRightInd w:val="0"/>
        <w:snapToGrid/>
        <w:ind w:firstLine="640" w:firstLineChars="200"/>
        <w:jc w:val="both"/>
        <w:textAlignment w:val="auto"/>
        <w:rPr>
          <w:rFonts w:hint="eastAsia" w:ascii="Times New Roman" w:hAnsi="Times New Roman" w:eastAsia="仿宋_GB2312" w:cs="Times New Roman"/>
          <w:i w:val="0"/>
          <w:iCs w:val="0"/>
          <w:color w:val="000000"/>
          <w:kern w:val="0"/>
          <w:sz w:val="32"/>
          <w:szCs w:val="32"/>
        </w:rPr>
      </w:pPr>
      <w:r>
        <w:rPr>
          <w:rFonts w:hint="eastAsia" w:ascii="Times New Roman" w:hAnsi="Times New Roman" w:eastAsia="仿宋_GB2312" w:cs="Times New Roman"/>
          <w:i w:val="0"/>
          <w:iCs w:val="0"/>
          <w:color w:val="000000"/>
          <w:kern w:val="0"/>
          <w:sz w:val="32"/>
          <w:szCs w:val="32"/>
          <w:lang w:val="en-US" w:eastAsia="zh-CN" w:bidi="ar-SA"/>
        </w:rPr>
        <w:t>1.</w:t>
      </w:r>
      <w:r>
        <w:rPr>
          <w:rFonts w:hint="eastAsia" w:ascii="Times New Roman" w:hAnsi="Times New Roman" w:eastAsia="仿宋_GB2312" w:cs="Times New Roman"/>
          <w:i w:val="0"/>
          <w:iCs w:val="0"/>
          <w:color w:val="000000"/>
          <w:kern w:val="0"/>
          <w:sz w:val="32"/>
          <w:szCs w:val="32"/>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778C68A0">
      <w:pPr>
        <w:pStyle w:val="13"/>
        <w:keepNext w:val="0"/>
        <w:keepLines w:val="0"/>
        <w:pageBreakBefore w:val="0"/>
        <w:widowControl w:val="0"/>
        <w:numPr>
          <w:ilvl w:val="0"/>
          <w:numId w:val="0"/>
        </w:numPr>
        <w:shd w:val="clear"/>
        <w:kinsoku/>
        <w:wordWrap/>
        <w:overflowPunct/>
        <w:topLinePunct w:val="0"/>
        <w:autoSpaceDE/>
        <w:autoSpaceDN/>
        <w:bidi w:val="0"/>
        <w:adjustRightInd w:val="0"/>
        <w:snapToGrid/>
        <w:ind w:firstLine="640" w:firstLineChars="200"/>
        <w:jc w:val="both"/>
        <w:textAlignment w:val="auto"/>
        <w:rPr>
          <w:rFonts w:ascii="Times New Roman" w:hAnsi="Times New Roman" w:cs="Times New Roman"/>
          <w:i w:val="0"/>
          <w:iCs w:val="0"/>
          <w:sz w:val="72"/>
          <w:szCs w:val="72"/>
        </w:rPr>
      </w:pPr>
      <w:r>
        <w:rPr>
          <w:rFonts w:hint="eastAsia" w:ascii="Times New Roman" w:hAnsi="Times New Roman" w:eastAsia="仿宋_GB2312" w:cs="Times New Roman"/>
          <w:i w:val="0"/>
          <w:iCs w:val="0"/>
          <w:color w:val="000000"/>
          <w:kern w:val="0"/>
          <w:sz w:val="32"/>
          <w:szCs w:val="32"/>
        </w:rPr>
        <w:t>2.“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AFC57A1">
      <w:pPr>
        <w:shd w:val="clear"/>
        <w:rPr>
          <w:rFonts w:ascii="Times New Roman" w:hAnsi="Times New Roman" w:eastAsia="方正小标宋_GBK" w:cs="Times New Roman"/>
          <w:i w:val="0"/>
          <w:iCs w:val="0"/>
          <w:sz w:val="52"/>
          <w:szCs w:val="52"/>
        </w:rPr>
      </w:pPr>
      <w:r>
        <w:rPr>
          <w:rFonts w:ascii="Times New Roman" w:hAnsi="Times New Roman" w:eastAsia="方正小标宋_GBK" w:cs="Times New Roman"/>
          <w:i w:val="0"/>
          <w:iCs w:val="0"/>
          <w:sz w:val="52"/>
          <w:szCs w:val="52"/>
        </w:rPr>
        <w:br w:type="page"/>
      </w:r>
    </w:p>
    <w:p w14:paraId="1AA0A46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第五部分   附 件</w:t>
      </w:r>
    </w:p>
    <w:p w14:paraId="7DC20B16">
      <w:pPr>
        <w:shd w:val="clear"/>
        <w:rPr>
          <w:rFonts w:ascii="Times New Roman" w:hAnsi="Times New Roman" w:cs="Times New Roman"/>
          <w:i w:val="0"/>
          <w:iCs w:val="0"/>
          <w:sz w:val="72"/>
          <w:szCs w:val="72"/>
        </w:rPr>
      </w:pPr>
    </w:p>
    <w:p w14:paraId="109DFA77">
      <w:pPr>
        <w:pStyle w:val="13"/>
        <w:shd w:val="clear"/>
        <w:spacing w:line="600" w:lineRule="exact"/>
        <w:ind w:firstLine="640" w:firstLineChars="200"/>
        <w:rPr>
          <w:rFonts w:ascii="Times New Roman" w:hAnsi="Times New Roman" w:eastAsia="仿宋_GB2312" w:cs="Times New Roman"/>
          <w:i w:val="0"/>
          <w:iCs w:val="0"/>
          <w:sz w:val="32"/>
          <w:szCs w:val="32"/>
        </w:rPr>
      </w:pPr>
      <w:r>
        <w:rPr>
          <w:rFonts w:ascii="Times New Roman" w:hAnsi="Times New Roman" w:eastAsia="仿宋_GB2312" w:cs="Times New Roman"/>
          <w:b/>
          <w:bCs/>
          <w:i w:val="0"/>
          <w:iCs w:val="0"/>
          <w:sz w:val="32"/>
          <w:szCs w:val="32"/>
        </w:rPr>
        <w:t>一、</w:t>
      </w:r>
      <w:r>
        <w:rPr>
          <w:rFonts w:ascii="Times New Roman" w:hAnsi="Times New Roman" w:eastAsia="仿宋_GB2312" w:cs="Times New Roman"/>
          <w:i w:val="0"/>
          <w:iCs w:val="0"/>
          <w:sz w:val="32"/>
          <w:szCs w:val="32"/>
        </w:rPr>
        <w:t>202</w:t>
      </w:r>
      <w:r>
        <w:rPr>
          <w:rFonts w:hint="eastAsia" w:ascii="Times New Roman" w:hAnsi="Times New Roman" w:eastAsia="仿宋_GB2312" w:cs="Times New Roman"/>
          <w:i w:val="0"/>
          <w:iCs w:val="0"/>
          <w:sz w:val="32"/>
          <w:szCs w:val="32"/>
          <w:lang w:val="en-US" w:eastAsia="zh-CN"/>
        </w:rPr>
        <w:t>5</w:t>
      </w:r>
      <w:r>
        <w:rPr>
          <w:rFonts w:ascii="Times New Roman" w:hAnsi="Times New Roman" w:eastAsia="仿宋_GB2312" w:cs="Times New Roman"/>
          <w:i w:val="0"/>
          <w:iCs w:val="0"/>
          <w:sz w:val="32"/>
          <w:szCs w:val="32"/>
        </w:rPr>
        <w:t>年度部门(单位)整体支出绩效自评报告。</w:t>
      </w:r>
    </w:p>
    <w:p w14:paraId="46886AF5">
      <w:pPr>
        <w:pStyle w:val="13"/>
        <w:shd w:val="clear"/>
        <w:spacing w:line="600" w:lineRule="exact"/>
        <w:ind w:firstLine="640" w:firstLineChars="200"/>
        <w:rPr>
          <w:rFonts w:ascii="Times New Roman" w:hAnsi="Times New Roman" w:eastAsia="仿宋_GB2312" w:cs="Times New Roman"/>
          <w:i w:val="0"/>
          <w:iCs w:val="0"/>
          <w:sz w:val="32"/>
          <w:szCs w:val="32"/>
        </w:rPr>
      </w:pPr>
    </w:p>
    <w:p w14:paraId="251110EF">
      <w:pPr>
        <w:pStyle w:val="13"/>
        <w:shd w:val="clear"/>
        <w:spacing w:line="600" w:lineRule="exact"/>
        <w:ind w:firstLine="640" w:firstLineChars="200"/>
        <w:rPr>
          <w:rFonts w:ascii="Times New Roman" w:hAnsi="Times New Roman" w:eastAsia="仿宋_GB2312" w:cs="Times New Roman"/>
          <w:i w:val="0"/>
          <w:iCs w:val="0"/>
          <w:sz w:val="32"/>
          <w:szCs w:val="32"/>
        </w:rPr>
      </w:pPr>
    </w:p>
    <w:p w14:paraId="6F44019E">
      <w:pPr>
        <w:shd w:val="clea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br w:type="page"/>
      </w:r>
    </w:p>
    <w:p w14:paraId="0952E52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hint="eastAsia" w:ascii="宋体" w:hAnsi="宋体" w:eastAsia="宋体" w:cs="宋体"/>
          <w:i w:val="0"/>
          <w:iCs w:val="0"/>
          <w:caps w:val="0"/>
          <w:color w:val="3D3D3D"/>
          <w:spacing w:val="0"/>
          <w:sz w:val="44"/>
          <w:szCs w:val="44"/>
        </w:rPr>
      </w:pPr>
      <w:r>
        <w:rPr>
          <w:rFonts w:ascii="方正小标宋简体" w:hAnsi="方正小标宋简体" w:eastAsia="方正小标宋简体" w:cs="方正小标宋简体"/>
          <w:b w:val="0"/>
          <w:bCs w:val="0"/>
          <w:i w:val="0"/>
          <w:iCs w:val="0"/>
          <w:caps w:val="0"/>
          <w:color w:val="000000"/>
          <w:spacing w:val="0"/>
          <w:sz w:val="44"/>
          <w:szCs w:val="44"/>
          <w:shd w:val="clear" w:color="auto" w:fill="FFFFFF"/>
        </w:rPr>
        <w:t>2025年度怀化市医疗保障局整体支出</w:t>
      </w:r>
    </w:p>
    <w:p w14:paraId="1E67998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hint="eastAsia" w:ascii="宋体" w:hAnsi="宋体" w:eastAsia="宋体" w:cs="宋体"/>
          <w:i w:val="0"/>
          <w:iCs w:val="0"/>
          <w:caps w:val="0"/>
          <w:color w:val="3D3D3D"/>
          <w:spacing w:val="0"/>
          <w:sz w:val="44"/>
          <w:szCs w:val="44"/>
        </w:rPr>
      </w:pPr>
      <w:r>
        <w:rPr>
          <w:rFonts w:hint="eastAsia" w:ascii="方正小标宋简体" w:hAnsi="方正小标宋简体" w:eastAsia="方正小标宋简体" w:cs="方正小标宋简体"/>
          <w:b w:val="0"/>
          <w:bCs w:val="0"/>
          <w:i w:val="0"/>
          <w:iCs w:val="0"/>
          <w:caps w:val="0"/>
          <w:color w:val="000000"/>
          <w:spacing w:val="0"/>
          <w:sz w:val="44"/>
          <w:szCs w:val="44"/>
          <w:shd w:val="clear" w:color="auto" w:fill="FFFFFF"/>
        </w:rPr>
        <w:t>绩效自评报告</w:t>
      </w:r>
    </w:p>
    <w:p w14:paraId="1B282BD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620" w:lineRule="atLeast"/>
        <w:ind w:left="0" w:right="0" w:firstLine="0"/>
        <w:jc w:val="center"/>
        <w:rPr>
          <w:rFonts w:hint="eastAsia" w:ascii="宋体" w:hAnsi="宋体" w:eastAsia="宋体" w:cs="宋体"/>
          <w:i w:val="0"/>
          <w:iCs w:val="0"/>
          <w:caps w:val="0"/>
          <w:color w:val="3D3D3D"/>
          <w:spacing w:val="0"/>
          <w:sz w:val="24"/>
          <w:szCs w:val="24"/>
        </w:rPr>
      </w:pPr>
      <w:r>
        <w:rPr>
          <w:rFonts w:hint="eastAsia" w:ascii="宋体" w:hAnsi="宋体" w:eastAsia="宋体" w:cs="宋体"/>
          <w:i w:val="0"/>
          <w:iCs w:val="0"/>
          <w:caps w:val="0"/>
          <w:color w:val="3D3D3D"/>
          <w:spacing w:val="0"/>
          <w:sz w:val="24"/>
          <w:szCs w:val="24"/>
          <w:shd w:val="clear" w:color="auto" w:fill="FFFFFF"/>
        </w:rPr>
        <w:t> </w:t>
      </w:r>
    </w:p>
    <w:p w14:paraId="3BB362D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ascii="仿宋_GB2312" w:hAnsi="宋体" w:eastAsia="仿宋_GB2312" w:cs="仿宋_GB2312"/>
          <w:i w:val="0"/>
          <w:iCs w:val="0"/>
          <w:caps w:val="0"/>
          <w:color w:val="000000"/>
          <w:spacing w:val="0"/>
          <w:sz w:val="32"/>
          <w:szCs w:val="32"/>
          <w:shd w:val="clear" w:color="auto" w:fill="FFFFFF"/>
        </w:rPr>
        <w:t>一、</w:t>
      </w:r>
      <w:r>
        <w:rPr>
          <w:rFonts w:hint="eastAsia" w:ascii="仿宋_GB2312" w:hAnsi="仿宋_GB2312" w:eastAsia="仿宋_GB2312" w:cs="仿宋_GB2312"/>
          <w:b/>
          <w:bCs/>
          <w:i w:val="0"/>
          <w:iCs w:val="0"/>
          <w:caps w:val="0"/>
          <w:color w:val="000000"/>
          <w:spacing w:val="0"/>
          <w:sz w:val="32"/>
          <w:szCs w:val="32"/>
          <w:shd w:val="clear" w:color="auto" w:fill="FFFFFF"/>
        </w:rPr>
        <w:t>单位基本情况</w:t>
      </w:r>
    </w:p>
    <w:p w14:paraId="32C246F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ascii="楷体_GB2312" w:hAnsi="楷体_GB2312" w:eastAsia="楷体_GB2312" w:cs="楷体_GB2312"/>
          <w:b w:val="0"/>
          <w:bCs w:val="0"/>
          <w:i w:val="0"/>
          <w:iCs w:val="0"/>
          <w:caps w:val="0"/>
          <w:color w:val="000000"/>
          <w:spacing w:val="0"/>
          <w:sz w:val="32"/>
          <w:szCs w:val="32"/>
          <w:shd w:val="clear" w:color="auto" w:fill="FFFFFF"/>
        </w:rPr>
        <w:t>（一）</w:t>
      </w:r>
      <w:r>
        <w:rPr>
          <w:rFonts w:hint="eastAsia" w:ascii="楷体_GB2312" w:hAnsi="楷体_GB2312" w:eastAsia="楷体_GB2312" w:cs="楷体_GB2312"/>
          <w:b w:val="0"/>
          <w:bCs w:val="0"/>
          <w:i w:val="0"/>
          <w:iCs w:val="0"/>
          <w:caps w:val="0"/>
          <w:color w:val="000000"/>
          <w:spacing w:val="0"/>
          <w:sz w:val="32"/>
          <w:szCs w:val="32"/>
          <w:shd w:val="clear" w:color="auto" w:fill="FFFFFF"/>
        </w:rPr>
        <w:t>部门职责</w:t>
      </w:r>
    </w:p>
    <w:p w14:paraId="02F15FB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Times New Roman" w:eastAsia="仿宋_GB2312" w:cs="仿宋_GB2312"/>
          <w:i w:val="0"/>
          <w:iCs w:val="0"/>
          <w:caps w:val="0"/>
          <w:color w:val="000000"/>
          <w:spacing w:val="0"/>
          <w:sz w:val="32"/>
          <w:szCs w:val="32"/>
          <w:shd w:val="clear" w:color="auto" w:fill="FFFFFF"/>
        </w:rPr>
        <w:t>市医疗保障局贯彻落实党中央关于医疗保障工作的方针政策和决策部署，全面落实省委、市委关于医疗保障工作的部署要求，在履行职责过程中坚持和加强党对医疗保障工作的集中统一领导。主要职责是：</w:t>
      </w:r>
    </w:p>
    <w:p w14:paraId="42EE810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_GB2312" w:eastAsia="仿宋_GB2312" w:cs="仿宋_GB2312"/>
          <w:i w:val="0"/>
          <w:iCs w:val="0"/>
          <w:caps w:val="0"/>
          <w:color w:val="000000"/>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rPr>
        <w:t>1</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拟订全市医疗保险、生育保险、医疗救助等医疗保障制度的规范性文件、规划和标准，并组织实施。</w:t>
      </w:r>
    </w:p>
    <w:p w14:paraId="6856CE8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_GB2312" w:eastAsia="仿宋_GB2312" w:cs="仿宋_GB2312"/>
          <w:i w:val="0"/>
          <w:iCs w:val="0"/>
          <w:caps w:val="0"/>
          <w:color w:val="000000"/>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rPr>
        <w:t>2</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组织制定并实施全市医疗保障基金监督管理办法，监督管理相关医疗保障基金，建立健全医疗保障基金安全防控机制，推进医疗保障基金支付方式改革。</w:t>
      </w:r>
    </w:p>
    <w:p w14:paraId="6831B5E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_GB2312" w:eastAsia="仿宋_GB2312" w:cs="仿宋_GB2312"/>
          <w:i w:val="0"/>
          <w:iCs w:val="0"/>
          <w:caps w:val="0"/>
          <w:color w:val="000000"/>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rPr>
        <w:t>3</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组织制定全市医疗保障筹资和待遇实施办法，完善动态调整和区域调剂平衡机制，统筹城乡医疗保障待遇标准，建立健全与筹资水平相适应的待遇调整机制，组织拟订并实施长期护理保险制度改革方案。</w:t>
      </w:r>
    </w:p>
    <w:p w14:paraId="4A19379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_GB2312" w:eastAsia="仿宋_GB2312" w:cs="仿宋_GB2312"/>
          <w:i w:val="0"/>
          <w:iCs w:val="0"/>
          <w:caps w:val="0"/>
          <w:color w:val="000000"/>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rPr>
        <w:t>4</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组织制定全市城乡统一的药品、医用耗材、医疗服务项目、医疗服务设施等医保目录和支付标准，建立动态调整机制，制定医保目录准入谈判规则并组织实施。</w:t>
      </w:r>
    </w:p>
    <w:p w14:paraId="5D9275F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_GB2312" w:eastAsia="仿宋_GB2312" w:cs="仿宋_GB2312"/>
          <w:i w:val="0"/>
          <w:iCs w:val="0"/>
          <w:caps w:val="0"/>
          <w:color w:val="000000"/>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rPr>
        <w:t>5</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组织制定全市药品、医用耗材价格和医疗服务项目、医疗服务设施收费等实施办法，建立医保支付医药服务价格合理确定和动态调整机制，推动建立市场主导的社会医药服务价格形成机制，建立价格信息监测和信息发布制度。</w:t>
      </w:r>
    </w:p>
    <w:p w14:paraId="0628254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_GB2312" w:eastAsia="仿宋_GB2312" w:cs="仿宋_GB2312"/>
          <w:i w:val="0"/>
          <w:iCs w:val="0"/>
          <w:caps w:val="0"/>
          <w:color w:val="000000"/>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rPr>
        <w:t>6</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制定全市药品、医用耗材的招标采购办法并监督实施，指导药品、医用耗材招标采购平台建设。</w:t>
      </w:r>
    </w:p>
    <w:p w14:paraId="7201B20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_GB2312" w:eastAsia="仿宋_GB2312" w:cs="仿宋_GB2312"/>
          <w:i w:val="0"/>
          <w:iCs w:val="0"/>
          <w:caps w:val="0"/>
          <w:color w:val="000000"/>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rPr>
        <w:t>7</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制定全市定点医药机构协议和支付管理办法并组织实施，建立健全医疗保障信用评价体系和信息披露制度，监督管理纳入医保范围内的医疗服务行为和医疗费用，依法查处医疗保障领域违法违规行为。</w:t>
      </w:r>
    </w:p>
    <w:p w14:paraId="78D708C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_GB2312" w:eastAsia="仿宋_GB2312" w:cs="仿宋_GB2312"/>
          <w:i w:val="0"/>
          <w:iCs w:val="0"/>
          <w:caps w:val="0"/>
          <w:color w:val="000000"/>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rPr>
        <w:t>8</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负责全市医疗保障经办管理、公共服务体系和信息化建设。指导、监督全市医疗保险、大病保险</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含职工大病互助</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、生育保险、医疗救助等医疗保障经办业务工作。组织制定和完善异地就医管理和费用结算办法。建立健全医</w:t>
      </w:r>
      <w:r>
        <w:rPr>
          <w:rFonts w:hint="eastAsia" w:ascii="仿宋_GB2312" w:hAnsi="Times New Roman" w:eastAsia="仿宋_GB2312" w:cs="仿宋_GB2312"/>
          <w:i w:val="0"/>
          <w:iCs w:val="0"/>
          <w:caps w:val="0"/>
          <w:color w:val="000000"/>
          <w:spacing w:val="-6"/>
          <w:sz w:val="32"/>
          <w:szCs w:val="32"/>
          <w:shd w:val="clear" w:color="auto" w:fill="FFFFFF"/>
        </w:rPr>
        <w:t>疗保障关系转移接续制度。开展医疗保障领域国内外合作交流。</w:t>
      </w:r>
    </w:p>
    <w:p w14:paraId="4DF8278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_GB2312" w:eastAsia="仿宋_GB2312" w:cs="仿宋_GB2312"/>
          <w:i w:val="0"/>
          <w:iCs w:val="0"/>
          <w:caps w:val="0"/>
          <w:color w:val="000000"/>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rPr>
        <w:t>9</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职能转变。市医保局应完善统一的城乡居民基本医疗保险制度和大病保险制度，巩固完善城乡居民医疗救助制度，建立健全覆盖全民、城乡统筹的多层次医疗保障体系，不断提高医疗保障水平，确保医保资金合理使用、安全可控，推进医疗、医保、医药</w:t>
      </w:r>
      <w:r>
        <w:rPr>
          <w:rFonts w:hint="default" w:ascii="Times New Roman" w:hAnsi="Times New Roman" w:eastAsia="宋体"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三医联动</w:t>
      </w:r>
      <w:r>
        <w:rPr>
          <w:rFonts w:hint="default" w:ascii="Times New Roman" w:hAnsi="Times New Roman" w:eastAsia="宋体"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、六医协同集成改革</w:t>
      </w:r>
      <w:r>
        <w:rPr>
          <w:rFonts w:hint="eastAsia" w:ascii="仿宋_GB2312" w:hAnsi="仿宋_GB2312" w:eastAsia="仿宋_GB2312" w:cs="仿宋_GB2312"/>
          <w:i w:val="0"/>
          <w:iCs w:val="0"/>
          <w:caps w:val="0"/>
          <w:color w:val="000000"/>
          <w:spacing w:val="0"/>
          <w:sz w:val="32"/>
          <w:szCs w:val="32"/>
          <w:shd w:val="clear" w:color="auto" w:fill="FFFFFF"/>
        </w:rPr>
        <w:t>工作</w:t>
      </w:r>
      <w:r>
        <w:rPr>
          <w:rFonts w:hint="eastAsia" w:ascii="仿宋_GB2312" w:hAnsi="Times New Roman" w:eastAsia="仿宋_GB2312" w:cs="仿宋_GB2312"/>
          <w:i w:val="0"/>
          <w:iCs w:val="0"/>
          <w:caps w:val="0"/>
          <w:color w:val="000000"/>
          <w:spacing w:val="0"/>
          <w:sz w:val="32"/>
          <w:szCs w:val="32"/>
          <w:shd w:val="clear" w:color="auto" w:fill="FFFFFF"/>
        </w:rPr>
        <w:t>，更好保障人民群众就医需求、减轻医药费用负担。</w:t>
      </w:r>
    </w:p>
    <w:p w14:paraId="73739D0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_GB2312" w:eastAsia="仿宋_GB2312" w:cs="仿宋_GB2312"/>
          <w:i w:val="0"/>
          <w:iCs w:val="0"/>
          <w:caps w:val="0"/>
          <w:color w:val="000000"/>
          <w:spacing w:val="0"/>
          <w:sz w:val="32"/>
          <w:szCs w:val="32"/>
          <w:shd w:val="clear" w:color="auto" w:fill="FFFFFF"/>
        </w:rPr>
        <w:t>（</w:t>
      </w:r>
      <w:r>
        <w:rPr>
          <w:rFonts w:hint="default" w:ascii="Times New Roman" w:hAnsi="Times New Roman" w:eastAsia="仿宋_GB2312" w:cs="Times New Roman"/>
          <w:i w:val="0"/>
          <w:iCs w:val="0"/>
          <w:caps w:val="0"/>
          <w:color w:val="000000"/>
          <w:spacing w:val="0"/>
          <w:sz w:val="32"/>
          <w:szCs w:val="32"/>
          <w:shd w:val="clear" w:color="auto" w:fill="FFFFFF"/>
        </w:rPr>
        <w:t>10</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与市卫生健康委等部门在医疗、医保、医药等方面加强制度、政策衔接，建立沟通协商机制，协同推进改革，提高医疗资源使用效率和医疗保障水平</w:t>
      </w:r>
      <w:r>
        <w:rPr>
          <w:rFonts w:hint="eastAsia" w:ascii="仿宋_GB2312" w:hAnsi="仿宋_GB2312" w:eastAsia="仿宋_GB2312" w:cs="仿宋_GB2312"/>
          <w:i w:val="0"/>
          <w:iCs w:val="0"/>
          <w:caps w:val="0"/>
          <w:color w:val="000000"/>
          <w:spacing w:val="0"/>
          <w:sz w:val="32"/>
          <w:szCs w:val="32"/>
          <w:shd w:val="clear" w:color="auto" w:fill="FFFFFF"/>
        </w:rPr>
        <w:t>。</w:t>
      </w:r>
    </w:p>
    <w:p w14:paraId="3446E72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ascii="仿宋" w:hAnsi="仿宋" w:eastAsia="仿宋" w:cs="仿宋"/>
          <w:b/>
          <w:bCs/>
          <w:i w:val="0"/>
          <w:iCs w:val="0"/>
          <w:caps w:val="0"/>
          <w:color w:val="000000"/>
          <w:spacing w:val="0"/>
          <w:sz w:val="32"/>
          <w:szCs w:val="32"/>
          <w:shd w:val="clear" w:color="auto" w:fill="FFFFFF"/>
        </w:rPr>
        <w:t>2.</w:t>
      </w:r>
      <w:r>
        <w:rPr>
          <w:rFonts w:hint="default" w:ascii="仿宋" w:hAnsi="仿宋" w:eastAsia="仿宋" w:cs="仿宋"/>
          <w:b/>
          <w:bCs/>
          <w:i w:val="0"/>
          <w:iCs w:val="0"/>
          <w:caps w:val="0"/>
          <w:color w:val="000000"/>
          <w:spacing w:val="0"/>
          <w:sz w:val="32"/>
          <w:szCs w:val="32"/>
          <w:shd w:val="clear" w:color="auto" w:fill="FFFFFF"/>
        </w:rPr>
        <w:t>机构设置情况</w:t>
      </w:r>
    </w:p>
    <w:p w14:paraId="1EDA577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Times New Roman" w:eastAsia="仿宋_GB2312" w:cs="仿宋_GB2312"/>
          <w:i w:val="0"/>
          <w:iCs w:val="0"/>
          <w:caps w:val="0"/>
          <w:color w:val="000000"/>
          <w:spacing w:val="0"/>
          <w:sz w:val="32"/>
          <w:szCs w:val="32"/>
          <w:shd w:val="clear" w:color="auto" w:fill="FFFFFF"/>
        </w:rPr>
        <w:t>怀化市医疗保障局作为一级部门预算单位，内设科室为：办公室、规划财务和法规科、待遇保障科、医药服务和定价采购科、基金监管科。</w:t>
      </w:r>
    </w:p>
    <w:p w14:paraId="20CBEDB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仿宋" w:hAnsi="仿宋" w:eastAsia="仿宋" w:cs="仿宋"/>
          <w:b/>
          <w:bCs/>
          <w:i w:val="0"/>
          <w:iCs w:val="0"/>
          <w:caps w:val="0"/>
          <w:color w:val="000000"/>
          <w:spacing w:val="0"/>
          <w:sz w:val="32"/>
          <w:szCs w:val="32"/>
          <w:shd w:val="clear" w:color="auto" w:fill="FFFFFF"/>
        </w:rPr>
        <w:t>3.绩效目标</w:t>
      </w:r>
    </w:p>
    <w:p w14:paraId="06A1987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w:t>
      </w:r>
      <w:r>
        <w:rPr>
          <w:rFonts w:hint="default" w:ascii="Times New Roman" w:hAnsi="Times New Roman" w:eastAsia="仿宋" w:cs="Times New Roman"/>
          <w:i w:val="0"/>
          <w:iCs w:val="0"/>
          <w:caps w:val="0"/>
          <w:color w:val="000000"/>
          <w:spacing w:val="0"/>
          <w:sz w:val="32"/>
          <w:szCs w:val="32"/>
          <w:shd w:val="clear" w:color="auto" w:fill="FFFFFF"/>
        </w:rPr>
        <w:t>1</w:t>
      </w:r>
      <w:r>
        <w:rPr>
          <w:rFonts w:hint="eastAsia" w:ascii="仿宋_GB2312" w:hAnsi="仿宋" w:eastAsia="仿宋_GB2312" w:cs="仿宋_GB2312"/>
          <w:i w:val="0"/>
          <w:iCs w:val="0"/>
          <w:caps w:val="0"/>
          <w:color w:val="000000"/>
          <w:spacing w:val="0"/>
          <w:sz w:val="32"/>
          <w:szCs w:val="32"/>
          <w:shd w:val="clear" w:color="auto" w:fill="FFFFFF"/>
        </w:rPr>
        <w:t>）推进三个重点，即配合推进药品耗材采购，推进服务价格调整，推进</w:t>
      </w:r>
      <w:r>
        <w:rPr>
          <w:rFonts w:hint="default" w:ascii="Times New Roman" w:hAnsi="Times New Roman" w:eastAsia="仿宋" w:cs="Times New Roman"/>
          <w:i w:val="0"/>
          <w:iCs w:val="0"/>
          <w:caps w:val="0"/>
          <w:color w:val="000000"/>
          <w:spacing w:val="0"/>
          <w:sz w:val="32"/>
          <w:szCs w:val="32"/>
          <w:shd w:val="clear" w:color="auto" w:fill="FFFFFF"/>
        </w:rPr>
        <w:t>DIP</w:t>
      </w:r>
      <w:r>
        <w:rPr>
          <w:rFonts w:hint="eastAsia" w:ascii="仿宋_GB2312" w:hAnsi="仿宋" w:eastAsia="仿宋_GB2312" w:cs="仿宋_GB2312"/>
          <w:i w:val="0"/>
          <w:iCs w:val="0"/>
          <w:caps w:val="0"/>
          <w:color w:val="000000"/>
          <w:spacing w:val="0"/>
          <w:sz w:val="32"/>
          <w:szCs w:val="32"/>
          <w:shd w:val="clear" w:color="auto" w:fill="FFFFFF"/>
        </w:rPr>
        <w:t>支付方式改革。</w:t>
      </w:r>
    </w:p>
    <w:p w14:paraId="785117B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w:t>
      </w:r>
      <w:r>
        <w:rPr>
          <w:rFonts w:hint="default" w:ascii="Times New Roman" w:hAnsi="Times New Roman" w:eastAsia="仿宋" w:cs="Times New Roman"/>
          <w:i w:val="0"/>
          <w:iCs w:val="0"/>
          <w:caps w:val="0"/>
          <w:color w:val="000000"/>
          <w:spacing w:val="0"/>
          <w:sz w:val="32"/>
          <w:szCs w:val="32"/>
          <w:shd w:val="clear" w:color="auto" w:fill="FFFFFF"/>
        </w:rPr>
        <w:t>2</w:t>
      </w:r>
      <w:r>
        <w:rPr>
          <w:rFonts w:hint="eastAsia" w:ascii="仿宋_GB2312" w:hAnsi="仿宋" w:eastAsia="仿宋_GB2312" w:cs="仿宋_GB2312"/>
          <w:i w:val="0"/>
          <w:iCs w:val="0"/>
          <w:caps w:val="0"/>
          <w:color w:val="000000"/>
          <w:spacing w:val="0"/>
          <w:sz w:val="32"/>
          <w:szCs w:val="32"/>
          <w:shd w:val="clear" w:color="auto" w:fill="FFFFFF"/>
        </w:rPr>
        <w:t>）突破四个难点，即突破基金监管难点，突破市本级统筹难点，突破系统上线难点，突破争先创优难点。</w:t>
      </w:r>
    </w:p>
    <w:p w14:paraId="51CC07D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楷体_GB2312" w:hAnsi="楷体_GB2312" w:eastAsia="楷体_GB2312" w:cs="楷体_GB2312"/>
          <w:b w:val="0"/>
          <w:bCs w:val="0"/>
          <w:i w:val="0"/>
          <w:iCs w:val="0"/>
          <w:caps w:val="0"/>
          <w:color w:val="000000"/>
          <w:spacing w:val="0"/>
          <w:sz w:val="32"/>
          <w:szCs w:val="32"/>
          <w:shd w:val="clear" w:color="auto" w:fill="FFFFFF"/>
        </w:rPr>
        <w:t>（二）部门（单位）整体支出规模、使用方向和主要内容、涉及范围等。</w:t>
      </w:r>
    </w:p>
    <w:p w14:paraId="574A2D8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在市委、市政府的坚强领导和省医保局的精心指导下，怀化市医疗保障系统坚持以习近平新时代中国特色社会主义思想为指导，紧紧围绕中心、服务大局，深化改革创新，强化担当作为，推动全市医疗保障事业取得新进展，管理城镇职工医保、城镇居民基本医疗保险、生育保险、大病互助等医保基金平稳运行，对基金使用进行监管，对药品和医疗服务价格进行管理，开展医疗救助工作，推进多层次的医疗保障体系建设。</w:t>
      </w:r>
    </w:p>
    <w:p w14:paraId="5A697A9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年，我部门年初预算支出</w:t>
      </w:r>
      <w:r>
        <w:rPr>
          <w:rFonts w:hint="default" w:ascii="Times New Roman" w:hAnsi="Times New Roman" w:eastAsia="仿宋" w:cs="Times New Roman"/>
          <w:i w:val="0"/>
          <w:iCs w:val="0"/>
          <w:caps w:val="0"/>
          <w:color w:val="000000"/>
          <w:spacing w:val="0"/>
          <w:sz w:val="32"/>
          <w:szCs w:val="32"/>
          <w:shd w:val="clear" w:color="auto" w:fill="FFFFFF"/>
        </w:rPr>
        <w:t>495.46</w:t>
      </w:r>
      <w:r>
        <w:rPr>
          <w:rFonts w:hint="eastAsia" w:ascii="仿宋_GB2312" w:hAnsi="仿宋" w:eastAsia="仿宋_GB2312" w:cs="仿宋_GB2312"/>
          <w:i w:val="0"/>
          <w:iCs w:val="0"/>
          <w:caps w:val="0"/>
          <w:color w:val="000000"/>
          <w:spacing w:val="0"/>
          <w:sz w:val="32"/>
          <w:szCs w:val="32"/>
          <w:shd w:val="clear" w:color="auto" w:fill="FFFFFF"/>
        </w:rPr>
        <w:t>万元，其中基本支出</w:t>
      </w:r>
      <w:r>
        <w:rPr>
          <w:rFonts w:hint="default" w:ascii="Times New Roman" w:hAnsi="Times New Roman" w:eastAsia="仿宋" w:cs="Times New Roman"/>
          <w:i w:val="0"/>
          <w:iCs w:val="0"/>
          <w:caps w:val="0"/>
          <w:color w:val="000000"/>
          <w:spacing w:val="0"/>
          <w:sz w:val="32"/>
          <w:szCs w:val="32"/>
          <w:shd w:val="clear" w:color="auto" w:fill="FFFFFF"/>
        </w:rPr>
        <w:t>350.46</w:t>
      </w:r>
      <w:r>
        <w:rPr>
          <w:rFonts w:hint="eastAsia" w:ascii="仿宋_GB2312" w:hAnsi="仿宋" w:eastAsia="仿宋_GB2312" w:cs="仿宋_GB2312"/>
          <w:i w:val="0"/>
          <w:iCs w:val="0"/>
          <w:caps w:val="0"/>
          <w:color w:val="000000"/>
          <w:spacing w:val="0"/>
          <w:sz w:val="32"/>
          <w:szCs w:val="32"/>
          <w:shd w:val="clear" w:color="auto" w:fill="FFFFFF"/>
        </w:rPr>
        <w:t>万元，项目支出</w:t>
      </w:r>
      <w:r>
        <w:rPr>
          <w:rFonts w:hint="default" w:ascii="Times New Roman" w:hAnsi="Times New Roman" w:eastAsia="仿宋" w:cs="Times New Roman"/>
          <w:i w:val="0"/>
          <w:iCs w:val="0"/>
          <w:caps w:val="0"/>
          <w:color w:val="000000"/>
          <w:spacing w:val="0"/>
          <w:sz w:val="32"/>
          <w:szCs w:val="32"/>
          <w:shd w:val="clear" w:color="auto" w:fill="FFFFFF"/>
        </w:rPr>
        <w:t>145.00</w:t>
      </w:r>
      <w:r>
        <w:rPr>
          <w:rFonts w:hint="eastAsia" w:ascii="仿宋_GB2312" w:hAnsi="仿宋" w:eastAsia="仿宋_GB2312" w:cs="仿宋_GB2312"/>
          <w:i w:val="0"/>
          <w:iCs w:val="0"/>
          <w:caps w:val="0"/>
          <w:color w:val="000000"/>
          <w:spacing w:val="0"/>
          <w:sz w:val="32"/>
          <w:szCs w:val="32"/>
          <w:shd w:val="clear" w:color="auto" w:fill="FFFFFF"/>
        </w:rPr>
        <w:t>万元。全年预算数</w:t>
      </w:r>
      <w:r>
        <w:rPr>
          <w:rFonts w:hint="default" w:ascii="Times New Roman" w:hAnsi="Times New Roman" w:eastAsia="仿宋" w:cs="Times New Roman"/>
          <w:i w:val="0"/>
          <w:iCs w:val="0"/>
          <w:caps w:val="0"/>
          <w:color w:val="000000"/>
          <w:spacing w:val="0"/>
          <w:sz w:val="32"/>
          <w:szCs w:val="32"/>
          <w:shd w:val="clear" w:color="auto" w:fill="FFFFFF"/>
        </w:rPr>
        <w:t>1040.97</w:t>
      </w:r>
      <w:r>
        <w:rPr>
          <w:rFonts w:hint="eastAsia" w:ascii="仿宋_GB2312" w:hAnsi="仿宋" w:eastAsia="仿宋_GB2312" w:cs="仿宋_GB2312"/>
          <w:i w:val="0"/>
          <w:iCs w:val="0"/>
          <w:caps w:val="0"/>
          <w:color w:val="000000"/>
          <w:spacing w:val="0"/>
          <w:sz w:val="32"/>
          <w:szCs w:val="32"/>
          <w:shd w:val="clear" w:color="auto" w:fill="FFFFFF"/>
        </w:rPr>
        <w:t>万元。部门年度总支出</w:t>
      </w:r>
      <w:r>
        <w:rPr>
          <w:rFonts w:hint="default" w:ascii="Times New Roman" w:hAnsi="Times New Roman" w:eastAsia="仿宋" w:cs="Times New Roman"/>
          <w:i w:val="0"/>
          <w:iCs w:val="0"/>
          <w:caps w:val="0"/>
          <w:color w:val="000000"/>
          <w:spacing w:val="0"/>
          <w:sz w:val="32"/>
          <w:szCs w:val="32"/>
          <w:shd w:val="clear" w:color="auto" w:fill="FFFFFF"/>
        </w:rPr>
        <w:t>990.15</w:t>
      </w:r>
      <w:r>
        <w:rPr>
          <w:rFonts w:hint="eastAsia" w:ascii="仿宋_GB2312" w:hAnsi="仿宋" w:eastAsia="仿宋_GB2312" w:cs="仿宋_GB2312"/>
          <w:i w:val="0"/>
          <w:iCs w:val="0"/>
          <w:caps w:val="0"/>
          <w:color w:val="000000"/>
          <w:spacing w:val="0"/>
          <w:sz w:val="32"/>
          <w:szCs w:val="32"/>
          <w:shd w:val="clear" w:color="auto" w:fill="FFFFFF"/>
        </w:rPr>
        <w:t>万元，其中基本支出</w:t>
      </w:r>
      <w:r>
        <w:rPr>
          <w:rFonts w:hint="default" w:ascii="Times New Roman" w:hAnsi="Times New Roman" w:eastAsia="仿宋" w:cs="Times New Roman"/>
          <w:i w:val="0"/>
          <w:iCs w:val="0"/>
          <w:caps w:val="0"/>
          <w:color w:val="000000"/>
          <w:spacing w:val="0"/>
          <w:sz w:val="32"/>
          <w:szCs w:val="32"/>
          <w:shd w:val="clear" w:color="auto" w:fill="FFFFFF"/>
        </w:rPr>
        <w:t>394.41</w:t>
      </w:r>
      <w:r>
        <w:rPr>
          <w:rFonts w:hint="eastAsia" w:ascii="仿宋_GB2312" w:hAnsi="仿宋" w:eastAsia="仿宋_GB2312" w:cs="仿宋_GB2312"/>
          <w:i w:val="0"/>
          <w:iCs w:val="0"/>
          <w:caps w:val="0"/>
          <w:color w:val="000000"/>
          <w:spacing w:val="0"/>
          <w:sz w:val="32"/>
          <w:szCs w:val="32"/>
          <w:shd w:val="clear" w:color="auto" w:fill="FFFFFF"/>
        </w:rPr>
        <w:t>万元，项目支出</w:t>
      </w:r>
      <w:r>
        <w:rPr>
          <w:rFonts w:hint="default" w:ascii="Times New Roman" w:hAnsi="Times New Roman" w:eastAsia="仿宋" w:cs="Times New Roman"/>
          <w:i w:val="0"/>
          <w:iCs w:val="0"/>
          <w:caps w:val="0"/>
          <w:color w:val="000000"/>
          <w:spacing w:val="0"/>
          <w:sz w:val="32"/>
          <w:szCs w:val="32"/>
          <w:shd w:val="clear" w:color="auto" w:fill="FFFFFF"/>
        </w:rPr>
        <w:t>595.74</w:t>
      </w:r>
      <w:r>
        <w:rPr>
          <w:rFonts w:hint="eastAsia" w:ascii="仿宋_GB2312" w:hAnsi="仿宋" w:eastAsia="仿宋_GB2312" w:cs="仿宋_GB2312"/>
          <w:i w:val="0"/>
          <w:iCs w:val="0"/>
          <w:caps w:val="0"/>
          <w:color w:val="000000"/>
          <w:spacing w:val="0"/>
          <w:sz w:val="32"/>
          <w:szCs w:val="32"/>
          <w:shd w:val="clear" w:color="auto" w:fill="FFFFFF"/>
        </w:rPr>
        <w:t>万元。用于工资福利的支出</w:t>
      </w:r>
      <w:r>
        <w:rPr>
          <w:rFonts w:hint="default" w:ascii="Times New Roman" w:hAnsi="Times New Roman" w:eastAsia="仿宋" w:cs="Times New Roman"/>
          <w:i w:val="0"/>
          <w:iCs w:val="0"/>
          <w:caps w:val="0"/>
          <w:color w:val="000000"/>
          <w:spacing w:val="0"/>
          <w:sz w:val="32"/>
          <w:szCs w:val="32"/>
          <w:shd w:val="clear" w:color="auto" w:fill="FFFFFF"/>
        </w:rPr>
        <w:t>348.40</w:t>
      </w:r>
      <w:r>
        <w:rPr>
          <w:rFonts w:hint="eastAsia" w:ascii="仿宋_GB2312" w:hAnsi="仿宋" w:eastAsia="仿宋_GB2312" w:cs="仿宋_GB2312"/>
          <w:i w:val="0"/>
          <w:iCs w:val="0"/>
          <w:caps w:val="0"/>
          <w:color w:val="000000"/>
          <w:spacing w:val="0"/>
          <w:sz w:val="32"/>
          <w:szCs w:val="32"/>
          <w:shd w:val="clear" w:color="auto" w:fill="FFFFFF"/>
        </w:rPr>
        <w:t>万元，商品和服务支出</w:t>
      </w:r>
      <w:r>
        <w:rPr>
          <w:rFonts w:hint="default" w:ascii="Times New Roman" w:hAnsi="Times New Roman" w:eastAsia="仿宋" w:cs="Times New Roman"/>
          <w:i w:val="0"/>
          <w:iCs w:val="0"/>
          <w:caps w:val="0"/>
          <w:color w:val="000000"/>
          <w:spacing w:val="0"/>
          <w:sz w:val="32"/>
          <w:szCs w:val="32"/>
          <w:shd w:val="clear" w:color="auto" w:fill="FFFFFF"/>
        </w:rPr>
        <w:t>639.03</w:t>
      </w:r>
      <w:r>
        <w:rPr>
          <w:rFonts w:hint="eastAsia" w:ascii="仿宋_GB2312" w:hAnsi="仿宋" w:eastAsia="仿宋_GB2312" w:cs="仿宋_GB2312"/>
          <w:i w:val="0"/>
          <w:iCs w:val="0"/>
          <w:caps w:val="0"/>
          <w:color w:val="000000"/>
          <w:spacing w:val="0"/>
          <w:sz w:val="32"/>
          <w:szCs w:val="32"/>
          <w:shd w:val="clear" w:color="auto" w:fill="FFFFFF"/>
        </w:rPr>
        <w:t>万元，对个人和家庭的补助支出</w:t>
      </w:r>
      <w:r>
        <w:rPr>
          <w:rFonts w:hint="default" w:ascii="Times New Roman" w:hAnsi="Times New Roman" w:eastAsia="仿宋" w:cs="Times New Roman"/>
          <w:i w:val="0"/>
          <w:iCs w:val="0"/>
          <w:caps w:val="0"/>
          <w:color w:val="000000"/>
          <w:spacing w:val="0"/>
          <w:sz w:val="32"/>
          <w:szCs w:val="32"/>
          <w:shd w:val="clear" w:color="auto" w:fill="FFFFFF"/>
        </w:rPr>
        <w:t>1.23</w:t>
      </w:r>
      <w:r>
        <w:rPr>
          <w:rFonts w:hint="eastAsia" w:ascii="仿宋_GB2312" w:hAnsi="仿宋" w:eastAsia="仿宋_GB2312" w:cs="仿宋_GB2312"/>
          <w:i w:val="0"/>
          <w:iCs w:val="0"/>
          <w:caps w:val="0"/>
          <w:color w:val="000000"/>
          <w:spacing w:val="0"/>
          <w:sz w:val="32"/>
          <w:szCs w:val="32"/>
          <w:shd w:val="clear" w:color="auto" w:fill="FFFFFF"/>
        </w:rPr>
        <w:t>万元，资本性支出</w:t>
      </w:r>
      <w:r>
        <w:rPr>
          <w:rFonts w:hint="default" w:ascii="Times New Roman" w:hAnsi="Times New Roman" w:eastAsia="仿宋" w:cs="Times New Roman"/>
          <w:i w:val="0"/>
          <w:iCs w:val="0"/>
          <w:caps w:val="0"/>
          <w:color w:val="000000"/>
          <w:spacing w:val="0"/>
          <w:sz w:val="32"/>
          <w:szCs w:val="32"/>
          <w:shd w:val="clear" w:color="auto" w:fill="FFFFFF"/>
        </w:rPr>
        <w:t>1.49</w:t>
      </w:r>
      <w:r>
        <w:rPr>
          <w:rFonts w:hint="eastAsia" w:ascii="仿宋_GB2312" w:hAnsi="仿宋" w:eastAsia="仿宋_GB2312" w:cs="仿宋_GB2312"/>
          <w:i w:val="0"/>
          <w:iCs w:val="0"/>
          <w:caps w:val="0"/>
          <w:color w:val="000000"/>
          <w:spacing w:val="0"/>
          <w:sz w:val="32"/>
          <w:szCs w:val="32"/>
          <w:shd w:val="clear" w:color="auto" w:fill="FFFFFF"/>
        </w:rPr>
        <w:t>万元。</w:t>
      </w:r>
    </w:p>
    <w:p w14:paraId="4D40F74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ascii="Calibri" w:hAnsi="Calibri" w:cs="Calibri"/>
          <w:i w:val="0"/>
          <w:iCs w:val="0"/>
          <w:caps w:val="0"/>
          <w:color w:val="3D3D3D"/>
          <w:spacing w:val="0"/>
          <w:sz w:val="28"/>
          <w:szCs w:val="28"/>
        </w:rPr>
      </w:pPr>
      <w:r>
        <w:rPr>
          <w:rFonts w:ascii="黑体" w:hAnsi="宋体" w:eastAsia="黑体" w:cs="黑体"/>
          <w:i w:val="0"/>
          <w:iCs w:val="0"/>
          <w:caps w:val="0"/>
          <w:color w:val="000000"/>
          <w:spacing w:val="0"/>
          <w:sz w:val="32"/>
          <w:szCs w:val="32"/>
          <w:shd w:val="clear" w:color="auto" w:fill="FFFFFF"/>
        </w:rPr>
        <w:t>二、一般公共预算支出情况</w:t>
      </w:r>
    </w:p>
    <w:p w14:paraId="6E9C801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楷体_GB2312" w:hAnsi="楷体_GB2312" w:eastAsia="楷体_GB2312" w:cs="楷体_GB2312"/>
          <w:b w:val="0"/>
          <w:bCs w:val="0"/>
          <w:i w:val="0"/>
          <w:iCs w:val="0"/>
          <w:caps w:val="0"/>
          <w:color w:val="000000"/>
          <w:spacing w:val="0"/>
          <w:sz w:val="32"/>
          <w:szCs w:val="32"/>
          <w:shd w:val="clear" w:color="auto" w:fill="FFFFFF"/>
        </w:rPr>
        <w:t>（一）基本支出情况</w:t>
      </w:r>
    </w:p>
    <w:p w14:paraId="49BB98B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年本部门基本支出预算数</w:t>
      </w:r>
      <w:r>
        <w:rPr>
          <w:rFonts w:hint="default" w:ascii="Times New Roman" w:hAnsi="Times New Roman" w:eastAsia="仿宋" w:cs="Times New Roman"/>
          <w:i w:val="0"/>
          <w:iCs w:val="0"/>
          <w:caps w:val="0"/>
          <w:color w:val="000000"/>
          <w:spacing w:val="0"/>
          <w:sz w:val="32"/>
          <w:szCs w:val="32"/>
          <w:shd w:val="clear" w:color="auto" w:fill="FFFFFF"/>
        </w:rPr>
        <w:t>394.41</w:t>
      </w:r>
      <w:r>
        <w:rPr>
          <w:rFonts w:hint="eastAsia" w:ascii="仿宋_GB2312" w:hAnsi="仿宋" w:eastAsia="仿宋_GB2312" w:cs="仿宋_GB2312"/>
          <w:i w:val="0"/>
          <w:iCs w:val="0"/>
          <w:caps w:val="0"/>
          <w:color w:val="000000"/>
          <w:spacing w:val="0"/>
          <w:sz w:val="32"/>
          <w:szCs w:val="32"/>
          <w:shd w:val="clear" w:color="auto" w:fill="FFFFFF"/>
        </w:rPr>
        <w:t>万元，主要是为保障部门正常运转、完成日常工作任务而发生的各项支出，包括用于基本工资、津贴补贴等人员经费以及办公费、印刷费、水电费、办公设备购置等公用经费。</w:t>
      </w:r>
    </w:p>
    <w:p w14:paraId="22499B3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年本部门基本支出决算数</w:t>
      </w:r>
      <w:r>
        <w:rPr>
          <w:rFonts w:hint="default" w:ascii="Times New Roman" w:hAnsi="Times New Roman" w:eastAsia="仿宋" w:cs="Times New Roman"/>
          <w:i w:val="0"/>
          <w:iCs w:val="0"/>
          <w:caps w:val="0"/>
          <w:color w:val="000000"/>
          <w:spacing w:val="0"/>
          <w:sz w:val="32"/>
          <w:szCs w:val="32"/>
          <w:shd w:val="clear" w:color="auto" w:fill="FFFFFF"/>
        </w:rPr>
        <w:t>394.41</w:t>
      </w:r>
      <w:r>
        <w:rPr>
          <w:rFonts w:hint="eastAsia" w:ascii="仿宋_GB2312" w:hAnsi="仿宋" w:eastAsia="仿宋_GB2312" w:cs="仿宋_GB2312"/>
          <w:i w:val="0"/>
          <w:iCs w:val="0"/>
          <w:caps w:val="0"/>
          <w:color w:val="000000"/>
          <w:spacing w:val="0"/>
          <w:sz w:val="32"/>
          <w:szCs w:val="32"/>
          <w:shd w:val="clear" w:color="auto" w:fill="FFFFFF"/>
        </w:rPr>
        <w:t>万元，其中人员经费支出</w:t>
      </w:r>
      <w:r>
        <w:rPr>
          <w:rFonts w:hint="default" w:ascii="Times New Roman" w:hAnsi="Times New Roman" w:eastAsia="仿宋" w:cs="Times New Roman"/>
          <w:i w:val="0"/>
          <w:iCs w:val="0"/>
          <w:caps w:val="0"/>
          <w:color w:val="000000"/>
          <w:spacing w:val="0"/>
          <w:sz w:val="32"/>
          <w:szCs w:val="32"/>
          <w:shd w:val="clear" w:color="auto" w:fill="FFFFFF"/>
        </w:rPr>
        <w:t>347.87</w:t>
      </w:r>
      <w:r>
        <w:rPr>
          <w:rFonts w:hint="eastAsia" w:ascii="仿宋_GB2312" w:hAnsi="仿宋" w:eastAsia="仿宋_GB2312" w:cs="仿宋_GB2312"/>
          <w:i w:val="0"/>
          <w:iCs w:val="0"/>
          <w:caps w:val="0"/>
          <w:color w:val="000000"/>
          <w:spacing w:val="0"/>
          <w:sz w:val="32"/>
          <w:szCs w:val="32"/>
          <w:shd w:val="clear" w:color="auto" w:fill="FFFFFF"/>
        </w:rPr>
        <w:t>万元，包括基本工资</w:t>
      </w:r>
      <w:r>
        <w:rPr>
          <w:rFonts w:hint="default" w:ascii="Times New Roman" w:hAnsi="Times New Roman" w:eastAsia="仿宋" w:cs="Times New Roman"/>
          <w:i w:val="0"/>
          <w:iCs w:val="0"/>
          <w:caps w:val="0"/>
          <w:color w:val="000000"/>
          <w:spacing w:val="0"/>
          <w:sz w:val="32"/>
          <w:szCs w:val="32"/>
          <w:shd w:val="clear" w:color="auto" w:fill="FFFFFF"/>
        </w:rPr>
        <w:t>66.00</w:t>
      </w:r>
      <w:r>
        <w:rPr>
          <w:rFonts w:hint="eastAsia" w:ascii="仿宋_GB2312" w:hAnsi="仿宋" w:eastAsia="仿宋_GB2312" w:cs="仿宋_GB2312"/>
          <w:i w:val="0"/>
          <w:iCs w:val="0"/>
          <w:caps w:val="0"/>
          <w:color w:val="000000"/>
          <w:spacing w:val="0"/>
          <w:sz w:val="32"/>
          <w:szCs w:val="32"/>
          <w:shd w:val="clear" w:color="auto" w:fill="FFFFFF"/>
        </w:rPr>
        <w:t>万元、津贴补贴</w:t>
      </w:r>
      <w:r>
        <w:rPr>
          <w:rFonts w:hint="default" w:ascii="Times New Roman" w:hAnsi="Times New Roman" w:eastAsia="仿宋" w:cs="Times New Roman"/>
          <w:i w:val="0"/>
          <w:iCs w:val="0"/>
          <w:caps w:val="0"/>
          <w:color w:val="000000"/>
          <w:spacing w:val="0"/>
          <w:sz w:val="32"/>
          <w:szCs w:val="32"/>
          <w:shd w:val="clear" w:color="auto" w:fill="FFFFFF"/>
        </w:rPr>
        <w:t>56.26</w:t>
      </w:r>
      <w:r>
        <w:rPr>
          <w:rFonts w:hint="eastAsia" w:ascii="仿宋_GB2312" w:hAnsi="仿宋" w:eastAsia="仿宋_GB2312" w:cs="仿宋_GB2312"/>
          <w:i w:val="0"/>
          <w:iCs w:val="0"/>
          <w:caps w:val="0"/>
          <w:color w:val="000000"/>
          <w:spacing w:val="0"/>
          <w:sz w:val="32"/>
          <w:szCs w:val="32"/>
          <w:shd w:val="clear" w:color="auto" w:fill="FFFFFF"/>
        </w:rPr>
        <w:t>万元、奖金</w:t>
      </w:r>
      <w:r>
        <w:rPr>
          <w:rFonts w:hint="default" w:ascii="Times New Roman" w:hAnsi="Times New Roman" w:eastAsia="仿宋" w:cs="Times New Roman"/>
          <w:i w:val="0"/>
          <w:iCs w:val="0"/>
          <w:caps w:val="0"/>
          <w:color w:val="000000"/>
          <w:spacing w:val="0"/>
          <w:sz w:val="32"/>
          <w:szCs w:val="32"/>
          <w:shd w:val="clear" w:color="auto" w:fill="FFFFFF"/>
        </w:rPr>
        <w:t>44.48</w:t>
      </w:r>
      <w:r>
        <w:rPr>
          <w:rFonts w:hint="eastAsia" w:ascii="仿宋_GB2312" w:hAnsi="仿宋" w:eastAsia="仿宋_GB2312" w:cs="仿宋_GB2312"/>
          <w:i w:val="0"/>
          <w:iCs w:val="0"/>
          <w:caps w:val="0"/>
          <w:color w:val="000000"/>
          <w:spacing w:val="0"/>
          <w:sz w:val="32"/>
          <w:szCs w:val="32"/>
          <w:shd w:val="clear" w:color="auto" w:fill="FFFFFF"/>
        </w:rPr>
        <w:t>万元、绩效工资</w:t>
      </w:r>
      <w:r>
        <w:rPr>
          <w:rFonts w:hint="default" w:ascii="Times New Roman" w:hAnsi="Times New Roman" w:eastAsia="仿宋" w:cs="Times New Roman"/>
          <w:i w:val="0"/>
          <w:iCs w:val="0"/>
          <w:caps w:val="0"/>
          <w:color w:val="000000"/>
          <w:spacing w:val="0"/>
          <w:sz w:val="32"/>
          <w:szCs w:val="32"/>
          <w:shd w:val="clear" w:color="auto" w:fill="FFFFFF"/>
        </w:rPr>
        <w:t>42.21</w:t>
      </w:r>
      <w:r>
        <w:rPr>
          <w:rFonts w:hint="eastAsia" w:ascii="仿宋_GB2312" w:hAnsi="仿宋" w:eastAsia="仿宋_GB2312" w:cs="仿宋_GB2312"/>
          <w:i w:val="0"/>
          <w:iCs w:val="0"/>
          <w:caps w:val="0"/>
          <w:color w:val="000000"/>
          <w:spacing w:val="0"/>
          <w:sz w:val="32"/>
          <w:szCs w:val="32"/>
          <w:shd w:val="clear" w:color="auto" w:fill="FFFFFF"/>
        </w:rPr>
        <w:t>万元、机关事业单位基本养老保险缴费</w:t>
      </w:r>
      <w:r>
        <w:rPr>
          <w:rFonts w:hint="default" w:ascii="Times New Roman" w:hAnsi="Times New Roman" w:eastAsia="仿宋" w:cs="Times New Roman"/>
          <w:i w:val="0"/>
          <w:iCs w:val="0"/>
          <w:caps w:val="0"/>
          <w:color w:val="000000"/>
          <w:spacing w:val="0"/>
          <w:sz w:val="32"/>
          <w:szCs w:val="32"/>
          <w:shd w:val="clear" w:color="auto" w:fill="FFFFFF"/>
        </w:rPr>
        <w:t>51.25</w:t>
      </w:r>
      <w:r>
        <w:rPr>
          <w:rFonts w:hint="eastAsia" w:ascii="仿宋_GB2312" w:hAnsi="仿宋" w:eastAsia="仿宋_GB2312" w:cs="仿宋_GB2312"/>
          <w:i w:val="0"/>
          <w:iCs w:val="0"/>
          <w:caps w:val="0"/>
          <w:color w:val="000000"/>
          <w:spacing w:val="0"/>
          <w:sz w:val="32"/>
          <w:szCs w:val="32"/>
          <w:shd w:val="clear" w:color="auto" w:fill="FFFFFF"/>
        </w:rPr>
        <w:t>万元、职业年金</w:t>
      </w:r>
      <w:r>
        <w:rPr>
          <w:rFonts w:hint="default" w:ascii="Times New Roman" w:hAnsi="Times New Roman" w:eastAsia="仿宋" w:cs="Times New Roman"/>
          <w:i w:val="0"/>
          <w:iCs w:val="0"/>
          <w:caps w:val="0"/>
          <w:color w:val="000000"/>
          <w:spacing w:val="0"/>
          <w:sz w:val="32"/>
          <w:szCs w:val="32"/>
          <w:shd w:val="clear" w:color="auto" w:fill="FFFFFF"/>
        </w:rPr>
        <w:t>9.17</w:t>
      </w:r>
      <w:r>
        <w:rPr>
          <w:rFonts w:hint="eastAsia" w:ascii="仿宋_GB2312" w:hAnsi="仿宋" w:eastAsia="仿宋_GB2312" w:cs="仿宋_GB2312"/>
          <w:i w:val="0"/>
          <w:iCs w:val="0"/>
          <w:caps w:val="0"/>
          <w:color w:val="000000"/>
          <w:spacing w:val="0"/>
          <w:sz w:val="32"/>
          <w:szCs w:val="32"/>
          <w:shd w:val="clear" w:color="auto" w:fill="FFFFFF"/>
        </w:rPr>
        <w:t>万元、职工基本医疗保险缴费</w:t>
      </w:r>
      <w:r>
        <w:rPr>
          <w:rFonts w:hint="default" w:ascii="Times New Roman" w:hAnsi="Times New Roman" w:eastAsia="仿宋" w:cs="Times New Roman"/>
          <w:i w:val="0"/>
          <w:iCs w:val="0"/>
          <w:caps w:val="0"/>
          <w:color w:val="000000"/>
          <w:spacing w:val="0"/>
          <w:sz w:val="32"/>
          <w:szCs w:val="32"/>
          <w:shd w:val="clear" w:color="auto" w:fill="FFFFFF"/>
        </w:rPr>
        <w:t>18.92</w:t>
      </w:r>
      <w:r>
        <w:rPr>
          <w:rFonts w:hint="eastAsia" w:ascii="仿宋_GB2312" w:hAnsi="仿宋" w:eastAsia="仿宋_GB2312" w:cs="仿宋_GB2312"/>
          <w:i w:val="0"/>
          <w:iCs w:val="0"/>
          <w:caps w:val="0"/>
          <w:color w:val="000000"/>
          <w:spacing w:val="0"/>
          <w:sz w:val="32"/>
          <w:szCs w:val="32"/>
          <w:shd w:val="clear" w:color="auto" w:fill="FFFFFF"/>
        </w:rPr>
        <w:t>万元、其他社会保障缴费</w:t>
      </w:r>
      <w:r>
        <w:rPr>
          <w:rFonts w:hint="default" w:ascii="Times New Roman" w:hAnsi="Times New Roman" w:eastAsia="仿宋" w:cs="Times New Roman"/>
          <w:i w:val="0"/>
          <w:iCs w:val="0"/>
          <w:caps w:val="0"/>
          <w:color w:val="000000"/>
          <w:spacing w:val="0"/>
          <w:sz w:val="32"/>
          <w:szCs w:val="32"/>
          <w:shd w:val="clear" w:color="auto" w:fill="FFFFFF"/>
        </w:rPr>
        <w:t>3.30</w:t>
      </w:r>
      <w:r>
        <w:rPr>
          <w:rFonts w:hint="eastAsia" w:ascii="仿宋_GB2312" w:hAnsi="仿宋" w:eastAsia="仿宋_GB2312" w:cs="仿宋_GB2312"/>
          <w:i w:val="0"/>
          <w:iCs w:val="0"/>
          <w:caps w:val="0"/>
          <w:color w:val="000000"/>
          <w:spacing w:val="0"/>
          <w:sz w:val="32"/>
          <w:szCs w:val="32"/>
          <w:shd w:val="clear" w:color="auto" w:fill="FFFFFF"/>
        </w:rPr>
        <w:t>万元、住房公积金</w:t>
      </w:r>
      <w:r>
        <w:rPr>
          <w:rFonts w:hint="default" w:ascii="Times New Roman" w:hAnsi="Times New Roman" w:eastAsia="仿宋" w:cs="Times New Roman"/>
          <w:i w:val="0"/>
          <w:iCs w:val="0"/>
          <w:caps w:val="0"/>
          <w:color w:val="000000"/>
          <w:spacing w:val="0"/>
          <w:sz w:val="32"/>
          <w:szCs w:val="32"/>
          <w:shd w:val="clear" w:color="auto" w:fill="FFFFFF"/>
        </w:rPr>
        <w:t>56.80</w:t>
      </w:r>
      <w:r>
        <w:rPr>
          <w:rFonts w:hint="eastAsia" w:ascii="仿宋_GB2312" w:hAnsi="仿宋" w:eastAsia="仿宋_GB2312" w:cs="仿宋_GB2312"/>
          <w:i w:val="0"/>
          <w:iCs w:val="0"/>
          <w:caps w:val="0"/>
          <w:color w:val="000000"/>
          <w:spacing w:val="0"/>
          <w:sz w:val="32"/>
          <w:szCs w:val="32"/>
          <w:shd w:val="clear" w:color="auto" w:fill="FFFFFF"/>
        </w:rPr>
        <w:t>万元、其他工资福利支出</w:t>
      </w:r>
      <w:r>
        <w:rPr>
          <w:rFonts w:hint="default" w:ascii="Times New Roman" w:hAnsi="Times New Roman" w:eastAsia="仿宋" w:cs="Times New Roman"/>
          <w:i w:val="0"/>
          <w:iCs w:val="0"/>
          <w:caps w:val="0"/>
          <w:color w:val="000000"/>
          <w:spacing w:val="0"/>
          <w:sz w:val="32"/>
          <w:szCs w:val="32"/>
          <w:shd w:val="clear" w:color="auto" w:fill="FFFFFF"/>
        </w:rPr>
        <w:t>3.37</w:t>
      </w:r>
      <w:r>
        <w:rPr>
          <w:rFonts w:hint="eastAsia" w:ascii="仿宋_GB2312" w:hAnsi="仿宋" w:eastAsia="仿宋_GB2312" w:cs="仿宋_GB2312"/>
          <w:i w:val="0"/>
          <w:iCs w:val="0"/>
          <w:caps w:val="0"/>
          <w:color w:val="000000"/>
          <w:spacing w:val="0"/>
          <w:sz w:val="32"/>
          <w:szCs w:val="32"/>
          <w:shd w:val="clear" w:color="auto" w:fill="FFFFFF"/>
        </w:rPr>
        <w:t>万元、生活补助</w:t>
      </w:r>
      <w:r>
        <w:rPr>
          <w:rFonts w:hint="default" w:ascii="Times New Roman" w:hAnsi="Times New Roman" w:eastAsia="仿宋" w:cs="Times New Roman"/>
          <w:i w:val="0"/>
          <w:iCs w:val="0"/>
          <w:caps w:val="0"/>
          <w:color w:val="000000"/>
          <w:spacing w:val="0"/>
          <w:sz w:val="32"/>
          <w:szCs w:val="32"/>
          <w:shd w:val="clear" w:color="auto" w:fill="FFFFFF"/>
        </w:rPr>
        <w:t>0.93</w:t>
      </w:r>
      <w:r>
        <w:rPr>
          <w:rFonts w:hint="eastAsia" w:ascii="仿宋_GB2312" w:hAnsi="仿宋" w:eastAsia="仿宋_GB2312" w:cs="仿宋_GB2312"/>
          <w:i w:val="0"/>
          <w:iCs w:val="0"/>
          <w:caps w:val="0"/>
          <w:color w:val="000000"/>
          <w:spacing w:val="0"/>
          <w:sz w:val="32"/>
          <w:szCs w:val="32"/>
          <w:shd w:val="clear" w:color="auto" w:fill="FFFFFF"/>
        </w:rPr>
        <w:t>万元、奖励金</w:t>
      </w:r>
      <w:r>
        <w:rPr>
          <w:rFonts w:hint="default" w:ascii="Times New Roman" w:hAnsi="Times New Roman" w:eastAsia="仿宋" w:cs="Times New Roman"/>
          <w:i w:val="0"/>
          <w:iCs w:val="0"/>
          <w:caps w:val="0"/>
          <w:color w:val="000000"/>
          <w:spacing w:val="0"/>
          <w:sz w:val="32"/>
          <w:szCs w:val="32"/>
          <w:shd w:val="clear" w:color="auto" w:fill="FFFFFF"/>
        </w:rPr>
        <w:t>0.30</w:t>
      </w:r>
      <w:r>
        <w:rPr>
          <w:rFonts w:hint="eastAsia" w:ascii="仿宋_GB2312" w:hAnsi="仿宋" w:eastAsia="仿宋_GB2312" w:cs="仿宋_GB2312"/>
          <w:i w:val="0"/>
          <w:iCs w:val="0"/>
          <w:caps w:val="0"/>
          <w:color w:val="000000"/>
          <w:spacing w:val="0"/>
          <w:sz w:val="32"/>
          <w:szCs w:val="32"/>
          <w:shd w:val="clear" w:color="auto" w:fill="FFFFFF"/>
        </w:rPr>
        <w:t>万元。公用经费支出</w:t>
      </w:r>
      <w:r>
        <w:rPr>
          <w:rFonts w:hint="default" w:ascii="Times New Roman" w:hAnsi="Times New Roman" w:eastAsia="仿宋" w:cs="Times New Roman"/>
          <w:i w:val="0"/>
          <w:iCs w:val="0"/>
          <w:caps w:val="0"/>
          <w:color w:val="000000"/>
          <w:spacing w:val="0"/>
          <w:sz w:val="32"/>
          <w:szCs w:val="32"/>
          <w:shd w:val="clear" w:color="auto" w:fill="FFFFFF"/>
        </w:rPr>
        <w:t>46.54</w:t>
      </w:r>
      <w:r>
        <w:rPr>
          <w:rFonts w:hint="eastAsia" w:ascii="仿宋_GB2312" w:hAnsi="仿宋" w:eastAsia="仿宋_GB2312" w:cs="仿宋_GB2312"/>
          <w:i w:val="0"/>
          <w:iCs w:val="0"/>
          <w:caps w:val="0"/>
          <w:color w:val="000000"/>
          <w:spacing w:val="0"/>
          <w:sz w:val="32"/>
          <w:szCs w:val="32"/>
          <w:shd w:val="clear" w:color="auto" w:fill="FFFFFF"/>
        </w:rPr>
        <w:t>万元，包含办公费</w:t>
      </w:r>
      <w:r>
        <w:rPr>
          <w:rFonts w:hint="default" w:ascii="Times New Roman" w:hAnsi="Times New Roman" w:eastAsia="仿宋" w:cs="Times New Roman"/>
          <w:i w:val="0"/>
          <w:iCs w:val="0"/>
          <w:caps w:val="0"/>
          <w:color w:val="000000"/>
          <w:spacing w:val="0"/>
          <w:sz w:val="32"/>
          <w:szCs w:val="32"/>
          <w:shd w:val="clear" w:color="auto" w:fill="FFFFFF"/>
        </w:rPr>
        <w:t>1.62</w:t>
      </w:r>
      <w:r>
        <w:rPr>
          <w:rFonts w:hint="eastAsia" w:ascii="仿宋_GB2312" w:hAnsi="仿宋" w:eastAsia="仿宋_GB2312" w:cs="仿宋_GB2312"/>
          <w:i w:val="0"/>
          <w:iCs w:val="0"/>
          <w:caps w:val="0"/>
          <w:color w:val="000000"/>
          <w:spacing w:val="0"/>
          <w:sz w:val="32"/>
          <w:szCs w:val="32"/>
          <w:shd w:val="clear" w:color="auto" w:fill="FFFFFF"/>
        </w:rPr>
        <w:t>万元、印刷费</w:t>
      </w:r>
      <w:r>
        <w:rPr>
          <w:rFonts w:hint="default" w:ascii="Times New Roman" w:hAnsi="Times New Roman" w:eastAsia="仿宋" w:cs="Times New Roman"/>
          <w:i w:val="0"/>
          <w:iCs w:val="0"/>
          <w:caps w:val="0"/>
          <w:color w:val="000000"/>
          <w:spacing w:val="0"/>
          <w:sz w:val="32"/>
          <w:szCs w:val="32"/>
          <w:shd w:val="clear" w:color="auto" w:fill="FFFFFF"/>
        </w:rPr>
        <w:t>0.08</w:t>
      </w:r>
      <w:r>
        <w:rPr>
          <w:rFonts w:hint="eastAsia" w:ascii="仿宋_GB2312" w:hAnsi="仿宋" w:eastAsia="仿宋_GB2312" w:cs="仿宋_GB2312"/>
          <w:i w:val="0"/>
          <w:iCs w:val="0"/>
          <w:caps w:val="0"/>
          <w:color w:val="000000"/>
          <w:spacing w:val="0"/>
          <w:sz w:val="32"/>
          <w:szCs w:val="32"/>
          <w:shd w:val="clear" w:color="auto" w:fill="FFFFFF"/>
        </w:rPr>
        <w:t>万元、电费</w:t>
      </w:r>
      <w:r>
        <w:rPr>
          <w:rFonts w:hint="default" w:ascii="Times New Roman" w:hAnsi="Times New Roman" w:eastAsia="仿宋" w:cs="Times New Roman"/>
          <w:i w:val="0"/>
          <w:iCs w:val="0"/>
          <w:caps w:val="0"/>
          <w:color w:val="000000"/>
          <w:spacing w:val="0"/>
          <w:sz w:val="32"/>
          <w:szCs w:val="32"/>
          <w:shd w:val="clear" w:color="auto" w:fill="FFFFFF"/>
        </w:rPr>
        <w:t>0.14</w:t>
      </w:r>
      <w:r>
        <w:rPr>
          <w:rFonts w:hint="eastAsia" w:ascii="仿宋_GB2312" w:hAnsi="仿宋" w:eastAsia="仿宋_GB2312" w:cs="仿宋_GB2312"/>
          <w:i w:val="0"/>
          <w:iCs w:val="0"/>
          <w:caps w:val="0"/>
          <w:color w:val="000000"/>
          <w:spacing w:val="0"/>
          <w:sz w:val="32"/>
          <w:szCs w:val="32"/>
          <w:shd w:val="clear" w:color="auto" w:fill="FFFFFF"/>
        </w:rPr>
        <w:t>万元、邮电费</w:t>
      </w:r>
      <w:r>
        <w:rPr>
          <w:rFonts w:hint="default" w:ascii="Times New Roman" w:hAnsi="Times New Roman" w:eastAsia="仿宋" w:cs="Times New Roman"/>
          <w:i w:val="0"/>
          <w:iCs w:val="0"/>
          <w:caps w:val="0"/>
          <w:color w:val="000000"/>
          <w:spacing w:val="0"/>
          <w:sz w:val="32"/>
          <w:szCs w:val="32"/>
          <w:shd w:val="clear" w:color="auto" w:fill="FFFFFF"/>
        </w:rPr>
        <w:t>0.49</w:t>
      </w:r>
      <w:r>
        <w:rPr>
          <w:rFonts w:hint="eastAsia" w:ascii="仿宋_GB2312" w:hAnsi="仿宋" w:eastAsia="仿宋_GB2312" w:cs="仿宋_GB2312"/>
          <w:i w:val="0"/>
          <w:iCs w:val="0"/>
          <w:caps w:val="0"/>
          <w:color w:val="000000"/>
          <w:spacing w:val="0"/>
          <w:sz w:val="32"/>
          <w:szCs w:val="32"/>
          <w:shd w:val="clear" w:color="auto" w:fill="FFFFFF"/>
        </w:rPr>
        <w:t>万元、差旅费</w:t>
      </w:r>
      <w:r>
        <w:rPr>
          <w:rFonts w:hint="default" w:ascii="Times New Roman" w:hAnsi="Times New Roman" w:eastAsia="仿宋" w:cs="Times New Roman"/>
          <w:i w:val="0"/>
          <w:iCs w:val="0"/>
          <w:caps w:val="0"/>
          <w:color w:val="000000"/>
          <w:spacing w:val="0"/>
          <w:sz w:val="32"/>
          <w:szCs w:val="32"/>
          <w:shd w:val="clear" w:color="auto" w:fill="FFFFFF"/>
        </w:rPr>
        <w:t>2.50</w:t>
      </w:r>
      <w:r>
        <w:rPr>
          <w:rFonts w:hint="eastAsia" w:ascii="仿宋_GB2312" w:hAnsi="仿宋" w:eastAsia="仿宋_GB2312" w:cs="仿宋_GB2312"/>
          <w:i w:val="0"/>
          <w:iCs w:val="0"/>
          <w:caps w:val="0"/>
          <w:color w:val="000000"/>
          <w:spacing w:val="0"/>
          <w:sz w:val="32"/>
          <w:szCs w:val="32"/>
          <w:shd w:val="clear" w:color="auto" w:fill="FFFFFF"/>
        </w:rPr>
        <w:t>万元、维修费</w:t>
      </w:r>
      <w:r>
        <w:rPr>
          <w:rFonts w:hint="default" w:ascii="Times New Roman" w:hAnsi="Times New Roman" w:eastAsia="仿宋" w:cs="Times New Roman"/>
          <w:i w:val="0"/>
          <w:iCs w:val="0"/>
          <w:caps w:val="0"/>
          <w:color w:val="000000"/>
          <w:spacing w:val="0"/>
          <w:sz w:val="32"/>
          <w:szCs w:val="32"/>
          <w:shd w:val="clear" w:color="auto" w:fill="FFFFFF"/>
        </w:rPr>
        <w:t>0.20</w:t>
      </w:r>
      <w:r>
        <w:rPr>
          <w:rFonts w:hint="eastAsia" w:ascii="仿宋_GB2312" w:hAnsi="仿宋" w:eastAsia="仿宋_GB2312" w:cs="仿宋_GB2312"/>
          <w:i w:val="0"/>
          <w:iCs w:val="0"/>
          <w:caps w:val="0"/>
          <w:color w:val="000000"/>
          <w:spacing w:val="0"/>
          <w:sz w:val="32"/>
          <w:szCs w:val="32"/>
          <w:shd w:val="clear" w:color="auto" w:fill="FFFFFF"/>
        </w:rPr>
        <w:t>万元、劳务费</w:t>
      </w:r>
      <w:r>
        <w:rPr>
          <w:rFonts w:hint="default" w:ascii="Times New Roman" w:hAnsi="Times New Roman" w:eastAsia="仿宋" w:cs="Times New Roman"/>
          <w:i w:val="0"/>
          <w:iCs w:val="0"/>
          <w:caps w:val="0"/>
          <w:color w:val="000000"/>
          <w:spacing w:val="0"/>
          <w:sz w:val="32"/>
          <w:szCs w:val="32"/>
          <w:shd w:val="clear" w:color="auto" w:fill="FFFFFF"/>
        </w:rPr>
        <w:t>1.05</w:t>
      </w:r>
      <w:r>
        <w:rPr>
          <w:rFonts w:hint="eastAsia" w:ascii="仿宋_GB2312" w:hAnsi="仿宋" w:eastAsia="仿宋_GB2312" w:cs="仿宋_GB2312"/>
          <w:i w:val="0"/>
          <w:iCs w:val="0"/>
          <w:caps w:val="0"/>
          <w:color w:val="000000"/>
          <w:spacing w:val="0"/>
          <w:sz w:val="32"/>
          <w:szCs w:val="32"/>
          <w:shd w:val="clear" w:color="auto" w:fill="FFFFFF"/>
        </w:rPr>
        <w:t>万元、委托业务费</w:t>
      </w:r>
      <w:r>
        <w:rPr>
          <w:rFonts w:hint="default" w:ascii="Times New Roman" w:hAnsi="Times New Roman" w:eastAsia="仿宋" w:cs="Times New Roman"/>
          <w:i w:val="0"/>
          <w:iCs w:val="0"/>
          <w:caps w:val="0"/>
          <w:color w:val="000000"/>
          <w:spacing w:val="0"/>
          <w:sz w:val="32"/>
          <w:szCs w:val="32"/>
          <w:shd w:val="clear" w:color="auto" w:fill="FFFFFF"/>
        </w:rPr>
        <w:t>0.08</w:t>
      </w:r>
      <w:r>
        <w:rPr>
          <w:rFonts w:hint="eastAsia" w:ascii="仿宋_GB2312" w:hAnsi="仿宋" w:eastAsia="仿宋_GB2312" w:cs="仿宋_GB2312"/>
          <w:i w:val="0"/>
          <w:iCs w:val="0"/>
          <w:caps w:val="0"/>
          <w:color w:val="000000"/>
          <w:spacing w:val="0"/>
          <w:sz w:val="32"/>
          <w:szCs w:val="32"/>
          <w:shd w:val="clear" w:color="auto" w:fill="FFFFFF"/>
        </w:rPr>
        <w:t>万元、工会经费</w:t>
      </w:r>
      <w:r>
        <w:rPr>
          <w:rFonts w:hint="default" w:ascii="Times New Roman" w:hAnsi="Times New Roman" w:eastAsia="仿宋" w:cs="Times New Roman"/>
          <w:i w:val="0"/>
          <w:iCs w:val="0"/>
          <w:caps w:val="0"/>
          <w:color w:val="000000"/>
          <w:spacing w:val="0"/>
          <w:sz w:val="32"/>
          <w:szCs w:val="32"/>
          <w:shd w:val="clear" w:color="auto" w:fill="FFFFFF"/>
        </w:rPr>
        <w:t>20.44</w:t>
      </w:r>
      <w:r>
        <w:rPr>
          <w:rFonts w:hint="eastAsia" w:ascii="仿宋_GB2312" w:hAnsi="仿宋" w:eastAsia="仿宋_GB2312" w:cs="仿宋_GB2312"/>
          <w:i w:val="0"/>
          <w:iCs w:val="0"/>
          <w:caps w:val="0"/>
          <w:color w:val="000000"/>
          <w:spacing w:val="0"/>
          <w:sz w:val="32"/>
          <w:szCs w:val="32"/>
          <w:shd w:val="clear" w:color="auto" w:fill="FFFFFF"/>
        </w:rPr>
        <w:t>万元、其他交通费用</w:t>
      </w:r>
      <w:r>
        <w:rPr>
          <w:rFonts w:hint="default" w:ascii="Times New Roman" w:hAnsi="Times New Roman" w:eastAsia="仿宋" w:cs="Times New Roman"/>
          <w:i w:val="0"/>
          <w:iCs w:val="0"/>
          <w:caps w:val="0"/>
          <w:color w:val="000000"/>
          <w:spacing w:val="0"/>
          <w:sz w:val="32"/>
          <w:szCs w:val="32"/>
          <w:shd w:val="clear" w:color="auto" w:fill="FFFFFF"/>
        </w:rPr>
        <w:t>18.98</w:t>
      </w:r>
      <w:r>
        <w:rPr>
          <w:rFonts w:hint="eastAsia" w:ascii="仿宋_GB2312" w:hAnsi="仿宋" w:eastAsia="仿宋_GB2312" w:cs="仿宋_GB2312"/>
          <w:i w:val="0"/>
          <w:iCs w:val="0"/>
          <w:caps w:val="0"/>
          <w:color w:val="000000"/>
          <w:spacing w:val="0"/>
          <w:sz w:val="32"/>
          <w:szCs w:val="32"/>
          <w:shd w:val="clear" w:color="auto" w:fill="FFFFFF"/>
        </w:rPr>
        <w:t>万元、其他商品服务费</w:t>
      </w:r>
      <w:r>
        <w:rPr>
          <w:rFonts w:hint="default" w:ascii="Times New Roman" w:hAnsi="Times New Roman" w:eastAsia="仿宋" w:cs="Times New Roman"/>
          <w:i w:val="0"/>
          <w:iCs w:val="0"/>
          <w:caps w:val="0"/>
          <w:color w:val="000000"/>
          <w:spacing w:val="0"/>
          <w:sz w:val="32"/>
          <w:szCs w:val="32"/>
          <w:shd w:val="clear" w:color="auto" w:fill="FFFFFF"/>
        </w:rPr>
        <w:t>0.86</w:t>
      </w:r>
      <w:r>
        <w:rPr>
          <w:rFonts w:hint="eastAsia" w:ascii="仿宋_GB2312" w:hAnsi="仿宋" w:eastAsia="仿宋_GB2312" w:cs="仿宋_GB2312"/>
          <w:i w:val="0"/>
          <w:iCs w:val="0"/>
          <w:caps w:val="0"/>
          <w:color w:val="000000"/>
          <w:spacing w:val="0"/>
          <w:sz w:val="32"/>
          <w:szCs w:val="32"/>
          <w:shd w:val="clear" w:color="auto" w:fill="FFFFFF"/>
        </w:rPr>
        <w:t>万元。</w:t>
      </w:r>
    </w:p>
    <w:p w14:paraId="6C9D2CE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楷体_GB2312" w:hAnsi="楷体_GB2312" w:eastAsia="楷体_GB2312" w:cs="楷体_GB2312"/>
          <w:b w:val="0"/>
          <w:bCs w:val="0"/>
          <w:i w:val="0"/>
          <w:iCs w:val="0"/>
          <w:caps w:val="0"/>
          <w:color w:val="000000"/>
          <w:spacing w:val="0"/>
          <w:sz w:val="32"/>
          <w:szCs w:val="32"/>
          <w:shd w:val="clear" w:color="auto" w:fill="FFFFFF"/>
        </w:rPr>
        <w:t>（二）项目支出情况</w:t>
      </w:r>
    </w:p>
    <w:p w14:paraId="77541F3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年度本部门一般公共预算财政拨款项目支出</w:t>
      </w:r>
      <w:r>
        <w:rPr>
          <w:rFonts w:hint="default" w:ascii="Times New Roman" w:hAnsi="Times New Roman" w:eastAsia="仿宋" w:cs="Times New Roman"/>
          <w:i w:val="0"/>
          <w:iCs w:val="0"/>
          <w:caps w:val="0"/>
          <w:color w:val="000000"/>
          <w:spacing w:val="0"/>
          <w:sz w:val="32"/>
          <w:szCs w:val="32"/>
          <w:shd w:val="clear" w:color="auto" w:fill="FFFFFF"/>
        </w:rPr>
        <w:t>595.74</w:t>
      </w:r>
      <w:r>
        <w:rPr>
          <w:rFonts w:hint="eastAsia" w:ascii="仿宋_GB2312" w:hAnsi="仿宋" w:eastAsia="仿宋_GB2312" w:cs="仿宋_GB2312"/>
          <w:i w:val="0"/>
          <w:iCs w:val="0"/>
          <w:caps w:val="0"/>
          <w:color w:val="000000"/>
          <w:spacing w:val="0"/>
          <w:sz w:val="32"/>
          <w:szCs w:val="32"/>
          <w:shd w:val="clear" w:color="auto" w:fill="FFFFFF"/>
        </w:rPr>
        <w:t>万元，其中医疗报账政策管理</w:t>
      </w:r>
      <w:r>
        <w:rPr>
          <w:rFonts w:hint="default" w:ascii="Times New Roman" w:hAnsi="Times New Roman" w:eastAsia="仿宋" w:cs="Times New Roman"/>
          <w:i w:val="0"/>
          <w:iCs w:val="0"/>
          <w:caps w:val="0"/>
          <w:color w:val="000000"/>
          <w:spacing w:val="0"/>
          <w:sz w:val="32"/>
          <w:szCs w:val="32"/>
          <w:shd w:val="clear" w:color="auto" w:fill="FFFFFF"/>
        </w:rPr>
        <w:t>490.00</w:t>
      </w:r>
      <w:r>
        <w:rPr>
          <w:rFonts w:hint="eastAsia" w:ascii="仿宋_GB2312" w:hAnsi="仿宋" w:eastAsia="仿宋_GB2312" w:cs="仿宋_GB2312"/>
          <w:i w:val="0"/>
          <w:iCs w:val="0"/>
          <w:caps w:val="0"/>
          <w:color w:val="000000"/>
          <w:spacing w:val="0"/>
          <w:sz w:val="32"/>
          <w:szCs w:val="32"/>
          <w:shd w:val="clear" w:color="auto" w:fill="FFFFFF"/>
        </w:rPr>
        <w:t>万元，其他医疗保障管理事务</w:t>
      </w:r>
      <w:r>
        <w:rPr>
          <w:rFonts w:hint="default" w:ascii="Times New Roman" w:hAnsi="Times New Roman" w:eastAsia="仿宋" w:cs="Times New Roman"/>
          <w:i w:val="0"/>
          <w:iCs w:val="0"/>
          <w:caps w:val="0"/>
          <w:color w:val="000000"/>
          <w:spacing w:val="0"/>
          <w:sz w:val="32"/>
          <w:szCs w:val="32"/>
          <w:shd w:val="clear" w:color="auto" w:fill="FFFFFF"/>
        </w:rPr>
        <w:t>105.74</w:t>
      </w:r>
      <w:r>
        <w:rPr>
          <w:rFonts w:hint="eastAsia" w:ascii="仿宋_GB2312" w:hAnsi="仿宋" w:eastAsia="仿宋_GB2312" w:cs="仿宋_GB2312"/>
          <w:i w:val="0"/>
          <w:iCs w:val="0"/>
          <w:caps w:val="0"/>
          <w:color w:val="000000"/>
          <w:spacing w:val="0"/>
          <w:sz w:val="32"/>
          <w:szCs w:val="32"/>
          <w:shd w:val="clear" w:color="auto" w:fill="FFFFFF"/>
        </w:rPr>
        <w:t>万元。</w:t>
      </w:r>
    </w:p>
    <w:p w14:paraId="21CE147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1.</w:t>
      </w:r>
      <w:r>
        <w:rPr>
          <w:rFonts w:hint="eastAsia" w:ascii="仿宋_GB2312" w:hAnsi="Times New Roman" w:eastAsia="仿宋_GB2312" w:cs="仿宋_GB2312"/>
          <w:i w:val="0"/>
          <w:iCs w:val="0"/>
          <w:caps w:val="0"/>
          <w:color w:val="000000"/>
          <w:spacing w:val="0"/>
          <w:sz w:val="32"/>
          <w:szCs w:val="32"/>
          <w:shd w:val="clear" w:color="auto" w:fill="FFFFFF"/>
        </w:rPr>
        <w:t>项目资金安排落实、总投入等情况分析。</w:t>
      </w:r>
    </w:p>
    <w:p w14:paraId="6AFF149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w:t>
      </w:r>
      <w:r>
        <w:rPr>
          <w:rFonts w:hint="default" w:ascii="Times New Roman" w:hAnsi="Times New Roman" w:eastAsia="仿宋" w:cs="Times New Roman"/>
          <w:i w:val="0"/>
          <w:iCs w:val="0"/>
          <w:caps w:val="0"/>
          <w:color w:val="000000"/>
          <w:spacing w:val="0"/>
          <w:sz w:val="32"/>
          <w:szCs w:val="32"/>
          <w:shd w:val="clear" w:color="auto" w:fill="FFFFFF"/>
        </w:rPr>
        <w:t>1</w:t>
      </w:r>
      <w:r>
        <w:rPr>
          <w:rFonts w:hint="eastAsia" w:ascii="仿宋_GB2312" w:hAnsi="仿宋" w:eastAsia="仿宋_GB2312" w:cs="仿宋_GB2312"/>
          <w:i w:val="0"/>
          <w:iCs w:val="0"/>
          <w:caps w:val="0"/>
          <w:color w:val="000000"/>
          <w:spacing w:val="0"/>
          <w:sz w:val="32"/>
          <w:szCs w:val="32"/>
          <w:shd w:val="clear" w:color="auto" w:fill="FFFFFF"/>
        </w:rPr>
        <w:t>）医疗保障服务与保障能力提升经费收入</w:t>
      </w:r>
      <w:r>
        <w:rPr>
          <w:rFonts w:hint="default" w:ascii="Times New Roman" w:hAnsi="Times New Roman" w:eastAsia="仿宋" w:cs="Times New Roman"/>
          <w:i w:val="0"/>
          <w:iCs w:val="0"/>
          <w:caps w:val="0"/>
          <w:color w:val="000000"/>
          <w:spacing w:val="0"/>
          <w:sz w:val="32"/>
          <w:szCs w:val="32"/>
          <w:shd w:val="clear" w:color="auto" w:fill="FFFFFF"/>
        </w:rPr>
        <w:t>490</w:t>
      </w:r>
      <w:r>
        <w:rPr>
          <w:rFonts w:hint="eastAsia" w:ascii="仿宋_GB2312" w:hAnsi="仿宋" w:eastAsia="仿宋_GB2312" w:cs="仿宋_GB2312"/>
          <w:i w:val="0"/>
          <w:iCs w:val="0"/>
          <w:caps w:val="0"/>
          <w:color w:val="000000"/>
          <w:spacing w:val="0"/>
          <w:sz w:val="32"/>
          <w:szCs w:val="32"/>
          <w:shd w:val="clear" w:color="auto" w:fill="FFFFFF"/>
        </w:rPr>
        <w:t>万元，支出</w:t>
      </w:r>
      <w:r>
        <w:rPr>
          <w:rFonts w:hint="default" w:ascii="Times New Roman" w:hAnsi="Times New Roman" w:eastAsia="仿宋" w:cs="Times New Roman"/>
          <w:i w:val="0"/>
          <w:iCs w:val="0"/>
          <w:caps w:val="0"/>
          <w:color w:val="000000"/>
          <w:spacing w:val="0"/>
          <w:sz w:val="32"/>
          <w:szCs w:val="32"/>
          <w:shd w:val="clear" w:color="auto" w:fill="FFFFFF"/>
        </w:rPr>
        <w:t>490</w:t>
      </w:r>
      <w:r>
        <w:rPr>
          <w:rFonts w:hint="eastAsia" w:ascii="仿宋_GB2312" w:hAnsi="仿宋" w:eastAsia="仿宋_GB2312" w:cs="仿宋_GB2312"/>
          <w:i w:val="0"/>
          <w:iCs w:val="0"/>
          <w:caps w:val="0"/>
          <w:color w:val="000000"/>
          <w:spacing w:val="0"/>
          <w:sz w:val="32"/>
          <w:szCs w:val="32"/>
          <w:shd w:val="clear" w:color="auto" w:fill="FFFFFF"/>
        </w:rPr>
        <w:t>万元，预算执行率为</w:t>
      </w:r>
      <w:r>
        <w:rPr>
          <w:rFonts w:hint="default" w:ascii="Times New Roman" w:hAnsi="Times New Roman" w:eastAsia="仿宋" w:cs="Times New Roman"/>
          <w:i w:val="0"/>
          <w:iCs w:val="0"/>
          <w:caps w:val="0"/>
          <w:color w:val="000000"/>
          <w:spacing w:val="0"/>
          <w:sz w:val="32"/>
          <w:szCs w:val="32"/>
          <w:shd w:val="clear" w:color="auto" w:fill="FFFFFF"/>
        </w:rPr>
        <w:t>100%</w:t>
      </w:r>
      <w:r>
        <w:rPr>
          <w:rFonts w:hint="eastAsia" w:ascii="仿宋_GB2312" w:hAnsi="仿宋" w:eastAsia="仿宋_GB2312" w:cs="仿宋_GB2312"/>
          <w:i w:val="0"/>
          <w:iCs w:val="0"/>
          <w:caps w:val="0"/>
          <w:color w:val="000000"/>
          <w:spacing w:val="0"/>
          <w:sz w:val="32"/>
          <w:szCs w:val="32"/>
          <w:shd w:val="clear" w:color="auto" w:fill="FFFFFF"/>
        </w:rPr>
        <w:t>。</w:t>
      </w:r>
    </w:p>
    <w:p w14:paraId="5BD5C0F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w:t>
      </w:r>
      <w:r>
        <w:rPr>
          <w:rFonts w:hint="default" w:ascii="Times New Roman" w:hAnsi="Times New Roman" w:eastAsia="仿宋" w:cs="Times New Roman"/>
          <w:i w:val="0"/>
          <w:iCs w:val="0"/>
          <w:caps w:val="0"/>
          <w:color w:val="000000"/>
          <w:spacing w:val="0"/>
          <w:sz w:val="32"/>
          <w:szCs w:val="32"/>
          <w:shd w:val="clear" w:color="auto" w:fill="FFFFFF"/>
        </w:rPr>
        <w:t>2</w:t>
      </w:r>
      <w:r>
        <w:rPr>
          <w:rFonts w:hint="eastAsia" w:ascii="仿宋_GB2312" w:hAnsi="仿宋" w:eastAsia="仿宋_GB2312" w:cs="仿宋_GB2312"/>
          <w:i w:val="0"/>
          <w:iCs w:val="0"/>
          <w:caps w:val="0"/>
          <w:color w:val="000000"/>
          <w:spacing w:val="0"/>
          <w:sz w:val="32"/>
          <w:szCs w:val="32"/>
          <w:shd w:val="clear" w:color="auto" w:fill="FFFFFF"/>
        </w:rPr>
        <w:t>）全市医疗监管专项经费收入</w:t>
      </w:r>
      <w:r>
        <w:rPr>
          <w:rFonts w:hint="default" w:ascii="Times New Roman" w:hAnsi="Times New Roman" w:eastAsia="仿宋" w:cs="Times New Roman"/>
          <w:i w:val="0"/>
          <w:iCs w:val="0"/>
          <w:caps w:val="0"/>
          <w:color w:val="000000"/>
          <w:spacing w:val="0"/>
          <w:sz w:val="32"/>
          <w:szCs w:val="32"/>
          <w:shd w:val="clear" w:color="auto" w:fill="FFFFFF"/>
        </w:rPr>
        <w:t>20</w:t>
      </w:r>
      <w:r>
        <w:rPr>
          <w:rFonts w:hint="eastAsia" w:ascii="仿宋_GB2312" w:hAnsi="仿宋" w:eastAsia="仿宋_GB2312" w:cs="仿宋_GB2312"/>
          <w:i w:val="0"/>
          <w:iCs w:val="0"/>
          <w:caps w:val="0"/>
          <w:color w:val="000000"/>
          <w:spacing w:val="0"/>
          <w:sz w:val="32"/>
          <w:szCs w:val="32"/>
          <w:shd w:val="clear" w:color="auto" w:fill="FFFFFF"/>
        </w:rPr>
        <w:t>万元，支出</w:t>
      </w:r>
      <w:r>
        <w:rPr>
          <w:rFonts w:hint="default" w:ascii="Times New Roman" w:hAnsi="Times New Roman" w:eastAsia="仿宋" w:cs="Times New Roman"/>
          <w:i w:val="0"/>
          <w:iCs w:val="0"/>
          <w:caps w:val="0"/>
          <w:color w:val="000000"/>
          <w:spacing w:val="0"/>
          <w:sz w:val="32"/>
          <w:szCs w:val="32"/>
          <w:shd w:val="clear" w:color="auto" w:fill="FFFFFF"/>
        </w:rPr>
        <w:t>8.60</w:t>
      </w:r>
      <w:r>
        <w:rPr>
          <w:rFonts w:hint="eastAsia" w:ascii="仿宋_GB2312" w:hAnsi="仿宋" w:eastAsia="仿宋_GB2312" w:cs="仿宋_GB2312"/>
          <w:i w:val="0"/>
          <w:iCs w:val="0"/>
          <w:caps w:val="0"/>
          <w:color w:val="000000"/>
          <w:spacing w:val="0"/>
          <w:sz w:val="32"/>
          <w:szCs w:val="32"/>
          <w:shd w:val="clear" w:color="auto" w:fill="FFFFFF"/>
        </w:rPr>
        <w:t>万元，预算执行率为</w:t>
      </w:r>
      <w:r>
        <w:rPr>
          <w:rFonts w:hint="default" w:ascii="Times New Roman" w:hAnsi="Times New Roman" w:eastAsia="仿宋" w:cs="Times New Roman"/>
          <w:i w:val="0"/>
          <w:iCs w:val="0"/>
          <w:caps w:val="0"/>
          <w:color w:val="000000"/>
          <w:spacing w:val="0"/>
          <w:sz w:val="32"/>
          <w:szCs w:val="32"/>
          <w:shd w:val="clear" w:color="auto" w:fill="FFFFFF"/>
        </w:rPr>
        <w:t>43.00%</w:t>
      </w:r>
      <w:r>
        <w:rPr>
          <w:rFonts w:hint="eastAsia" w:ascii="仿宋_GB2312" w:hAnsi="仿宋" w:eastAsia="仿宋_GB2312" w:cs="仿宋_GB2312"/>
          <w:i w:val="0"/>
          <w:iCs w:val="0"/>
          <w:caps w:val="0"/>
          <w:color w:val="000000"/>
          <w:spacing w:val="0"/>
          <w:sz w:val="32"/>
          <w:szCs w:val="32"/>
          <w:shd w:val="clear" w:color="auto" w:fill="FFFFFF"/>
        </w:rPr>
        <w:t>。</w:t>
      </w:r>
    </w:p>
    <w:p w14:paraId="044EAEE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w:t>
      </w:r>
      <w:r>
        <w:rPr>
          <w:rFonts w:hint="default" w:ascii="Times New Roman" w:hAnsi="Times New Roman" w:eastAsia="仿宋" w:cs="Times New Roman"/>
          <w:i w:val="0"/>
          <w:iCs w:val="0"/>
          <w:caps w:val="0"/>
          <w:color w:val="000000"/>
          <w:spacing w:val="0"/>
          <w:sz w:val="32"/>
          <w:szCs w:val="32"/>
          <w:shd w:val="clear" w:color="auto" w:fill="FFFFFF"/>
        </w:rPr>
        <w:t>3</w:t>
      </w:r>
      <w:r>
        <w:rPr>
          <w:rFonts w:hint="eastAsia" w:ascii="仿宋_GB2312" w:hAnsi="仿宋" w:eastAsia="仿宋_GB2312" w:cs="仿宋_GB2312"/>
          <w:i w:val="0"/>
          <w:iCs w:val="0"/>
          <w:caps w:val="0"/>
          <w:color w:val="000000"/>
          <w:spacing w:val="0"/>
          <w:sz w:val="32"/>
          <w:szCs w:val="32"/>
          <w:shd w:val="clear" w:color="auto" w:fill="FFFFFF"/>
        </w:rPr>
        <w:t>）基金监管收入</w:t>
      </w:r>
      <w:r>
        <w:rPr>
          <w:rFonts w:hint="default" w:ascii="Times New Roman" w:hAnsi="Times New Roman" w:eastAsia="仿宋" w:cs="Times New Roman"/>
          <w:i w:val="0"/>
          <w:iCs w:val="0"/>
          <w:caps w:val="0"/>
          <w:color w:val="000000"/>
          <w:spacing w:val="0"/>
          <w:sz w:val="32"/>
          <w:szCs w:val="32"/>
          <w:shd w:val="clear" w:color="auto" w:fill="FFFFFF"/>
        </w:rPr>
        <w:t>45</w:t>
      </w:r>
      <w:r>
        <w:rPr>
          <w:rFonts w:hint="eastAsia" w:ascii="仿宋_GB2312" w:hAnsi="仿宋" w:eastAsia="仿宋_GB2312" w:cs="仿宋_GB2312"/>
          <w:i w:val="0"/>
          <w:iCs w:val="0"/>
          <w:caps w:val="0"/>
          <w:color w:val="000000"/>
          <w:spacing w:val="0"/>
          <w:sz w:val="32"/>
          <w:szCs w:val="32"/>
          <w:shd w:val="clear" w:color="auto" w:fill="FFFFFF"/>
        </w:rPr>
        <w:t>万元，支出</w:t>
      </w:r>
      <w:r>
        <w:rPr>
          <w:rFonts w:hint="default" w:ascii="Times New Roman" w:hAnsi="Times New Roman" w:eastAsia="仿宋" w:cs="Times New Roman"/>
          <w:i w:val="0"/>
          <w:iCs w:val="0"/>
          <w:caps w:val="0"/>
          <w:color w:val="000000"/>
          <w:spacing w:val="0"/>
          <w:sz w:val="32"/>
          <w:szCs w:val="32"/>
          <w:shd w:val="clear" w:color="auto" w:fill="FFFFFF"/>
        </w:rPr>
        <w:t>39.54</w:t>
      </w:r>
      <w:r>
        <w:rPr>
          <w:rFonts w:hint="eastAsia" w:ascii="仿宋_GB2312" w:hAnsi="仿宋" w:eastAsia="仿宋_GB2312" w:cs="仿宋_GB2312"/>
          <w:i w:val="0"/>
          <w:iCs w:val="0"/>
          <w:caps w:val="0"/>
          <w:color w:val="000000"/>
          <w:spacing w:val="0"/>
          <w:sz w:val="32"/>
          <w:szCs w:val="32"/>
          <w:shd w:val="clear" w:color="auto" w:fill="FFFFFF"/>
        </w:rPr>
        <w:t>万元，预算执行率为</w:t>
      </w:r>
      <w:r>
        <w:rPr>
          <w:rFonts w:hint="default" w:ascii="Times New Roman" w:hAnsi="Times New Roman" w:eastAsia="仿宋" w:cs="Times New Roman"/>
          <w:i w:val="0"/>
          <w:iCs w:val="0"/>
          <w:caps w:val="0"/>
          <w:color w:val="000000"/>
          <w:spacing w:val="0"/>
          <w:sz w:val="32"/>
          <w:szCs w:val="32"/>
          <w:shd w:val="clear" w:color="auto" w:fill="FFFFFF"/>
        </w:rPr>
        <w:t>87.87%</w:t>
      </w:r>
      <w:r>
        <w:rPr>
          <w:rFonts w:hint="eastAsia" w:ascii="仿宋_GB2312" w:hAnsi="仿宋" w:eastAsia="仿宋_GB2312" w:cs="仿宋_GB2312"/>
          <w:i w:val="0"/>
          <w:iCs w:val="0"/>
          <w:caps w:val="0"/>
          <w:color w:val="000000"/>
          <w:spacing w:val="0"/>
          <w:sz w:val="32"/>
          <w:szCs w:val="32"/>
          <w:shd w:val="clear" w:color="auto" w:fill="FFFFFF"/>
        </w:rPr>
        <w:t>。</w:t>
      </w:r>
    </w:p>
    <w:p w14:paraId="22BA4AF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w:t>
      </w:r>
      <w:r>
        <w:rPr>
          <w:rFonts w:hint="default" w:ascii="Times New Roman" w:hAnsi="Times New Roman" w:eastAsia="仿宋" w:cs="Times New Roman"/>
          <w:i w:val="0"/>
          <w:iCs w:val="0"/>
          <w:caps w:val="0"/>
          <w:color w:val="000000"/>
          <w:spacing w:val="0"/>
          <w:sz w:val="32"/>
          <w:szCs w:val="32"/>
          <w:shd w:val="clear" w:color="auto" w:fill="FFFFFF"/>
        </w:rPr>
        <w:t>4</w:t>
      </w:r>
      <w:r>
        <w:rPr>
          <w:rFonts w:hint="eastAsia" w:ascii="仿宋_GB2312" w:hAnsi="仿宋" w:eastAsia="仿宋_GB2312" w:cs="仿宋_GB2312"/>
          <w:i w:val="0"/>
          <w:iCs w:val="0"/>
          <w:caps w:val="0"/>
          <w:color w:val="000000"/>
          <w:spacing w:val="0"/>
          <w:sz w:val="32"/>
          <w:szCs w:val="32"/>
          <w:shd w:val="clear" w:color="auto" w:fill="FFFFFF"/>
        </w:rPr>
        <w:t>）医疗保障制度改革与发展工作经费收入</w:t>
      </w:r>
      <w:r>
        <w:rPr>
          <w:rFonts w:hint="default" w:ascii="Times New Roman" w:hAnsi="Times New Roman" w:eastAsia="仿宋" w:cs="Times New Roman"/>
          <w:i w:val="0"/>
          <w:iCs w:val="0"/>
          <w:caps w:val="0"/>
          <w:color w:val="000000"/>
          <w:spacing w:val="0"/>
          <w:sz w:val="32"/>
          <w:szCs w:val="32"/>
          <w:shd w:val="clear" w:color="auto" w:fill="FFFFFF"/>
        </w:rPr>
        <w:t>60</w:t>
      </w:r>
      <w:r>
        <w:rPr>
          <w:rFonts w:hint="eastAsia" w:ascii="仿宋_GB2312" w:hAnsi="仿宋" w:eastAsia="仿宋_GB2312" w:cs="仿宋_GB2312"/>
          <w:i w:val="0"/>
          <w:iCs w:val="0"/>
          <w:caps w:val="0"/>
          <w:color w:val="000000"/>
          <w:spacing w:val="0"/>
          <w:sz w:val="32"/>
          <w:szCs w:val="32"/>
          <w:shd w:val="clear" w:color="auto" w:fill="FFFFFF"/>
        </w:rPr>
        <w:t>万元，支出</w:t>
      </w:r>
      <w:r>
        <w:rPr>
          <w:rFonts w:hint="default" w:ascii="Times New Roman" w:hAnsi="Times New Roman" w:eastAsia="仿宋" w:cs="Times New Roman"/>
          <w:i w:val="0"/>
          <w:iCs w:val="0"/>
          <w:caps w:val="0"/>
          <w:color w:val="000000"/>
          <w:spacing w:val="0"/>
          <w:sz w:val="32"/>
          <w:szCs w:val="32"/>
          <w:shd w:val="clear" w:color="auto" w:fill="FFFFFF"/>
        </w:rPr>
        <w:t>43.14</w:t>
      </w:r>
      <w:r>
        <w:rPr>
          <w:rFonts w:hint="eastAsia" w:ascii="仿宋_GB2312" w:hAnsi="仿宋" w:eastAsia="仿宋_GB2312" w:cs="仿宋_GB2312"/>
          <w:i w:val="0"/>
          <w:iCs w:val="0"/>
          <w:caps w:val="0"/>
          <w:color w:val="000000"/>
          <w:spacing w:val="0"/>
          <w:sz w:val="32"/>
          <w:szCs w:val="32"/>
          <w:shd w:val="clear" w:color="auto" w:fill="FFFFFF"/>
        </w:rPr>
        <w:t>万元，预算执行率为</w:t>
      </w:r>
      <w:r>
        <w:rPr>
          <w:rFonts w:hint="default" w:ascii="Times New Roman" w:hAnsi="Times New Roman" w:eastAsia="仿宋" w:cs="Times New Roman"/>
          <w:i w:val="0"/>
          <w:iCs w:val="0"/>
          <w:caps w:val="0"/>
          <w:color w:val="000000"/>
          <w:spacing w:val="0"/>
          <w:sz w:val="32"/>
          <w:szCs w:val="32"/>
          <w:shd w:val="clear" w:color="auto" w:fill="FFFFFF"/>
        </w:rPr>
        <w:t>71.90%</w:t>
      </w:r>
      <w:r>
        <w:rPr>
          <w:rFonts w:hint="eastAsia" w:ascii="仿宋_GB2312" w:hAnsi="仿宋" w:eastAsia="仿宋_GB2312" w:cs="仿宋_GB2312"/>
          <w:i w:val="0"/>
          <w:iCs w:val="0"/>
          <w:caps w:val="0"/>
          <w:color w:val="000000"/>
          <w:spacing w:val="0"/>
          <w:sz w:val="32"/>
          <w:szCs w:val="32"/>
          <w:shd w:val="clear" w:color="auto" w:fill="FFFFFF"/>
        </w:rPr>
        <w:t>。</w:t>
      </w:r>
    </w:p>
    <w:p w14:paraId="70651F8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w:t>
      </w:r>
      <w:r>
        <w:rPr>
          <w:rFonts w:hint="default" w:ascii="Times New Roman" w:hAnsi="Times New Roman" w:eastAsia="仿宋" w:cs="Times New Roman"/>
          <w:i w:val="0"/>
          <w:iCs w:val="0"/>
          <w:caps w:val="0"/>
          <w:color w:val="000000"/>
          <w:spacing w:val="0"/>
          <w:sz w:val="32"/>
          <w:szCs w:val="32"/>
          <w:shd w:val="clear" w:color="auto" w:fill="FFFFFF"/>
        </w:rPr>
        <w:t>5</w:t>
      </w:r>
      <w:r>
        <w:rPr>
          <w:rFonts w:hint="eastAsia" w:ascii="仿宋_GB2312" w:hAnsi="仿宋" w:eastAsia="仿宋_GB2312" w:cs="仿宋_GB2312"/>
          <w:i w:val="0"/>
          <w:iCs w:val="0"/>
          <w:caps w:val="0"/>
          <w:color w:val="000000"/>
          <w:spacing w:val="0"/>
          <w:sz w:val="32"/>
          <w:szCs w:val="32"/>
          <w:shd w:val="clear" w:color="auto" w:fill="FFFFFF"/>
        </w:rPr>
        <w:t>）医保牵头三医联动、六医协同集成改革工作经费收入</w:t>
      </w:r>
      <w:r>
        <w:rPr>
          <w:rFonts w:hint="default" w:ascii="Times New Roman" w:hAnsi="Times New Roman" w:eastAsia="仿宋" w:cs="Times New Roman"/>
          <w:i w:val="0"/>
          <w:iCs w:val="0"/>
          <w:caps w:val="0"/>
          <w:color w:val="000000"/>
          <w:spacing w:val="0"/>
          <w:sz w:val="32"/>
          <w:szCs w:val="32"/>
          <w:shd w:val="clear" w:color="auto" w:fill="FFFFFF"/>
        </w:rPr>
        <w:t>20</w:t>
      </w:r>
      <w:r>
        <w:rPr>
          <w:rFonts w:hint="eastAsia" w:ascii="仿宋_GB2312" w:hAnsi="仿宋" w:eastAsia="仿宋_GB2312" w:cs="仿宋_GB2312"/>
          <w:i w:val="0"/>
          <w:iCs w:val="0"/>
          <w:caps w:val="0"/>
          <w:color w:val="000000"/>
          <w:spacing w:val="0"/>
          <w:sz w:val="32"/>
          <w:szCs w:val="32"/>
          <w:shd w:val="clear" w:color="auto" w:fill="FFFFFF"/>
        </w:rPr>
        <w:t>万元，支出</w:t>
      </w:r>
      <w:r>
        <w:rPr>
          <w:rFonts w:hint="default" w:ascii="Times New Roman" w:hAnsi="Times New Roman" w:eastAsia="仿宋" w:cs="Times New Roman"/>
          <w:i w:val="0"/>
          <w:iCs w:val="0"/>
          <w:caps w:val="0"/>
          <w:color w:val="000000"/>
          <w:spacing w:val="0"/>
          <w:sz w:val="32"/>
          <w:szCs w:val="32"/>
          <w:shd w:val="clear" w:color="auto" w:fill="FFFFFF"/>
        </w:rPr>
        <w:t>14.48</w:t>
      </w:r>
      <w:r>
        <w:rPr>
          <w:rFonts w:hint="eastAsia" w:ascii="仿宋_GB2312" w:hAnsi="仿宋" w:eastAsia="仿宋_GB2312" w:cs="仿宋_GB2312"/>
          <w:i w:val="0"/>
          <w:iCs w:val="0"/>
          <w:caps w:val="0"/>
          <w:color w:val="000000"/>
          <w:spacing w:val="0"/>
          <w:sz w:val="32"/>
          <w:szCs w:val="32"/>
          <w:shd w:val="clear" w:color="auto" w:fill="FFFFFF"/>
        </w:rPr>
        <w:t>万元，预算执行率为</w:t>
      </w:r>
      <w:r>
        <w:rPr>
          <w:rFonts w:hint="default" w:ascii="Times New Roman" w:hAnsi="Times New Roman" w:eastAsia="仿宋" w:cs="Times New Roman"/>
          <w:i w:val="0"/>
          <w:iCs w:val="0"/>
          <w:caps w:val="0"/>
          <w:color w:val="000000"/>
          <w:spacing w:val="0"/>
          <w:sz w:val="32"/>
          <w:szCs w:val="32"/>
          <w:shd w:val="clear" w:color="auto" w:fill="FFFFFF"/>
        </w:rPr>
        <w:t>72.40%</w:t>
      </w:r>
      <w:r>
        <w:rPr>
          <w:rFonts w:hint="eastAsia" w:ascii="仿宋_GB2312" w:hAnsi="仿宋" w:eastAsia="仿宋_GB2312" w:cs="仿宋_GB2312"/>
          <w:i w:val="0"/>
          <w:iCs w:val="0"/>
          <w:caps w:val="0"/>
          <w:color w:val="000000"/>
          <w:spacing w:val="0"/>
          <w:sz w:val="32"/>
          <w:szCs w:val="32"/>
          <w:shd w:val="clear" w:color="auto" w:fill="FFFFFF"/>
        </w:rPr>
        <w:t>。</w:t>
      </w:r>
    </w:p>
    <w:p w14:paraId="5899172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w:t>
      </w:r>
      <w:r>
        <w:rPr>
          <w:rFonts w:hint="eastAsia" w:ascii="仿宋_GB2312" w:hAnsi="Times New Roman" w:eastAsia="仿宋_GB2312" w:cs="仿宋_GB2312"/>
          <w:i w:val="0"/>
          <w:iCs w:val="0"/>
          <w:caps w:val="0"/>
          <w:color w:val="000000"/>
          <w:spacing w:val="0"/>
          <w:sz w:val="32"/>
          <w:szCs w:val="32"/>
          <w:shd w:val="clear" w:color="auto" w:fill="FFFFFF"/>
        </w:rPr>
        <w:t>项目资金实际使用情况分析。</w:t>
      </w:r>
    </w:p>
    <w:p w14:paraId="2CF5EFD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年，本单位项目支出共</w:t>
      </w:r>
      <w:r>
        <w:rPr>
          <w:rFonts w:hint="default" w:ascii="Times New Roman" w:hAnsi="Times New Roman" w:eastAsia="仿宋" w:cs="Times New Roman"/>
          <w:i w:val="0"/>
          <w:iCs w:val="0"/>
          <w:caps w:val="0"/>
          <w:color w:val="000000"/>
          <w:spacing w:val="0"/>
          <w:sz w:val="32"/>
          <w:szCs w:val="32"/>
          <w:shd w:val="clear" w:color="auto" w:fill="FFFFFF"/>
        </w:rPr>
        <w:t>595.74</w:t>
      </w:r>
      <w:r>
        <w:rPr>
          <w:rFonts w:hint="eastAsia" w:ascii="仿宋_GB2312" w:hAnsi="仿宋" w:eastAsia="仿宋_GB2312" w:cs="仿宋_GB2312"/>
          <w:i w:val="0"/>
          <w:iCs w:val="0"/>
          <w:caps w:val="0"/>
          <w:color w:val="000000"/>
          <w:spacing w:val="0"/>
          <w:sz w:val="32"/>
          <w:szCs w:val="32"/>
          <w:shd w:val="clear" w:color="auto" w:fill="FFFFFF"/>
        </w:rPr>
        <w:t>万元，包括：机关养老保险缴费</w:t>
      </w:r>
      <w:r>
        <w:rPr>
          <w:rFonts w:hint="default" w:ascii="Times New Roman" w:hAnsi="Times New Roman" w:eastAsia="仿宋" w:cs="Times New Roman"/>
          <w:i w:val="0"/>
          <w:iCs w:val="0"/>
          <w:caps w:val="0"/>
          <w:color w:val="000000"/>
          <w:spacing w:val="0"/>
          <w:sz w:val="32"/>
          <w:szCs w:val="32"/>
          <w:shd w:val="clear" w:color="auto" w:fill="FFFFFF"/>
        </w:rPr>
        <w:t>1.76</w:t>
      </w:r>
      <w:r>
        <w:rPr>
          <w:rFonts w:hint="eastAsia" w:ascii="仿宋_GB2312" w:hAnsi="仿宋" w:eastAsia="仿宋_GB2312" w:cs="仿宋_GB2312"/>
          <w:i w:val="0"/>
          <w:iCs w:val="0"/>
          <w:caps w:val="0"/>
          <w:color w:val="000000"/>
          <w:spacing w:val="0"/>
          <w:sz w:val="32"/>
          <w:szCs w:val="32"/>
          <w:shd w:val="clear" w:color="auto" w:fill="FFFFFF"/>
        </w:rPr>
        <w:t>万元，办公费</w:t>
      </w:r>
      <w:r>
        <w:rPr>
          <w:rFonts w:hint="default" w:ascii="Times New Roman" w:hAnsi="Times New Roman" w:eastAsia="仿宋" w:cs="Times New Roman"/>
          <w:i w:val="0"/>
          <w:iCs w:val="0"/>
          <w:caps w:val="0"/>
          <w:color w:val="000000"/>
          <w:spacing w:val="0"/>
          <w:sz w:val="32"/>
          <w:szCs w:val="32"/>
          <w:shd w:val="clear" w:color="auto" w:fill="FFFFFF"/>
        </w:rPr>
        <w:t>37.11</w:t>
      </w:r>
      <w:r>
        <w:rPr>
          <w:rFonts w:hint="eastAsia" w:ascii="仿宋_GB2312" w:hAnsi="仿宋" w:eastAsia="仿宋_GB2312" w:cs="仿宋_GB2312"/>
          <w:i w:val="0"/>
          <w:iCs w:val="0"/>
          <w:caps w:val="0"/>
          <w:color w:val="000000"/>
          <w:spacing w:val="0"/>
          <w:sz w:val="32"/>
          <w:szCs w:val="32"/>
          <w:shd w:val="clear" w:color="auto" w:fill="FFFFFF"/>
        </w:rPr>
        <w:t>万元，印刷费</w:t>
      </w:r>
      <w:r>
        <w:rPr>
          <w:rFonts w:hint="default" w:ascii="Times New Roman" w:hAnsi="Times New Roman" w:eastAsia="仿宋" w:cs="Times New Roman"/>
          <w:i w:val="0"/>
          <w:iCs w:val="0"/>
          <w:caps w:val="0"/>
          <w:color w:val="000000"/>
          <w:spacing w:val="0"/>
          <w:sz w:val="32"/>
          <w:szCs w:val="32"/>
          <w:shd w:val="clear" w:color="auto" w:fill="FFFFFF"/>
        </w:rPr>
        <w:t>45.26</w:t>
      </w:r>
      <w:r>
        <w:rPr>
          <w:rFonts w:hint="eastAsia" w:ascii="仿宋_GB2312" w:hAnsi="仿宋" w:eastAsia="仿宋_GB2312" w:cs="仿宋_GB2312"/>
          <w:i w:val="0"/>
          <w:iCs w:val="0"/>
          <w:caps w:val="0"/>
          <w:color w:val="000000"/>
          <w:spacing w:val="0"/>
          <w:sz w:val="32"/>
          <w:szCs w:val="32"/>
          <w:shd w:val="clear" w:color="auto" w:fill="FFFFFF"/>
        </w:rPr>
        <w:t>万元，电费</w:t>
      </w:r>
      <w:r>
        <w:rPr>
          <w:rFonts w:hint="default" w:ascii="Times New Roman" w:hAnsi="Times New Roman" w:eastAsia="仿宋" w:cs="Times New Roman"/>
          <w:i w:val="0"/>
          <w:iCs w:val="0"/>
          <w:caps w:val="0"/>
          <w:color w:val="000000"/>
          <w:spacing w:val="0"/>
          <w:sz w:val="32"/>
          <w:szCs w:val="32"/>
          <w:shd w:val="clear" w:color="auto" w:fill="FFFFFF"/>
        </w:rPr>
        <w:t>13.91</w:t>
      </w:r>
      <w:r>
        <w:rPr>
          <w:rFonts w:hint="eastAsia" w:ascii="仿宋_GB2312" w:hAnsi="仿宋" w:eastAsia="仿宋_GB2312" w:cs="仿宋_GB2312"/>
          <w:i w:val="0"/>
          <w:iCs w:val="0"/>
          <w:caps w:val="0"/>
          <w:color w:val="000000"/>
          <w:spacing w:val="0"/>
          <w:sz w:val="32"/>
          <w:szCs w:val="32"/>
          <w:shd w:val="clear" w:color="auto" w:fill="FFFFFF"/>
        </w:rPr>
        <w:t>万元，邮电费</w:t>
      </w:r>
      <w:r>
        <w:rPr>
          <w:rFonts w:hint="default" w:ascii="Times New Roman" w:hAnsi="Times New Roman" w:eastAsia="仿宋" w:cs="Times New Roman"/>
          <w:i w:val="0"/>
          <w:iCs w:val="0"/>
          <w:caps w:val="0"/>
          <w:color w:val="000000"/>
          <w:spacing w:val="0"/>
          <w:sz w:val="32"/>
          <w:szCs w:val="32"/>
          <w:shd w:val="clear" w:color="auto" w:fill="FFFFFF"/>
        </w:rPr>
        <w:t>0.52</w:t>
      </w:r>
      <w:r>
        <w:rPr>
          <w:rFonts w:hint="eastAsia" w:ascii="仿宋_GB2312" w:hAnsi="仿宋" w:eastAsia="仿宋_GB2312" w:cs="仿宋_GB2312"/>
          <w:i w:val="0"/>
          <w:iCs w:val="0"/>
          <w:caps w:val="0"/>
          <w:color w:val="000000"/>
          <w:spacing w:val="0"/>
          <w:sz w:val="32"/>
          <w:szCs w:val="32"/>
          <w:shd w:val="clear" w:color="auto" w:fill="FFFFFF"/>
        </w:rPr>
        <w:t>万元，物业管理费</w:t>
      </w:r>
      <w:r>
        <w:rPr>
          <w:rFonts w:hint="default" w:ascii="Times New Roman" w:hAnsi="Times New Roman" w:eastAsia="仿宋" w:cs="Times New Roman"/>
          <w:i w:val="0"/>
          <w:iCs w:val="0"/>
          <w:caps w:val="0"/>
          <w:color w:val="000000"/>
          <w:spacing w:val="0"/>
          <w:sz w:val="32"/>
          <w:szCs w:val="32"/>
          <w:shd w:val="clear" w:color="auto" w:fill="FFFFFF"/>
        </w:rPr>
        <w:t>7.46</w:t>
      </w:r>
      <w:r>
        <w:rPr>
          <w:rFonts w:hint="eastAsia" w:ascii="仿宋_GB2312" w:hAnsi="仿宋" w:eastAsia="仿宋_GB2312" w:cs="仿宋_GB2312"/>
          <w:i w:val="0"/>
          <w:iCs w:val="0"/>
          <w:caps w:val="0"/>
          <w:color w:val="000000"/>
          <w:spacing w:val="0"/>
          <w:sz w:val="32"/>
          <w:szCs w:val="32"/>
          <w:shd w:val="clear" w:color="auto" w:fill="FFFFFF"/>
        </w:rPr>
        <w:t>万元，差旅费</w:t>
      </w:r>
      <w:r>
        <w:rPr>
          <w:rFonts w:hint="default" w:ascii="Times New Roman" w:hAnsi="Times New Roman" w:eastAsia="仿宋" w:cs="Times New Roman"/>
          <w:i w:val="0"/>
          <w:iCs w:val="0"/>
          <w:caps w:val="0"/>
          <w:color w:val="000000"/>
          <w:spacing w:val="0"/>
          <w:sz w:val="32"/>
          <w:szCs w:val="32"/>
          <w:shd w:val="clear" w:color="auto" w:fill="FFFFFF"/>
        </w:rPr>
        <w:t>28.63</w:t>
      </w:r>
      <w:r>
        <w:rPr>
          <w:rFonts w:hint="eastAsia" w:ascii="仿宋_GB2312" w:hAnsi="仿宋" w:eastAsia="仿宋_GB2312" w:cs="仿宋_GB2312"/>
          <w:i w:val="0"/>
          <w:iCs w:val="0"/>
          <w:caps w:val="0"/>
          <w:color w:val="000000"/>
          <w:spacing w:val="0"/>
          <w:sz w:val="32"/>
          <w:szCs w:val="32"/>
          <w:shd w:val="clear" w:color="auto" w:fill="FFFFFF"/>
        </w:rPr>
        <w:t>万元，维护维修费</w:t>
      </w:r>
      <w:r>
        <w:rPr>
          <w:rFonts w:hint="default" w:ascii="Times New Roman" w:hAnsi="Times New Roman" w:eastAsia="仿宋" w:cs="Times New Roman"/>
          <w:i w:val="0"/>
          <w:iCs w:val="0"/>
          <w:caps w:val="0"/>
          <w:color w:val="000000"/>
          <w:spacing w:val="0"/>
          <w:sz w:val="32"/>
          <w:szCs w:val="32"/>
          <w:shd w:val="clear" w:color="auto" w:fill="FFFFFF"/>
        </w:rPr>
        <w:t>4.32</w:t>
      </w:r>
      <w:r>
        <w:rPr>
          <w:rFonts w:hint="eastAsia" w:ascii="仿宋_GB2312" w:hAnsi="仿宋" w:eastAsia="仿宋_GB2312" w:cs="仿宋_GB2312"/>
          <w:i w:val="0"/>
          <w:iCs w:val="0"/>
          <w:caps w:val="0"/>
          <w:color w:val="000000"/>
          <w:spacing w:val="0"/>
          <w:sz w:val="32"/>
          <w:szCs w:val="32"/>
          <w:shd w:val="clear" w:color="auto" w:fill="FFFFFF"/>
        </w:rPr>
        <w:t>万元，会议费</w:t>
      </w:r>
      <w:r>
        <w:rPr>
          <w:rFonts w:hint="default" w:ascii="Times New Roman" w:hAnsi="Times New Roman" w:eastAsia="仿宋" w:cs="Times New Roman"/>
          <w:i w:val="0"/>
          <w:iCs w:val="0"/>
          <w:caps w:val="0"/>
          <w:color w:val="000000"/>
          <w:spacing w:val="0"/>
          <w:sz w:val="32"/>
          <w:szCs w:val="32"/>
          <w:shd w:val="clear" w:color="auto" w:fill="FFFFFF"/>
        </w:rPr>
        <w:t>12.69</w:t>
      </w:r>
      <w:r>
        <w:rPr>
          <w:rFonts w:hint="eastAsia" w:ascii="仿宋_GB2312" w:hAnsi="仿宋" w:eastAsia="仿宋_GB2312" w:cs="仿宋_GB2312"/>
          <w:i w:val="0"/>
          <w:iCs w:val="0"/>
          <w:caps w:val="0"/>
          <w:color w:val="000000"/>
          <w:spacing w:val="0"/>
          <w:sz w:val="32"/>
          <w:szCs w:val="32"/>
          <w:shd w:val="clear" w:color="auto" w:fill="FFFFFF"/>
        </w:rPr>
        <w:t>万元，培训费</w:t>
      </w:r>
      <w:r>
        <w:rPr>
          <w:rFonts w:hint="default" w:ascii="Times New Roman" w:hAnsi="Times New Roman" w:eastAsia="仿宋" w:cs="Times New Roman"/>
          <w:i w:val="0"/>
          <w:iCs w:val="0"/>
          <w:caps w:val="0"/>
          <w:color w:val="000000"/>
          <w:spacing w:val="0"/>
          <w:sz w:val="32"/>
          <w:szCs w:val="32"/>
          <w:shd w:val="clear" w:color="auto" w:fill="FFFFFF"/>
        </w:rPr>
        <w:t>4.19</w:t>
      </w:r>
      <w:r>
        <w:rPr>
          <w:rFonts w:hint="eastAsia" w:ascii="仿宋_GB2312" w:hAnsi="仿宋" w:eastAsia="仿宋_GB2312" w:cs="仿宋_GB2312"/>
          <w:i w:val="0"/>
          <w:iCs w:val="0"/>
          <w:caps w:val="0"/>
          <w:color w:val="000000"/>
          <w:spacing w:val="0"/>
          <w:sz w:val="32"/>
          <w:szCs w:val="32"/>
          <w:shd w:val="clear" w:color="auto" w:fill="FFFFFF"/>
        </w:rPr>
        <w:t>万元，公务接待费</w:t>
      </w:r>
      <w:r>
        <w:rPr>
          <w:rFonts w:hint="default" w:ascii="Times New Roman" w:hAnsi="Times New Roman" w:eastAsia="仿宋" w:cs="Times New Roman"/>
          <w:i w:val="0"/>
          <w:iCs w:val="0"/>
          <w:caps w:val="0"/>
          <w:color w:val="000000"/>
          <w:spacing w:val="0"/>
          <w:sz w:val="32"/>
          <w:szCs w:val="32"/>
          <w:shd w:val="clear" w:color="auto" w:fill="FFFFFF"/>
        </w:rPr>
        <w:t>0.98</w:t>
      </w:r>
      <w:r>
        <w:rPr>
          <w:rFonts w:hint="eastAsia" w:ascii="仿宋_GB2312" w:hAnsi="仿宋" w:eastAsia="仿宋_GB2312" w:cs="仿宋_GB2312"/>
          <w:i w:val="0"/>
          <w:iCs w:val="0"/>
          <w:caps w:val="0"/>
          <w:color w:val="000000"/>
          <w:spacing w:val="0"/>
          <w:sz w:val="32"/>
          <w:szCs w:val="32"/>
          <w:shd w:val="clear" w:color="auto" w:fill="FFFFFF"/>
        </w:rPr>
        <w:t>万元，劳务费</w:t>
      </w:r>
      <w:r>
        <w:rPr>
          <w:rFonts w:hint="default" w:ascii="Times New Roman" w:hAnsi="Times New Roman" w:eastAsia="仿宋" w:cs="Times New Roman"/>
          <w:i w:val="0"/>
          <w:iCs w:val="0"/>
          <w:caps w:val="0"/>
          <w:color w:val="000000"/>
          <w:spacing w:val="0"/>
          <w:sz w:val="32"/>
          <w:szCs w:val="32"/>
          <w:shd w:val="clear" w:color="auto" w:fill="FFFFFF"/>
        </w:rPr>
        <w:t>4.69</w:t>
      </w:r>
      <w:r>
        <w:rPr>
          <w:rFonts w:hint="eastAsia" w:ascii="仿宋_GB2312" w:hAnsi="仿宋" w:eastAsia="仿宋_GB2312" w:cs="仿宋_GB2312"/>
          <w:i w:val="0"/>
          <w:iCs w:val="0"/>
          <w:caps w:val="0"/>
          <w:color w:val="000000"/>
          <w:spacing w:val="0"/>
          <w:sz w:val="32"/>
          <w:szCs w:val="32"/>
          <w:shd w:val="clear" w:color="auto" w:fill="FFFFFF"/>
        </w:rPr>
        <w:t>万元，委托业务费</w:t>
      </w:r>
      <w:r>
        <w:rPr>
          <w:rFonts w:hint="default" w:ascii="Times New Roman" w:hAnsi="Times New Roman" w:eastAsia="仿宋" w:cs="Times New Roman"/>
          <w:i w:val="0"/>
          <w:iCs w:val="0"/>
          <w:caps w:val="0"/>
          <w:color w:val="000000"/>
          <w:spacing w:val="0"/>
          <w:sz w:val="32"/>
          <w:szCs w:val="32"/>
          <w:shd w:val="clear" w:color="auto" w:fill="FFFFFF"/>
        </w:rPr>
        <w:t>368.30</w:t>
      </w:r>
      <w:r>
        <w:rPr>
          <w:rFonts w:hint="eastAsia" w:ascii="仿宋_GB2312" w:hAnsi="仿宋" w:eastAsia="仿宋_GB2312" w:cs="仿宋_GB2312"/>
          <w:i w:val="0"/>
          <w:iCs w:val="0"/>
          <w:caps w:val="0"/>
          <w:color w:val="000000"/>
          <w:spacing w:val="0"/>
          <w:sz w:val="32"/>
          <w:szCs w:val="32"/>
          <w:shd w:val="clear" w:color="auto" w:fill="FFFFFF"/>
        </w:rPr>
        <w:t>万元，福利费</w:t>
      </w:r>
      <w:r>
        <w:rPr>
          <w:rFonts w:hint="default" w:ascii="Times New Roman" w:hAnsi="Times New Roman" w:eastAsia="仿宋" w:cs="Times New Roman"/>
          <w:i w:val="0"/>
          <w:iCs w:val="0"/>
          <w:caps w:val="0"/>
          <w:color w:val="000000"/>
          <w:spacing w:val="0"/>
          <w:sz w:val="32"/>
          <w:szCs w:val="32"/>
          <w:shd w:val="clear" w:color="auto" w:fill="FFFFFF"/>
        </w:rPr>
        <w:t>1.76</w:t>
      </w:r>
      <w:r>
        <w:rPr>
          <w:rFonts w:hint="eastAsia" w:ascii="仿宋_GB2312" w:hAnsi="仿宋" w:eastAsia="仿宋_GB2312" w:cs="仿宋_GB2312"/>
          <w:i w:val="0"/>
          <w:iCs w:val="0"/>
          <w:caps w:val="0"/>
          <w:color w:val="000000"/>
          <w:spacing w:val="0"/>
          <w:sz w:val="32"/>
          <w:szCs w:val="32"/>
          <w:shd w:val="clear" w:color="auto" w:fill="FFFFFF"/>
        </w:rPr>
        <w:t>万元，公务用车和运行维护费</w:t>
      </w:r>
      <w:r>
        <w:rPr>
          <w:rFonts w:hint="default" w:ascii="Times New Roman" w:hAnsi="Times New Roman" w:eastAsia="仿宋" w:cs="Times New Roman"/>
          <w:i w:val="0"/>
          <w:iCs w:val="0"/>
          <w:caps w:val="0"/>
          <w:color w:val="000000"/>
          <w:spacing w:val="0"/>
          <w:sz w:val="32"/>
          <w:szCs w:val="32"/>
          <w:shd w:val="clear" w:color="auto" w:fill="FFFFFF"/>
        </w:rPr>
        <w:t>3.02</w:t>
      </w:r>
      <w:r>
        <w:rPr>
          <w:rFonts w:hint="eastAsia" w:ascii="仿宋_GB2312" w:hAnsi="仿宋" w:eastAsia="仿宋_GB2312" w:cs="仿宋_GB2312"/>
          <w:i w:val="0"/>
          <w:iCs w:val="0"/>
          <w:caps w:val="0"/>
          <w:color w:val="000000"/>
          <w:spacing w:val="0"/>
          <w:sz w:val="32"/>
          <w:szCs w:val="32"/>
          <w:shd w:val="clear" w:color="auto" w:fill="FFFFFF"/>
        </w:rPr>
        <w:t>万元，其他交通费</w:t>
      </w:r>
      <w:r>
        <w:rPr>
          <w:rFonts w:hint="default" w:ascii="Times New Roman" w:hAnsi="Times New Roman" w:eastAsia="仿宋" w:cs="Times New Roman"/>
          <w:i w:val="0"/>
          <w:iCs w:val="0"/>
          <w:caps w:val="0"/>
          <w:color w:val="000000"/>
          <w:spacing w:val="0"/>
          <w:sz w:val="32"/>
          <w:szCs w:val="32"/>
          <w:shd w:val="clear" w:color="auto" w:fill="FFFFFF"/>
        </w:rPr>
        <w:t>0.84</w:t>
      </w:r>
      <w:r>
        <w:rPr>
          <w:rFonts w:hint="eastAsia" w:ascii="仿宋_GB2312" w:hAnsi="仿宋" w:eastAsia="仿宋_GB2312" w:cs="仿宋_GB2312"/>
          <w:i w:val="0"/>
          <w:iCs w:val="0"/>
          <w:caps w:val="0"/>
          <w:color w:val="000000"/>
          <w:spacing w:val="0"/>
          <w:sz w:val="32"/>
          <w:szCs w:val="32"/>
          <w:shd w:val="clear" w:color="auto" w:fill="FFFFFF"/>
        </w:rPr>
        <w:t>万元，其他商品服务费</w:t>
      </w:r>
      <w:r>
        <w:rPr>
          <w:rFonts w:hint="default" w:ascii="Times New Roman" w:hAnsi="Times New Roman" w:eastAsia="仿宋" w:cs="Times New Roman"/>
          <w:i w:val="0"/>
          <w:iCs w:val="0"/>
          <w:caps w:val="0"/>
          <w:color w:val="000000"/>
          <w:spacing w:val="0"/>
          <w:sz w:val="32"/>
          <w:szCs w:val="32"/>
          <w:shd w:val="clear" w:color="auto" w:fill="FFFFFF"/>
        </w:rPr>
        <w:t>58.83</w:t>
      </w:r>
      <w:r>
        <w:rPr>
          <w:rFonts w:hint="eastAsia" w:ascii="仿宋_GB2312" w:hAnsi="仿宋" w:eastAsia="仿宋_GB2312" w:cs="仿宋_GB2312"/>
          <w:i w:val="0"/>
          <w:iCs w:val="0"/>
          <w:caps w:val="0"/>
          <w:color w:val="000000"/>
          <w:spacing w:val="0"/>
          <w:sz w:val="32"/>
          <w:szCs w:val="32"/>
          <w:shd w:val="clear" w:color="auto" w:fill="FFFFFF"/>
        </w:rPr>
        <w:t>万元，办公设备购置</w:t>
      </w:r>
      <w:r>
        <w:rPr>
          <w:rFonts w:hint="default" w:ascii="Times New Roman" w:hAnsi="Times New Roman" w:eastAsia="仿宋" w:cs="Times New Roman"/>
          <w:i w:val="0"/>
          <w:iCs w:val="0"/>
          <w:caps w:val="0"/>
          <w:color w:val="000000"/>
          <w:spacing w:val="0"/>
          <w:sz w:val="32"/>
          <w:szCs w:val="32"/>
          <w:shd w:val="clear" w:color="auto" w:fill="FFFFFF"/>
        </w:rPr>
        <w:t>1.49</w:t>
      </w:r>
      <w:r>
        <w:rPr>
          <w:rFonts w:hint="eastAsia" w:ascii="仿宋_GB2312" w:hAnsi="仿宋" w:eastAsia="仿宋_GB2312" w:cs="仿宋_GB2312"/>
          <w:i w:val="0"/>
          <w:iCs w:val="0"/>
          <w:caps w:val="0"/>
          <w:color w:val="000000"/>
          <w:spacing w:val="0"/>
          <w:sz w:val="32"/>
          <w:szCs w:val="32"/>
          <w:shd w:val="clear" w:color="auto" w:fill="FFFFFF"/>
        </w:rPr>
        <w:t>万元。</w:t>
      </w:r>
    </w:p>
    <w:p w14:paraId="25B8372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3.2025</w:t>
      </w:r>
      <w:r>
        <w:rPr>
          <w:rFonts w:hint="eastAsia" w:ascii="仿宋_GB2312" w:hAnsi="仿宋" w:eastAsia="仿宋_GB2312" w:cs="仿宋_GB2312"/>
          <w:i w:val="0"/>
          <w:iCs w:val="0"/>
          <w:caps w:val="0"/>
          <w:color w:val="000000"/>
          <w:spacing w:val="0"/>
          <w:sz w:val="32"/>
          <w:szCs w:val="32"/>
          <w:shd w:val="clear" w:color="auto" w:fill="FFFFFF"/>
        </w:rPr>
        <w:t>年部门预算“三公”经费—公务用车运行费</w:t>
      </w:r>
      <w:r>
        <w:rPr>
          <w:rFonts w:hint="default" w:ascii="Times New Roman" w:hAnsi="Times New Roman" w:eastAsia="仿宋" w:cs="Times New Roman"/>
          <w:i w:val="0"/>
          <w:iCs w:val="0"/>
          <w:caps w:val="0"/>
          <w:color w:val="000000"/>
          <w:spacing w:val="0"/>
          <w:sz w:val="32"/>
          <w:szCs w:val="32"/>
          <w:shd w:val="clear" w:color="auto" w:fill="FFFFFF"/>
        </w:rPr>
        <w:t>6.00</w:t>
      </w:r>
      <w:r>
        <w:rPr>
          <w:rFonts w:hint="eastAsia" w:ascii="仿宋_GB2312" w:hAnsi="仿宋" w:eastAsia="仿宋_GB2312" w:cs="仿宋_GB2312"/>
          <w:i w:val="0"/>
          <w:iCs w:val="0"/>
          <w:caps w:val="0"/>
          <w:color w:val="000000"/>
          <w:spacing w:val="0"/>
          <w:sz w:val="32"/>
          <w:szCs w:val="32"/>
          <w:shd w:val="clear" w:color="auto" w:fill="FFFFFF"/>
        </w:rPr>
        <w:t>万元，公务接待费</w:t>
      </w:r>
      <w:r>
        <w:rPr>
          <w:rFonts w:hint="default" w:ascii="Times New Roman" w:hAnsi="Times New Roman" w:eastAsia="仿宋" w:cs="Times New Roman"/>
          <w:i w:val="0"/>
          <w:iCs w:val="0"/>
          <w:caps w:val="0"/>
          <w:color w:val="000000"/>
          <w:spacing w:val="0"/>
          <w:sz w:val="32"/>
          <w:szCs w:val="32"/>
          <w:shd w:val="clear" w:color="auto" w:fill="FFFFFF"/>
        </w:rPr>
        <w:t>3.50</w:t>
      </w:r>
      <w:r>
        <w:rPr>
          <w:rFonts w:hint="eastAsia" w:ascii="仿宋_GB2312" w:hAnsi="仿宋" w:eastAsia="仿宋_GB2312" w:cs="仿宋_GB2312"/>
          <w:i w:val="0"/>
          <w:iCs w:val="0"/>
          <w:caps w:val="0"/>
          <w:color w:val="000000"/>
          <w:spacing w:val="0"/>
          <w:sz w:val="32"/>
          <w:szCs w:val="32"/>
          <w:shd w:val="clear" w:color="auto" w:fill="FFFFFF"/>
        </w:rPr>
        <w:t>万元，实际支出公务用车运行费</w:t>
      </w:r>
      <w:r>
        <w:rPr>
          <w:rFonts w:hint="default" w:ascii="Times New Roman" w:hAnsi="Times New Roman" w:eastAsia="仿宋" w:cs="Times New Roman"/>
          <w:i w:val="0"/>
          <w:iCs w:val="0"/>
          <w:caps w:val="0"/>
          <w:color w:val="000000"/>
          <w:spacing w:val="0"/>
          <w:sz w:val="32"/>
          <w:szCs w:val="32"/>
          <w:shd w:val="clear" w:color="auto" w:fill="FFFFFF"/>
        </w:rPr>
        <w:t>3.02</w:t>
      </w:r>
      <w:r>
        <w:rPr>
          <w:rFonts w:hint="eastAsia" w:ascii="仿宋_GB2312" w:hAnsi="仿宋" w:eastAsia="仿宋_GB2312" w:cs="仿宋_GB2312"/>
          <w:i w:val="0"/>
          <w:iCs w:val="0"/>
          <w:caps w:val="0"/>
          <w:color w:val="000000"/>
          <w:spacing w:val="0"/>
          <w:sz w:val="32"/>
          <w:szCs w:val="32"/>
          <w:shd w:val="clear" w:color="auto" w:fill="FFFFFF"/>
        </w:rPr>
        <w:t>万元，公务接待费</w:t>
      </w:r>
      <w:r>
        <w:rPr>
          <w:rFonts w:hint="default" w:ascii="Times New Roman" w:hAnsi="Times New Roman" w:eastAsia="仿宋" w:cs="Times New Roman"/>
          <w:i w:val="0"/>
          <w:iCs w:val="0"/>
          <w:caps w:val="0"/>
          <w:color w:val="000000"/>
          <w:spacing w:val="0"/>
          <w:sz w:val="32"/>
          <w:szCs w:val="32"/>
          <w:shd w:val="clear" w:color="auto" w:fill="FFFFFF"/>
        </w:rPr>
        <w:t>0.98</w:t>
      </w:r>
      <w:r>
        <w:rPr>
          <w:rFonts w:hint="eastAsia" w:ascii="仿宋_GB2312" w:hAnsi="仿宋" w:eastAsia="仿宋_GB2312" w:cs="仿宋_GB2312"/>
          <w:i w:val="0"/>
          <w:iCs w:val="0"/>
          <w:caps w:val="0"/>
          <w:color w:val="000000"/>
          <w:spacing w:val="0"/>
          <w:sz w:val="32"/>
          <w:szCs w:val="32"/>
          <w:shd w:val="clear" w:color="auto" w:fill="FFFFFF"/>
        </w:rPr>
        <w:t>万元。按照“三公”经费“厉行节约”原则，从严控制“三公”经费预算。</w:t>
      </w:r>
    </w:p>
    <w:p w14:paraId="31AB1B0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ascii="等线" w:hAnsi="等线" w:eastAsia="等线" w:cs="等线"/>
          <w:i w:val="0"/>
          <w:iCs w:val="0"/>
          <w:caps w:val="0"/>
          <w:color w:val="3D3D3D"/>
          <w:spacing w:val="0"/>
          <w:sz w:val="21"/>
          <w:szCs w:val="21"/>
        </w:rPr>
      </w:pPr>
      <w:r>
        <w:rPr>
          <w:rFonts w:hint="default" w:ascii="黑体" w:hAnsi="宋体" w:eastAsia="黑体" w:cs="黑体"/>
          <w:b w:val="0"/>
          <w:bCs w:val="0"/>
          <w:i w:val="0"/>
          <w:iCs w:val="0"/>
          <w:caps w:val="0"/>
          <w:color w:val="000000"/>
          <w:spacing w:val="0"/>
          <w:sz w:val="32"/>
          <w:szCs w:val="32"/>
          <w:shd w:val="clear" w:color="auto" w:fill="FFFFFF"/>
        </w:rPr>
        <w:t>三、项目组织实施情况</w:t>
      </w:r>
    </w:p>
    <w:p w14:paraId="5CF66EC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楷体_GB2312" w:hAnsi="楷体_GB2312" w:eastAsia="楷体_GB2312" w:cs="楷体_GB2312"/>
          <w:b w:val="0"/>
          <w:bCs w:val="0"/>
          <w:i w:val="0"/>
          <w:iCs w:val="0"/>
          <w:caps w:val="0"/>
          <w:color w:val="000000"/>
          <w:spacing w:val="0"/>
          <w:sz w:val="32"/>
          <w:szCs w:val="32"/>
          <w:shd w:val="clear" w:color="auto" w:fill="FFFFFF"/>
        </w:rPr>
        <w:t>（一）项目组织情况分析。</w:t>
      </w:r>
    </w:p>
    <w:p w14:paraId="3446870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1.</w:t>
      </w:r>
      <w:r>
        <w:rPr>
          <w:rFonts w:hint="eastAsia" w:ascii="仿宋_GB2312" w:hAnsi="仿宋" w:eastAsia="仿宋_GB2312" w:cs="仿宋_GB2312"/>
          <w:i w:val="0"/>
          <w:iCs w:val="0"/>
          <w:caps w:val="0"/>
          <w:color w:val="000000"/>
          <w:spacing w:val="0"/>
          <w:sz w:val="32"/>
          <w:szCs w:val="32"/>
          <w:shd w:val="clear" w:color="auto" w:fill="FFFFFF"/>
        </w:rPr>
        <w:t>项目招投标情况</w:t>
      </w:r>
    </w:p>
    <w:p w14:paraId="00A98A5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公开透明：单位始终坚持招投标活动的公开透明原则，确保所有潜在投标者都能获取到准确、完整的信息，保证竞争的公平性。</w:t>
      </w:r>
    </w:p>
    <w:p w14:paraId="6CAA1FD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严格筛选：在招投标过程中，单位会根据项目的实际需求，制定详细的招标要求，并对投标单位进行严格的资质审查和技术评估，以确保中标单位具备完成项目的能力和技术实力。</w:t>
      </w:r>
    </w:p>
    <w:p w14:paraId="0AC7358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合同管理：单位与中标单位签订合同时，会明确双方的权利和义务，确保项目的顺利实施和双方的利益得到保障。</w:t>
      </w:r>
    </w:p>
    <w:p w14:paraId="3021C9A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w:t>
      </w:r>
      <w:r>
        <w:rPr>
          <w:rFonts w:hint="eastAsia" w:ascii="仿宋_GB2312" w:hAnsi="仿宋" w:eastAsia="仿宋_GB2312" w:cs="仿宋_GB2312"/>
          <w:i w:val="0"/>
          <w:iCs w:val="0"/>
          <w:caps w:val="0"/>
          <w:color w:val="000000"/>
          <w:spacing w:val="0"/>
          <w:sz w:val="32"/>
          <w:szCs w:val="32"/>
          <w:shd w:val="clear" w:color="auto" w:fill="FFFFFF"/>
        </w:rPr>
        <w:t>项目调整情况</w:t>
      </w:r>
    </w:p>
    <w:p w14:paraId="779AD66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灵活应变：在项目执行过程中，单位会根据实际情况及时调整项目计划，确保项目能够按时、按质完成。对于因政策变化、资金短缺等原因导致的项目调整，单位会积极与相关部门沟通，争取支持和理解。</w:t>
      </w:r>
    </w:p>
    <w:p w14:paraId="6266A7A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规范流程：项目调整时，单位会遵循规范的流程进行审批和执行，确保调整的合理性和合规性。同时，单位会及时通知相关单位和人员，确保项目信息及时传递和共享。</w:t>
      </w:r>
    </w:p>
    <w:p w14:paraId="0BD0015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效果评估：对于项目调整后的效果，单位会进行定期的评估和反馈，确保调整措施的有效性和项目的顺利进行。</w:t>
      </w:r>
    </w:p>
    <w:p w14:paraId="017F66D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3.</w:t>
      </w:r>
      <w:r>
        <w:rPr>
          <w:rFonts w:hint="eastAsia" w:ascii="仿宋_GB2312" w:hAnsi="仿宋" w:eastAsia="仿宋_GB2312" w:cs="仿宋_GB2312"/>
          <w:i w:val="0"/>
          <w:iCs w:val="0"/>
          <w:caps w:val="0"/>
          <w:color w:val="000000"/>
          <w:spacing w:val="0"/>
          <w:sz w:val="32"/>
          <w:szCs w:val="32"/>
          <w:shd w:val="clear" w:color="auto" w:fill="FFFFFF"/>
        </w:rPr>
        <w:t>项目竣工验收情况</w:t>
      </w:r>
    </w:p>
    <w:p w14:paraId="37B4240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全面检查：在项目竣工验收阶段，单位会组织专业团队对项目的各个方面进行全面检查，确保项目的质量和安全符合相关要求。</w:t>
      </w:r>
    </w:p>
    <w:p w14:paraId="6B5E1D9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严格标准：单位会依据合同约定的技术标准和质量要求，制定详细的验收标准，确保项目的质量达标。对于存在问题的部分，单位会要求施工单位进行整改并重新验收。</w:t>
      </w:r>
    </w:p>
    <w:p w14:paraId="324CB3D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经验总结：在项目竣工验收后，单位会及时总结经验教训，为今后的项目组织提供有益的参考和借鉴。</w:t>
      </w:r>
    </w:p>
    <w:p w14:paraId="2BB172F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楷体_GB2312" w:hAnsi="楷体_GB2312" w:eastAsia="楷体_GB2312" w:cs="楷体_GB2312"/>
          <w:b w:val="0"/>
          <w:bCs w:val="0"/>
          <w:i w:val="0"/>
          <w:iCs w:val="0"/>
          <w:caps w:val="0"/>
          <w:color w:val="000000"/>
          <w:spacing w:val="0"/>
          <w:sz w:val="32"/>
          <w:szCs w:val="32"/>
          <w:shd w:val="clear" w:color="auto" w:fill="FFFFFF"/>
        </w:rPr>
        <w:t>（二）项目管理情况分析。</w:t>
      </w:r>
    </w:p>
    <w:p w14:paraId="044934F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管理制度的完善：单位针对项目资金管理，制定了一系列的管理制度，如《单位专项资金使用管理办法》《项目资金管理制度》等。这些制度明确了资金管理的原则、流程、责任等，为资金管理的规范化提供了制度保障。</w:t>
      </w:r>
    </w:p>
    <w:p w14:paraId="6FB2137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管理办法的细化：在管理制度的基础上，单位还制定了详细的资金管理办法，包括资金的申请、审批、使用、监督等各个环节。这些办法明确了资金使用的范围、标准、程序等，为资金使用的合规性和效益性提供了具体指导。</w:t>
      </w:r>
    </w:p>
    <w:p w14:paraId="4395810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资金申请与审批：单位严格按照管理制度和办法的规定，对项目资金进行申请和审批。项目负责人需提交详细的申请报告，包括项目的名称、预算、使用计划等，经过所在部门主管审核后报经校领导批准。审批过程透明、公正，确保项目能够获得足够的经费支持。</w:t>
      </w:r>
    </w:p>
    <w:p w14:paraId="1C3385C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资金使用与监管：在资金使用方面，单位遵循“专款专用”的原则，确保资金按照预算和使用计划进行使用。同时，单位建立了严格的资金使用监管机制，对资金的使用情况进行实时监控和跟踪，确保资金使用的合规性和效益性。对于任何资金使用的争议项目，单位会进行经济和法律评估，并报请上级主管部门批准。</w:t>
      </w:r>
    </w:p>
    <w:p w14:paraId="5AC8611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项目变更管理：在项目实施过程中，如出现资金调整、项目目标变更等情况，单位会按照管理制度和办法的规定进行审批和调整。确保项目变更的合规性和合理性，同时避免对项目进度和资金使用造成不良影响。</w:t>
      </w:r>
    </w:p>
    <w:p w14:paraId="595C0F5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黑体" w:hAnsi="宋体" w:eastAsia="黑体" w:cs="黑体"/>
          <w:b w:val="0"/>
          <w:bCs w:val="0"/>
          <w:i w:val="0"/>
          <w:iCs w:val="0"/>
          <w:caps w:val="0"/>
          <w:color w:val="000000"/>
          <w:spacing w:val="0"/>
          <w:sz w:val="32"/>
          <w:szCs w:val="32"/>
          <w:shd w:val="clear" w:color="auto" w:fill="FFFFFF"/>
        </w:rPr>
        <w:t>四、资产管理情况</w:t>
      </w:r>
    </w:p>
    <w:p w14:paraId="75FC298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eastAsia" w:ascii="宋体" w:hAnsi="宋体" w:eastAsia="宋体" w:cs="宋体"/>
          <w:b/>
          <w:bCs/>
          <w:i w:val="0"/>
          <w:iCs w:val="0"/>
          <w:caps w:val="0"/>
          <w:color w:val="000000"/>
          <w:spacing w:val="0"/>
          <w:sz w:val="32"/>
          <w:szCs w:val="32"/>
          <w:shd w:val="clear" w:color="auto" w:fill="FFFFFF"/>
        </w:rPr>
        <w:t>1.</w:t>
      </w:r>
      <w:r>
        <w:rPr>
          <w:rFonts w:hint="eastAsia" w:ascii="仿宋_GB2312" w:hAnsi="宋体" w:eastAsia="仿宋_GB2312" w:cs="仿宋_GB2312"/>
          <w:b/>
          <w:bCs/>
          <w:i w:val="0"/>
          <w:iCs w:val="0"/>
          <w:caps w:val="0"/>
          <w:color w:val="000000"/>
          <w:spacing w:val="0"/>
          <w:sz w:val="32"/>
          <w:szCs w:val="32"/>
          <w:shd w:val="clear" w:color="auto" w:fill="FFFFFF"/>
        </w:rPr>
        <w:t>资产配置情况</w:t>
      </w:r>
    </w:p>
    <w:p w14:paraId="7094741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年度，我单位配置固定资产</w:t>
      </w:r>
      <w:r>
        <w:rPr>
          <w:rFonts w:hint="default" w:ascii="Times New Roman" w:hAnsi="Times New Roman" w:eastAsia="仿宋" w:cs="Times New Roman"/>
          <w:i w:val="0"/>
          <w:iCs w:val="0"/>
          <w:caps w:val="0"/>
          <w:color w:val="000000"/>
          <w:spacing w:val="0"/>
          <w:sz w:val="32"/>
          <w:szCs w:val="32"/>
          <w:shd w:val="clear" w:color="auto" w:fill="FFFFFF"/>
        </w:rPr>
        <w:t>6.88</w:t>
      </w:r>
      <w:r>
        <w:rPr>
          <w:rFonts w:hint="eastAsia" w:ascii="仿宋_GB2312" w:hAnsi="仿宋" w:eastAsia="仿宋_GB2312" w:cs="仿宋_GB2312"/>
          <w:i w:val="0"/>
          <w:iCs w:val="0"/>
          <w:caps w:val="0"/>
          <w:color w:val="000000"/>
          <w:spacing w:val="0"/>
          <w:sz w:val="32"/>
          <w:szCs w:val="32"/>
          <w:shd w:val="clear" w:color="auto" w:fill="FFFFFF"/>
        </w:rPr>
        <w:t>万元（账面原值，下同）。从资产类别分析，配置房屋和构筑物</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；配置设备</w:t>
      </w:r>
      <w:r>
        <w:rPr>
          <w:rFonts w:hint="default" w:ascii="Times New Roman" w:hAnsi="Times New Roman" w:eastAsia="仿宋" w:cs="Times New Roman"/>
          <w:i w:val="0"/>
          <w:iCs w:val="0"/>
          <w:caps w:val="0"/>
          <w:color w:val="000000"/>
          <w:spacing w:val="0"/>
          <w:sz w:val="32"/>
          <w:szCs w:val="32"/>
          <w:shd w:val="clear" w:color="auto" w:fill="FFFFFF"/>
        </w:rPr>
        <w:t>6.88</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100.00%</w:t>
      </w:r>
      <w:r>
        <w:rPr>
          <w:rFonts w:hint="eastAsia" w:ascii="仿宋_GB2312" w:hAnsi="仿宋" w:eastAsia="仿宋_GB2312" w:cs="仿宋_GB2312"/>
          <w:i w:val="0"/>
          <w:iCs w:val="0"/>
          <w:caps w:val="0"/>
          <w:color w:val="000000"/>
          <w:spacing w:val="0"/>
          <w:sz w:val="32"/>
          <w:szCs w:val="32"/>
          <w:shd w:val="clear" w:color="auto" w:fill="FFFFFF"/>
        </w:rPr>
        <w:t>；配置陈列品</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；配置图书和档案</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；配置家具和用具</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；配置特种动植物</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。从配置方式分析，建设</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；新购</w:t>
      </w:r>
      <w:r>
        <w:rPr>
          <w:rFonts w:hint="default" w:ascii="Times New Roman" w:hAnsi="Times New Roman" w:eastAsia="仿宋" w:cs="Times New Roman"/>
          <w:i w:val="0"/>
          <w:iCs w:val="0"/>
          <w:caps w:val="0"/>
          <w:color w:val="000000"/>
          <w:spacing w:val="0"/>
          <w:sz w:val="32"/>
          <w:szCs w:val="32"/>
          <w:shd w:val="clear" w:color="auto" w:fill="FFFFFF"/>
        </w:rPr>
        <w:t>1.49</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21.69%</w:t>
      </w:r>
      <w:r>
        <w:rPr>
          <w:rFonts w:hint="eastAsia" w:ascii="仿宋_GB2312" w:hAnsi="仿宋" w:eastAsia="仿宋_GB2312" w:cs="仿宋_GB2312"/>
          <w:i w:val="0"/>
          <w:iCs w:val="0"/>
          <w:caps w:val="0"/>
          <w:color w:val="000000"/>
          <w:spacing w:val="0"/>
          <w:sz w:val="32"/>
          <w:szCs w:val="32"/>
          <w:shd w:val="clear" w:color="auto" w:fill="FFFFFF"/>
        </w:rPr>
        <w:t>；调拨</w:t>
      </w:r>
      <w:r>
        <w:rPr>
          <w:rFonts w:hint="default" w:ascii="Times New Roman" w:hAnsi="Times New Roman" w:eastAsia="仿宋" w:cs="Times New Roman"/>
          <w:i w:val="0"/>
          <w:iCs w:val="0"/>
          <w:caps w:val="0"/>
          <w:color w:val="000000"/>
          <w:spacing w:val="0"/>
          <w:sz w:val="32"/>
          <w:szCs w:val="32"/>
          <w:shd w:val="clear" w:color="auto" w:fill="FFFFFF"/>
        </w:rPr>
        <w:t>5.39</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78.31%</w:t>
      </w:r>
      <w:r>
        <w:rPr>
          <w:rFonts w:hint="eastAsia" w:ascii="仿宋_GB2312" w:hAnsi="仿宋" w:eastAsia="仿宋_GB2312" w:cs="仿宋_GB2312"/>
          <w:i w:val="0"/>
          <w:iCs w:val="0"/>
          <w:caps w:val="0"/>
          <w:color w:val="000000"/>
          <w:spacing w:val="0"/>
          <w:sz w:val="32"/>
          <w:szCs w:val="32"/>
          <w:shd w:val="clear" w:color="auto" w:fill="FFFFFF"/>
        </w:rPr>
        <w:t>；接受捐赠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；置换</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；其他方式新增</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w:t>
      </w:r>
    </w:p>
    <w:p w14:paraId="10AF75A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我单位配置无形资产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万元。从资产类别分析，配置专利</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；配置非专利技术</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；配置土地使用权</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；配置计算机软件</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。从配置方式分析，建设</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；新购</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；调拨</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；接受捐赠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；置换</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；其他方式新增</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w:t>
      </w:r>
    </w:p>
    <w:p w14:paraId="4C43AA0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我单位配置在建工程</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w:t>
      </w:r>
    </w:p>
    <w:p w14:paraId="4E329F5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eastAsia" w:ascii="宋体" w:hAnsi="宋体" w:eastAsia="宋体" w:cs="宋体"/>
          <w:b/>
          <w:bCs/>
          <w:i w:val="0"/>
          <w:iCs w:val="0"/>
          <w:caps w:val="0"/>
          <w:color w:val="000000"/>
          <w:spacing w:val="0"/>
          <w:sz w:val="32"/>
          <w:szCs w:val="32"/>
          <w:shd w:val="clear" w:color="auto" w:fill="FFFFFF"/>
        </w:rPr>
        <w:t>2.</w:t>
      </w:r>
      <w:r>
        <w:rPr>
          <w:rFonts w:hint="eastAsia" w:ascii="仿宋_GB2312" w:hAnsi="宋体" w:eastAsia="仿宋_GB2312" w:cs="仿宋_GB2312"/>
          <w:b/>
          <w:bCs/>
          <w:i w:val="0"/>
          <w:iCs w:val="0"/>
          <w:caps w:val="0"/>
          <w:color w:val="000000"/>
          <w:spacing w:val="0"/>
          <w:sz w:val="32"/>
          <w:szCs w:val="32"/>
          <w:shd w:val="clear" w:color="auto" w:fill="FFFFFF"/>
        </w:rPr>
        <w:t>资产使用情况。</w:t>
      </w:r>
    </w:p>
    <w:p w14:paraId="2421B86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eastAsia" w:ascii="仿宋_GB2312" w:hAnsi="宋体" w:eastAsia="仿宋_GB2312" w:cs="仿宋_GB2312"/>
          <w:b/>
          <w:bCs/>
          <w:i w:val="0"/>
          <w:iCs w:val="0"/>
          <w:caps w:val="0"/>
          <w:color w:val="000000"/>
          <w:spacing w:val="0"/>
          <w:sz w:val="32"/>
          <w:szCs w:val="32"/>
          <w:shd w:val="clear" w:color="auto" w:fill="FFFFFF"/>
        </w:rPr>
        <w:t>（</w:t>
      </w:r>
      <w:r>
        <w:rPr>
          <w:rFonts w:hint="eastAsia" w:ascii="宋体" w:hAnsi="宋体" w:eastAsia="宋体" w:cs="宋体"/>
          <w:b/>
          <w:bCs/>
          <w:i w:val="0"/>
          <w:iCs w:val="0"/>
          <w:caps w:val="0"/>
          <w:color w:val="000000"/>
          <w:spacing w:val="0"/>
          <w:sz w:val="32"/>
          <w:szCs w:val="32"/>
          <w:shd w:val="clear" w:color="auto" w:fill="FFFFFF"/>
        </w:rPr>
        <w:t>1</w:t>
      </w:r>
      <w:r>
        <w:rPr>
          <w:rFonts w:hint="eastAsia" w:ascii="仿宋_GB2312" w:hAnsi="宋体" w:eastAsia="仿宋_GB2312" w:cs="仿宋_GB2312"/>
          <w:b/>
          <w:bCs/>
          <w:i w:val="0"/>
          <w:iCs w:val="0"/>
          <w:caps w:val="0"/>
          <w:color w:val="000000"/>
          <w:spacing w:val="0"/>
          <w:sz w:val="32"/>
          <w:szCs w:val="32"/>
          <w:shd w:val="clear" w:color="auto" w:fill="FFFFFF"/>
        </w:rPr>
        <w:t>）资产自用情况。</w:t>
      </w:r>
    </w:p>
    <w:p w14:paraId="12BD29D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截至</w:t>
      </w: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w:t>
      </w:r>
      <w:r>
        <w:rPr>
          <w:rFonts w:hint="default" w:ascii="Times New Roman" w:hAnsi="Times New Roman" w:eastAsia="仿宋" w:cs="Times New Roman"/>
          <w:i w:val="0"/>
          <w:iCs w:val="0"/>
          <w:caps w:val="0"/>
          <w:color w:val="000000"/>
          <w:spacing w:val="0"/>
          <w:sz w:val="32"/>
          <w:szCs w:val="32"/>
          <w:shd w:val="clear" w:color="auto" w:fill="FFFFFF"/>
        </w:rPr>
        <w:t>12</w:t>
      </w:r>
      <w:r>
        <w:rPr>
          <w:rFonts w:hint="eastAsia" w:ascii="仿宋_GB2312" w:hAnsi="仿宋" w:eastAsia="仿宋_GB2312" w:cs="仿宋_GB2312"/>
          <w:i w:val="0"/>
          <w:iCs w:val="0"/>
          <w:caps w:val="0"/>
          <w:color w:val="000000"/>
          <w:spacing w:val="0"/>
          <w:sz w:val="32"/>
          <w:szCs w:val="32"/>
          <w:shd w:val="clear" w:color="auto" w:fill="FFFFFF"/>
        </w:rPr>
        <w:t>月</w:t>
      </w:r>
      <w:r>
        <w:rPr>
          <w:rFonts w:hint="default" w:ascii="Times New Roman" w:hAnsi="Times New Roman" w:eastAsia="仿宋" w:cs="Times New Roman"/>
          <w:i w:val="0"/>
          <w:iCs w:val="0"/>
          <w:caps w:val="0"/>
          <w:color w:val="000000"/>
          <w:spacing w:val="0"/>
          <w:sz w:val="32"/>
          <w:szCs w:val="32"/>
          <w:shd w:val="clear" w:color="auto" w:fill="FFFFFF"/>
        </w:rPr>
        <w:t>31</w:t>
      </w:r>
      <w:r>
        <w:rPr>
          <w:rFonts w:hint="eastAsia" w:ascii="仿宋_GB2312" w:hAnsi="仿宋" w:eastAsia="仿宋_GB2312" w:cs="仿宋_GB2312"/>
          <w:i w:val="0"/>
          <w:iCs w:val="0"/>
          <w:caps w:val="0"/>
          <w:color w:val="000000"/>
          <w:spacing w:val="0"/>
          <w:sz w:val="32"/>
          <w:szCs w:val="32"/>
          <w:shd w:val="clear" w:color="auto" w:fill="FFFFFF"/>
        </w:rPr>
        <w:t>日，我单位自用固定资产</w:t>
      </w:r>
      <w:r>
        <w:rPr>
          <w:rFonts w:hint="default" w:ascii="Times New Roman" w:hAnsi="Times New Roman" w:eastAsia="仿宋" w:cs="Times New Roman"/>
          <w:i w:val="0"/>
          <w:iCs w:val="0"/>
          <w:caps w:val="0"/>
          <w:color w:val="000000"/>
          <w:spacing w:val="0"/>
          <w:sz w:val="32"/>
          <w:szCs w:val="32"/>
          <w:shd w:val="clear" w:color="auto" w:fill="FFFFFF"/>
        </w:rPr>
        <w:t>144.68</w:t>
      </w:r>
      <w:r>
        <w:rPr>
          <w:rFonts w:hint="eastAsia" w:ascii="仿宋_GB2312" w:hAnsi="仿宋" w:eastAsia="仿宋_GB2312" w:cs="仿宋_GB2312"/>
          <w:i w:val="0"/>
          <w:iCs w:val="0"/>
          <w:caps w:val="0"/>
          <w:color w:val="000000"/>
          <w:spacing w:val="0"/>
          <w:sz w:val="32"/>
          <w:szCs w:val="32"/>
          <w:shd w:val="clear" w:color="auto" w:fill="FFFFFF"/>
        </w:rPr>
        <w:t>万元，占账面固定资产总额的</w:t>
      </w:r>
      <w:r>
        <w:rPr>
          <w:rFonts w:hint="default" w:ascii="Times New Roman" w:hAnsi="Times New Roman" w:eastAsia="仿宋" w:cs="Times New Roman"/>
          <w:i w:val="0"/>
          <w:iCs w:val="0"/>
          <w:caps w:val="0"/>
          <w:color w:val="000000"/>
          <w:spacing w:val="0"/>
          <w:sz w:val="32"/>
          <w:szCs w:val="32"/>
          <w:shd w:val="clear" w:color="auto" w:fill="FFFFFF"/>
        </w:rPr>
        <w:t>100.00%</w:t>
      </w:r>
      <w:r>
        <w:rPr>
          <w:rFonts w:hint="eastAsia" w:ascii="仿宋_GB2312" w:hAnsi="仿宋" w:eastAsia="仿宋_GB2312" w:cs="仿宋_GB2312"/>
          <w:i w:val="0"/>
          <w:iCs w:val="0"/>
          <w:caps w:val="0"/>
          <w:color w:val="000000"/>
          <w:spacing w:val="0"/>
          <w:sz w:val="32"/>
          <w:szCs w:val="32"/>
          <w:shd w:val="clear" w:color="auto" w:fill="FFFFFF"/>
        </w:rPr>
        <w:t>，其中：在用</w:t>
      </w:r>
      <w:r>
        <w:rPr>
          <w:rFonts w:hint="default" w:ascii="Times New Roman" w:hAnsi="Times New Roman" w:eastAsia="仿宋" w:cs="Times New Roman"/>
          <w:i w:val="0"/>
          <w:iCs w:val="0"/>
          <w:caps w:val="0"/>
          <w:color w:val="000000"/>
          <w:spacing w:val="0"/>
          <w:sz w:val="32"/>
          <w:szCs w:val="32"/>
          <w:shd w:val="clear" w:color="auto" w:fill="FFFFFF"/>
        </w:rPr>
        <w:t>143.48</w:t>
      </w:r>
      <w:r>
        <w:rPr>
          <w:rFonts w:hint="eastAsia" w:ascii="仿宋_GB2312" w:hAnsi="仿宋" w:eastAsia="仿宋_GB2312" w:cs="仿宋_GB2312"/>
          <w:i w:val="0"/>
          <w:iCs w:val="0"/>
          <w:caps w:val="0"/>
          <w:color w:val="000000"/>
          <w:spacing w:val="0"/>
          <w:sz w:val="32"/>
          <w:szCs w:val="32"/>
          <w:shd w:val="clear" w:color="auto" w:fill="FFFFFF"/>
        </w:rPr>
        <w:t>万元，占账面固定资产总额的</w:t>
      </w:r>
      <w:r>
        <w:rPr>
          <w:rFonts w:hint="default" w:ascii="Times New Roman" w:hAnsi="Times New Roman" w:eastAsia="仿宋" w:cs="Times New Roman"/>
          <w:i w:val="0"/>
          <w:iCs w:val="0"/>
          <w:caps w:val="0"/>
          <w:color w:val="000000"/>
          <w:spacing w:val="0"/>
          <w:sz w:val="32"/>
          <w:szCs w:val="32"/>
          <w:shd w:val="clear" w:color="auto" w:fill="FFFFFF"/>
        </w:rPr>
        <w:t>99.17%</w:t>
      </w:r>
      <w:r>
        <w:rPr>
          <w:rFonts w:hint="eastAsia" w:ascii="仿宋_GB2312" w:hAnsi="仿宋" w:eastAsia="仿宋_GB2312" w:cs="仿宋_GB2312"/>
          <w:i w:val="0"/>
          <w:iCs w:val="0"/>
          <w:caps w:val="0"/>
          <w:color w:val="000000"/>
          <w:spacing w:val="0"/>
          <w:sz w:val="32"/>
          <w:szCs w:val="32"/>
          <w:shd w:val="clear" w:color="auto" w:fill="FFFFFF"/>
        </w:rPr>
        <w:t>；闲置</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万元，占账面固定资产总额的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；待处置（待报废、毁损等）</w:t>
      </w:r>
      <w:r>
        <w:rPr>
          <w:rFonts w:hint="default" w:ascii="Times New Roman" w:hAnsi="Times New Roman" w:eastAsia="仿宋" w:cs="Times New Roman"/>
          <w:i w:val="0"/>
          <w:iCs w:val="0"/>
          <w:caps w:val="0"/>
          <w:color w:val="000000"/>
          <w:spacing w:val="0"/>
          <w:sz w:val="32"/>
          <w:szCs w:val="32"/>
          <w:shd w:val="clear" w:color="auto" w:fill="FFFFFF"/>
        </w:rPr>
        <w:t>1.19</w:t>
      </w:r>
      <w:r>
        <w:rPr>
          <w:rFonts w:hint="eastAsia" w:ascii="仿宋_GB2312" w:hAnsi="仿宋" w:eastAsia="仿宋_GB2312" w:cs="仿宋_GB2312"/>
          <w:i w:val="0"/>
          <w:iCs w:val="0"/>
          <w:caps w:val="0"/>
          <w:color w:val="000000"/>
          <w:spacing w:val="0"/>
          <w:sz w:val="32"/>
          <w:szCs w:val="32"/>
          <w:shd w:val="clear" w:color="auto" w:fill="FFFFFF"/>
        </w:rPr>
        <w:t>万元，占账面固定资产总额的</w:t>
      </w:r>
      <w:r>
        <w:rPr>
          <w:rFonts w:hint="default" w:ascii="Times New Roman" w:hAnsi="Times New Roman" w:eastAsia="仿宋" w:cs="Times New Roman"/>
          <w:i w:val="0"/>
          <w:iCs w:val="0"/>
          <w:caps w:val="0"/>
          <w:color w:val="000000"/>
          <w:spacing w:val="0"/>
          <w:sz w:val="32"/>
          <w:szCs w:val="32"/>
          <w:shd w:val="clear" w:color="auto" w:fill="FFFFFF"/>
        </w:rPr>
        <w:t>0.83%</w:t>
      </w:r>
      <w:r>
        <w:rPr>
          <w:rFonts w:hint="eastAsia" w:ascii="仿宋_GB2312" w:hAnsi="仿宋" w:eastAsia="仿宋_GB2312" w:cs="仿宋_GB2312"/>
          <w:i w:val="0"/>
          <w:iCs w:val="0"/>
          <w:caps w:val="0"/>
          <w:color w:val="000000"/>
          <w:spacing w:val="0"/>
          <w:sz w:val="32"/>
          <w:szCs w:val="32"/>
          <w:shd w:val="clear" w:color="auto" w:fill="FFFFFF"/>
        </w:rPr>
        <w:t>。自用无形资产</w:t>
      </w:r>
      <w:r>
        <w:rPr>
          <w:rFonts w:hint="default" w:ascii="Times New Roman" w:hAnsi="Times New Roman" w:eastAsia="仿宋" w:cs="Times New Roman"/>
          <w:i w:val="0"/>
          <w:iCs w:val="0"/>
          <w:caps w:val="0"/>
          <w:color w:val="000000"/>
          <w:spacing w:val="0"/>
          <w:sz w:val="32"/>
          <w:szCs w:val="32"/>
          <w:shd w:val="clear" w:color="auto" w:fill="FFFFFF"/>
        </w:rPr>
        <w:t>13.51</w:t>
      </w:r>
      <w:r>
        <w:rPr>
          <w:rFonts w:hint="eastAsia" w:ascii="仿宋_GB2312" w:hAnsi="仿宋" w:eastAsia="仿宋_GB2312" w:cs="仿宋_GB2312"/>
          <w:i w:val="0"/>
          <w:iCs w:val="0"/>
          <w:caps w:val="0"/>
          <w:color w:val="000000"/>
          <w:spacing w:val="0"/>
          <w:sz w:val="32"/>
          <w:szCs w:val="32"/>
          <w:shd w:val="clear" w:color="auto" w:fill="FFFFFF"/>
        </w:rPr>
        <w:t>万元，占账面无形资产总额的</w:t>
      </w:r>
      <w:r>
        <w:rPr>
          <w:rFonts w:hint="default" w:ascii="Times New Roman" w:hAnsi="Times New Roman" w:eastAsia="仿宋" w:cs="Times New Roman"/>
          <w:i w:val="0"/>
          <w:iCs w:val="0"/>
          <w:caps w:val="0"/>
          <w:color w:val="000000"/>
          <w:spacing w:val="0"/>
          <w:sz w:val="32"/>
          <w:szCs w:val="32"/>
          <w:shd w:val="clear" w:color="auto" w:fill="FFFFFF"/>
        </w:rPr>
        <w:t>100.00%</w:t>
      </w:r>
      <w:r>
        <w:rPr>
          <w:rFonts w:hint="eastAsia" w:ascii="仿宋_GB2312" w:hAnsi="仿宋" w:eastAsia="仿宋_GB2312" w:cs="仿宋_GB2312"/>
          <w:i w:val="0"/>
          <w:iCs w:val="0"/>
          <w:caps w:val="0"/>
          <w:color w:val="000000"/>
          <w:spacing w:val="0"/>
          <w:sz w:val="32"/>
          <w:szCs w:val="32"/>
          <w:shd w:val="clear" w:color="auto" w:fill="FFFFFF"/>
        </w:rPr>
        <w:t>；其中在用</w:t>
      </w:r>
      <w:r>
        <w:rPr>
          <w:rFonts w:hint="default" w:ascii="Times New Roman" w:hAnsi="Times New Roman" w:eastAsia="仿宋" w:cs="Times New Roman"/>
          <w:i w:val="0"/>
          <w:iCs w:val="0"/>
          <w:caps w:val="0"/>
          <w:color w:val="000000"/>
          <w:spacing w:val="0"/>
          <w:sz w:val="32"/>
          <w:szCs w:val="32"/>
          <w:shd w:val="clear" w:color="auto" w:fill="FFFFFF"/>
        </w:rPr>
        <w:t>13.51</w:t>
      </w:r>
      <w:r>
        <w:rPr>
          <w:rFonts w:hint="eastAsia" w:ascii="仿宋_GB2312" w:hAnsi="仿宋" w:eastAsia="仿宋_GB2312" w:cs="仿宋_GB2312"/>
          <w:i w:val="0"/>
          <w:iCs w:val="0"/>
          <w:caps w:val="0"/>
          <w:color w:val="000000"/>
          <w:spacing w:val="0"/>
          <w:sz w:val="32"/>
          <w:szCs w:val="32"/>
          <w:shd w:val="clear" w:color="auto" w:fill="FFFFFF"/>
        </w:rPr>
        <w:t>万元，占账面无形资产总额的</w:t>
      </w:r>
      <w:r>
        <w:rPr>
          <w:rFonts w:hint="default" w:ascii="Times New Roman" w:hAnsi="Times New Roman" w:eastAsia="仿宋" w:cs="Times New Roman"/>
          <w:i w:val="0"/>
          <w:iCs w:val="0"/>
          <w:caps w:val="0"/>
          <w:color w:val="000000"/>
          <w:spacing w:val="0"/>
          <w:sz w:val="32"/>
          <w:szCs w:val="32"/>
          <w:shd w:val="clear" w:color="auto" w:fill="FFFFFF"/>
        </w:rPr>
        <w:t>100.00%</w:t>
      </w:r>
      <w:r>
        <w:rPr>
          <w:rFonts w:hint="eastAsia" w:ascii="仿宋_GB2312" w:hAnsi="仿宋" w:eastAsia="仿宋_GB2312" w:cs="仿宋_GB2312"/>
          <w:i w:val="0"/>
          <w:iCs w:val="0"/>
          <w:caps w:val="0"/>
          <w:color w:val="000000"/>
          <w:spacing w:val="0"/>
          <w:sz w:val="32"/>
          <w:szCs w:val="32"/>
          <w:shd w:val="clear" w:color="auto" w:fill="FFFFFF"/>
        </w:rPr>
        <w:t>；闲置</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万元，占账面无形资产总额的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；待处置（待报废、毁损等）</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万元，占账面无形资产总额的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w:t>
      </w:r>
    </w:p>
    <w:p w14:paraId="3B6E0BD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eastAsia" w:ascii="仿宋_GB2312" w:hAnsi="宋体" w:eastAsia="仿宋_GB2312" w:cs="仿宋_GB2312"/>
          <w:b/>
          <w:bCs/>
          <w:i w:val="0"/>
          <w:iCs w:val="0"/>
          <w:caps w:val="0"/>
          <w:color w:val="000000"/>
          <w:spacing w:val="0"/>
          <w:sz w:val="32"/>
          <w:szCs w:val="32"/>
          <w:shd w:val="clear" w:color="auto" w:fill="FFFFFF"/>
        </w:rPr>
        <w:t>（</w:t>
      </w:r>
      <w:r>
        <w:rPr>
          <w:rFonts w:hint="eastAsia" w:ascii="宋体" w:hAnsi="宋体" w:eastAsia="宋体" w:cs="宋体"/>
          <w:b/>
          <w:bCs/>
          <w:i w:val="0"/>
          <w:iCs w:val="0"/>
          <w:caps w:val="0"/>
          <w:color w:val="000000"/>
          <w:spacing w:val="0"/>
          <w:sz w:val="32"/>
          <w:szCs w:val="32"/>
          <w:shd w:val="clear" w:color="auto" w:fill="FFFFFF"/>
        </w:rPr>
        <w:t>2</w:t>
      </w:r>
      <w:r>
        <w:rPr>
          <w:rFonts w:hint="eastAsia" w:ascii="仿宋_GB2312" w:hAnsi="宋体" w:eastAsia="仿宋_GB2312" w:cs="仿宋_GB2312"/>
          <w:b/>
          <w:bCs/>
          <w:i w:val="0"/>
          <w:iCs w:val="0"/>
          <w:caps w:val="0"/>
          <w:color w:val="000000"/>
          <w:spacing w:val="0"/>
          <w:sz w:val="32"/>
          <w:szCs w:val="32"/>
          <w:shd w:val="clear" w:color="auto" w:fill="FFFFFF"/>
        </w:rPr>
        <w:t>）出租出借情况。</w:t>
      </w:r>
    </w:p>
    <w:p w14:paraId="5BB6EBB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截至</w:t>
      </w: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w:t>
      </w:r>
      <w:r>
        <w:rPr>
          <w:rFonts w:hint="default" w:ascii="Times New Roman" w:hAnsi="Times New Roman" w:eastAsia="仿宋" w:cs="Times New Roman"/>
          <w:i w:val="0"/>
          <w:iCs w:val="0"/>
          <w:caps w:val="0"/>
          <w:color w:val="000000"/>
          <w:spacing w:val="0"/>
          <w:sz w:val="32"/>
          <w:szCs w:val="32"/>
          <w:shd w:val="clear" w:color="auto" w:fill="FFFFFF"/>
        </w:rPr>
        <w:t>12</w:t>
      </w:r>
      <w:r>
        <w:rPr>
          <w:rFonts w:hint="eastAsia" w:ascii="仿宋_GB2312" w:hAnsi="仿宋" w:eastAsia="仿宋_GB2312" w:cs="仿宋_GB2312"/>
          <w:i w:val="0"/>
          <w:iCs w:val="0"/>
          <w:caps w:val="0"/>
          <w:color w:val="000000"/>
          <w:spacing w:val="0"/>
          <w:sz w:val="32"/>
          <w:szCs w:val="32"/>
          <w:shd w:val="clear" w:color="auto" w:fill="FFFFFF"/>
        </w:rPr>
        <w:t>月</w:t>
      </w:r>
      <w:r>
        <w:rPr>
          <w:rFonts w:hint="default" w:ascii="Times New Roman" w:hAnsi="Times New Roman" w:eastAsia="仿宋" w:cs="Times New Roman"/>
          <w:i w:val="0"/>
          <w:iCs w:val="0"/>
          <w:caps w:val="0"/>
          <w:color w:val="000000"/>
          <w:spacing w:val="0"/>
          <w:sz w:val="32"/>
          <w:szCs w:val="32"/>
          <w:shd w:val="clear" w:color="auto" w:fill="FFFFFF"/>
        </w:rPr>
        <w:t>31</w:t>
      </w:r>
      <w:r>
        <w:rPr>
          <w:rFonts w:hint="eastAsia" w:ascii="仿宋_GB2312" w:hAnsi="仿宋" w:eastAsia="仿宋_GB2312" w:cs="仿宋_GB2312"/>
          <w:i w:val="0"/>
          <w:iCs w:val="0"/>
          <w:caps w:val="0"/>
          <w:color w:val="000000"/>
          <w:spacing w:val="0"/>
          <w:sz w:val="32"/>
          <w:szCs w:val="32"/>
          <w:shd w:val="clear" w:color="auto" w:fill="FFFFFF"/>
        </w:rPr>
        <w:t>日，我单位出租出借资产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万元，占资产总额的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。其中，流动资产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万元，占资产总额的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；固定资产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万元，占资产总额的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；无形资产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万元，占资产总额的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；在建工程</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万元，占资产总额的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；其他资产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万元，占资产总额的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w:t>
      </w:r>
    </w:p>
    <w:p w14:paraId="1C8C6DE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年度新增出租出借资产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万元。其中，流动资产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；固定资产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；无形资产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，在建工程</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，其他资产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w:t>
      </w:r>
    </w:p>
    <w:p w14:paraId="75B0D49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eastAsia" w:ascii="仿宋_GB2312" w:hAnsi="宋体" w:eastAsia="仿宋_GB2312" w:cs="仿宋_GB2312"/>
          <w:b/>
          <w:bCs/>
          <w:i w:val="0"/>
          <w:iCs w:val="0"/>
          <w:caps w:val="0"/>
          <w:color w:val="000000"/>
          <w:spacing w:val="0"/>
          <w:sz w:val="32"/>
          <w:szCs w:val="32"/>
          <w:shd w:val="clear" w:color="auto" w:fill="FFFFFF"/>
        </w:rPr>
        <w:t>（</w:t>
      </w:r>
      <w:r>
        <w:rPr>
          <w:rFonts w:hint="eastAsia" w:ascii="宋体" w:hAnsi="宋体" w:eastAsia="宋体" w:cs="宋体"/>
          <w:b/>
          <w:bCs/>
          <w:i w:val="0"/>
          <w:iCs w:val="0"/>
          <w:caps w:val="0"/>
          <w:color w:val="000000"/>
          <w:spacing w:val="0"/>
          <w:sz w:val="32"/>
          <w:szCs w:val="32"/>
          <w:shd w:val="clear" w:color="auto" w:fill="FFFFFF"/>
        </w:rPr>
        <w:t>3</w:t>
      </w:r>
      <w:r>
        <w:rPr>
          <w:rFonts w:hint="eastAsia" w:ascii="仿宋_GB2312" w:hAnsi="宋体" w:eastAsia="仿宋_GB2312" w:cs="仿宋_GB2312"/>
          <w:b/>
          <w:bCs/>
          <w:i w:val="0"/>
          <w:iCs w:val="0"/>
          <w:caps w:val="0"/>
          <w:color w:val="000000"/>
          <w:spacing w:val="0"/>
          <w:sz w:val="32"/>
          <w:szCs w:val="32"/>
          <w:shd w:val="clear" w:color="auto" w:fill="FFFFFF"/>
        </w:rPr>
        <w:t>）对外投资情况。</w:t>
      </w:r>
    </w:p>
    <w:p w14:paraId="33EECA4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截至</w:t>
      </w: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w:t>
      </w:r>
      <w:r>
        <w:rPr>
          <w:rFonts w:hint="default" w:ascii="Times New Roman" w:hAnsi="Times New Roman" w:eastAsia="仿宋" w:cs="Times New Roman"/>
          <w:i w:val="0"/>
          <w:iCs w:val="0"/>
          <w:caps w:val="0"/>
          <w:color w:val="000000"/>
          <w:spacing w:val="0"/>
          <w:sz w:val="32"/>
          <w:szCs w:val="32"/>
          <w:shd w:val="clear" w:color="auto" w:fill="FFFFFF"/>
        </w:rPr>
        <w:t>12</w:t>
      </w:r>
      <w:r>
        <w:rPr>
          <w:rFonts w:hint="eastAsia" w:ascii="仿宋_GB2312" w:hAnsi="仿宋" w:eastAsia="仿宋_GB2312" w:cs="仿宋_GB2312"/>
          <w:i w:val="0"/>
          <w:iCs w:val="0"/>
          <w:caps w:val="0"/>
          <w:color w:val="000000"/>
          <w:spacing w:val="0"/>
          <w:sz w:val="32"/>
          <w:szCs w:val="32"/>
          <w:shd w:val="clear" w:color="auto" w:fill="FFFFFF"/>
        </w:rPr>
        <w:t>月</w:t>
      </w:r>
      <w:r>
        <w:rPr>
          <w:rFonts w:hint="default" w:ascii="Times New Roman" w:hAnsi="Times New Roman" w:eastAsia="仿宋" w:cs="Times New Roman"/>
          <w:i w:val="0"/>
          <w:iCs w:val="0"/>
          <w:caps w:val="0"/>
          <w:color w:val="000000"/>
          <w:spacing w:val="0"/>
          <w:sz w:val="32"/>
          <w:szCs w:val="32"/>
          <w:shd w:val="clear" w:color="auto" w:fill="FFFFFF"/>
        </w:rPr>
        <w:t>31</w:t>
      </w:r>
      <w:r>
        <w:rPr>
          <w:rFonts w:hint="eastAsia" w:ascii="仿宋_GB2312" w:hAnsi="仿宋" w:eastAsia="仿宋_GB2312" w:cs="仿宋_GB2312"/>
          <w:i w:val="0"/>
          <w:iCs w:val="0"/>
          <w:caps w:val="0"/>
          <w:color w:val="000000"/>
          <w:spacing w:val="0"/>
          <w:sz w:val="32"/>
          <w:szCs w:val="32"/>
          <w:shd w:val="clear" w:color="auto" w:fill="FFFFFF"/>
        </w:rPr>
        <w:t>日，我单位对外投资总额</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万元。其中，短期投资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万元；长期债券投资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万元；长期股权投资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w:t>
      </w:r>
    </w:p>
    <w:p w14:paraId="4F1B917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年度新增对外投资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笔，账面原值</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万元。其中，短期投资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笔，账面原值</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万元；长期债券投资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笔，账面原值</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万元；长期股权投资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笔，账面原值</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w:t>
      </w:r>
    </w:p>
    <w:p w14:paraId="5268662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eastAsia" w:ascii="宋体" w:hAnsi="宋体" w:eastAsia="宋体" w:cs="宋体"/>
          <w:b/>
          <w:bCs/>
          <w:i w:val="0"/>
          <w:iCs w:val="0"/>
          <w:caps w:val="0"/>
          <w:color w:val="000000"/>
          <w:spacing w:val="0"/>
          <w:sz w:val="32"/>
          <w:szCs w:val="32"/>
          <w:shd w:val="clear" w:color="auto" w:fill="FFFFFF"/>
        </w:rPr>
        <w:t>3.</w:t>
      </w:r>
      <w:r>
        <w:rPr>
          <w:rFonts w:hint="eastAsia" w:ascii="仿宋_GB2312" w:hAnsi="宋体" w:eastAsia="仿宋_GB2312" w:cs="仿宋_GB2312"/>
          <w:b/>
          <w:bCs/>
          <w:i w:val="0"/>
          <w:iCs w:val="0"/>
          <w:caps w:val="0"/>
          <w:color w:val="000000"/>
          <w:spacing w:val="0"/>
          <w:sz w:val="32"/>
          <w:szCs w:val="32"/>
          <w:shd w:val="clear" w:color="auto" w:fill="FFFFFF"/>
        </w:rPr>
        <w:t>资产处置情况</w:t>
      </w:r>
    </w:p>
    <w:p w14:paraId="364BA60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年度，我单位处置资产</w:t>
      </w:r>
      <w:r>
        <w:rPr>
          <w:rFonts w:hint="default" w:ascii="Times New Roman" w:hAnsi="Times New Roman" w:eastAsia="仿宋" w:cs="Times New Roman"/>
          <w:i w:val="0"/>
          <w:iCs w:val="0"/>
          <w:caps w:val="0"/>
          <w:color w:val="000000"/>
          <w:spacing w:val="0"/>
          <w:sz w:val="32"/>
          <w:szCs w:val="32"/>
          <w:shd w:val="clear" w:color="auto" w:fill="FFFFFF"/>
        </w:rPr>
        <w:t>68.46</w:t>
      </w:r>
      <w:r>
        <w:rPr>
          <w:rFonts w:hint="eastAsia" w:ascii="仿宋_GB2312" w:hAnsi="仿宋" w:eastAsia="仿宋_GB2312" w:cs="仿宋_GB2312"/>
          <w:i w:val="0"/>
          <w:iCs w:val="0"/>
          <w:caps w:val="0"/>
          <w:color w:val="000000"/>
          <w:spacing w:val="0"/>
          <w:sz w:val="32"/>
          <w:szCs w:val="32"/>
          <w:shd w:val="clear" w:color="auto" w:fill="FFFFFF"/>
        </w:rPr>
        <w:t>万元。从资产类别分析，流动资产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；固定资产</w:t>
      </w:r>
      <w:r>
        <w:rPr>
          <w:rFonts w:hint="default" w:ascii="Times New Roman" w:hAnsi="Times New Roman" w:eastAsia="仿宋" w:cs="Times New Roman"/>
          <w:i w:val="0"/>
          <w:iCs w:val="0"/>
          <w:caps w:val="0"/>
          <w:color w:val="000000"/>
          <w:spacing w:val="0"/>
          <w:sz w:val="32"/>
          <w:szCs w:val="32"/>
          <w:shd w:val="clear" w:color="auto" w:fill="FFFFFF"/>
        </w:rPr>
        <w:t>68.46</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100.00%</w:t>
      </w:r>
      <w:r>
        <w:rPr>
          <w:rFonts w:hint="eastAsia" w:ascii="仿宋_GB2312" w:hAnsi="仿宋" w:eastAsia="仿宋_GB2312" w:cs="仿宋_GB2312"/>
          <w:i w:val="0"/>
          <w:iCs w:val="0"/>
          <w:caps w:val="0"/>
          <w:color w:val="000000"/>
          <w:spacing w:val="0"/>
          <w:sz w:val="32"/>
          <w:szCs w:val="32"/>
          <w:shd w:val="clear" w:color="auto" w:fill="FFFFFF"/>
        </w:rPr>
        <w:t>；无形资产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；长期投资</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；在建工程</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；其他资产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。从处置形式上分析，转让</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；无偿划转</w:t>
      </w:r>
      <w:r>
        <w:rPr>
          <w:rFonts w:hint="default" w:ascii="Times New Roman" w:hAnsi="Times New Roman" w:eastAsia="仿宋" w:cs="Times New Roman"/>
          <w:i w:val="0"/>
          <w:iCs w:val="0"/>
          <w:caps w:val="0"/>
          <w:color w:val="000000"/>
          <w:spacing w:val="0"/>
          <w:sz w:val="32"/>
          <w:szCs w:val="32"/>
          <w:shd w:val="clear" w:color="auto" w:fill="FFFFFF"/>
        </w:rPr>
        <w:t>68.46</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100.00%</w:t>
      </w:r>
      <w:r>
        <w:rPr>
          <w:rFonts w:hint="eastAsia" w:ascii="仿宋_GB2312" w:hAnsi="仿宋" w:eastAsia="仿宋_GB2312" w:cs="仿宋_GB2312"/>
          <w:i w:val="0"/>
          <w:iCs w:val="0"/>
          <w:caps w:val="0"/>
          <w:color w:val="000000"/>
          <w:spacing w:val="0"/>
          <w:sz w:val="32"/>
          <w:szCs w:val="32"/>
          <w:shd w:val="clear" w:color="auto" w:fill="FFFFFF"/>
        </w:rPr>
        <w:t>；对外捐赠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；置换</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；报废</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；损失核销</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，其他方式</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w:t>
      </w:r>
    </w:p>
    <w:p w14:paraId="6A24294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eastAsia" w:ascii="宋体" w:hAnsi="宋体" w:eastAsia="宋体" w:cs="宋体"/>
          <w:b/>
          <w:bCs/>
          <w:i w:val="0"/>
          <w:iCs w:val="0"/>
          <w:caps w:val="0"/>
          <w:color w:val="000000"/>
          <w:spacing w:val="0"/>
          <w:sz w:val="32"/>
          <w:szCs w:val="32"/>
          <w:shd w:val="clear" w:color="auto" w:fill="FFFFFF"/>
        </w:rPr>
        <w:t>4.</w:t>
      </w:r>
      <w:r>
        <w:rPr>
          <w:rFonts w:hint="eastAsia" w:ascii="仿宋_GB2312" w:hAnsi="宋体" w:eastAsia="仿宋_GB2312" w:cs="仿宋_GB2312"/>
          <w:b/>
          <w:bCs/>
          <w:i w:val="0"/>
          <w:iCs w:val="0"/>
          <w:caps w:val="0"/>
          <w:color w:val="000000"/>
          <w:spacing w:val="0"/>
          <w:sz w:val="32"/>
          <w:szCs w:val="32"/>
          <w:shd w:val="clear" w:color="auto" w:fill="FFFFFF"/>
        </w:rPr>
        <w:t>资产收益情况。</w:t>
      </w:r>
    </w:p>
    <w:p w14:paraId="49D9FDD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年度，我单位出租出借资产收益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万元，其中，流动资产收益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；固定资产收益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；无形资产收益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；在建工程收益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；其他资产收益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；往期出租出借资产收益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。对外投资收益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万元，其中，短期投资收益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；长期债券投资收益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；长期股权投资收益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。资产处置收益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万元，其中：本期处置资产收益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；往期处置资产收益</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万元，占</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w:t>
      </w:r>
    </w:p>
    <w:p w14:paraId="351E10C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eastAsia" w:ascii="宋体" w:hAnsi="宋体" w:eastAsia="宋体" w:cs="宋体"/>
          <w:b/>
          <w:bCs/>
          <w:i w:val="0"/>
          <w:iCs w:val="0"/>
          <w:caps w:val="0"/>
          <w:color w:val="000000"/>
          <w:spacing w:val="0"/>
          <w:sz w:val="32"/>
          <w:szCs w:val="32"/>
          <w:shd w:val="clear" w:color="auto" w:fill="FFFFFF"/>
        </w:rPr>
        <w:t>5.</w:t>
      </w:r>
      <w:r>
        <w:rPr>
          <w:rFonts w:hint="eastAsia" w:ascii="仿宋_GB2312" w:hAnsi="宋体" w:eastAsia="仿宋_GB2312" w:cs="仿宋_GB2312"/>
          <w:b/>
          <w:bCs/>
          <w:i w:val="0"/>
          <w:iCs w:val="0"/>
          <w:caps w:val="0"/>
          <w:color w:val="000000"/>
          <w:spacing w:val="0"/>
          <w:sz w:val="32"/>
          <w:szCs w:val="32"/>
          <w:shd w:val="clear" w:color="auto" w:fill="FFFFFF"/>
        </w:rPr>
        <w:t>资产盘活情况。</w:t>
      </w:r>
    </w:p>
    <w:p w14:paraId="541EA77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年度，我单位盘活资产</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万元，收入</w:t>
      </w:r>
      <w:r>
        <w:rPr>
          <w:rFonts w:hint="default" w:ascii="Times New Roman" w:hAnsi="Times New Roman" w:eastAsia="仿宋" w:cs="Times New Roman"/>
          <w:i w:val="0"/>
          <w:iCs w:val="0"/>
          <w:caps w:val="0"/>
          <w:color w:val="000000"/>
          <w:spacing w:val="0"/>
          <w:sz w:val="32"/>
          <w:szCs w:val="32"/>
          <w:shd w:val="clear" w:color="auto" w:fill="FFFFFF"/>
        </w:rPr>
        <w:t>0.00</w:t>
      </w:r>
      <w:r>
        <w:rPr>
          <w:rFonts w:hint="eastAsia" w:ascii="仿宋_GB2312" w:hAnsi="仿宋" w:eastAsia="仿宋_GB2312" w:cs="仿宋_GB2312"/>
          <w:i w:val="0"/>
          <w:iCs w:val="0"/>
          <w:caps w:val="0"/>
          <w:color w:val="000000"/>
          <w:spacing w:val="0"/>
          <w:sz w:val="32"/>
          <w:szCs w:val="32"/>
          <w:shd w:val="clear" w:color="auto" w:fill="FFFFFF"/>
        </w:rPr>
        <w:t>万元。</w:t>
      </w:r>
    </w:p>
    <w:p w14:paraId="5EF2BC0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我单位高度重视国有资产管理工作，将其作为提升治理能力、保障高效运转、建设节约型机关的重要基础性工作来抓。在市财政局的指导和监督下，我们严格遵循国家及本市关于行政事业单位国有资产管理的各项法律法规和政策要求，坚持“统一领导、分级负责、责任到人、物尽其用”的原则，不断健全管理体系，完善管理流程，提升管理效能，确保单位资产的安全完整、合理配置和有效利用。目前，我单位资产管理规范有序，信息化水平逐步提升，资产管理整体态势良好。</w:t>
      </w:r>
    </w:p>
    <w:p w14:paraId="190B373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黑体" w:hAnsi="宋体" w:eastAsia="黑体" w:cs="黑体"/>
          <w:i w:val="0"/>
          <w:iCs w:val="0"/>
          <w:caps w:val="0"/>
          <w:color w:val="000000"/>
          <w:spacing w:val="0"/>
          <w:sz w:val="32"/>
          <w:szCs w:val="32"/>
          <w:shd w:val="clear" w:color="auto" w:fill="FFFFFF"/>
        </w:rPr>
        <w:t>五、政府性基金预算支出情况。</w:t>
      </w:r>
    </w:p>
    <w:p w14:paraId="49BCD7B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我单位无政府性基金预算支出情况。</w:t>
      </w:r>
    </w:p>
    <w:p w14:paraId="7D6A092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黑体" w:hAnsi="宋体" w:eastAsia="黑体" w:cs="黑体"/>
          <w:i w:val="0"/>
          <w:iCs w:val="0"/>
          <w:caps w:val="0"/>
          <w:color w:val="000000"/>
          <w:spacing w:val="0"/>
          <w:sz w:val="32"/>
          <w:szCs w:val="32"/>
          <w:shd w:val="clear" w:color="auto" w:fill="FFFFFF"/>
        </w:rPr>
        <w:t>六、国有资本经营预算支出情况。</w:t>
      </w:r>
    </w:p>
    <w:p w14:paraId="411FDBA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我单位无国有资本经营预算支出情况。</w:t>
      </w:r>
    </w:p>
    <w:p w14:paraId="7357A8D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黑体" w:hAnsi="宋体" w:eastAsia="黑体" w:cs="黑体"/>
          <w:i w:val="0"/>
          <w:iCs w:val="0"/>
          <w:caps w:val="0"/>
          <w:color w:val="000000"/>
          <w:spacing w:val="0"/>
          <w:sz w:val="32"/>
          <w:szCs w:val="32"/>
          <w:shd w:val="clear" w:color="auto" w:fill="FFFFFF"/>
        </w:rPr>
        <w:t>七、社会保险基金预算支出情况。</w:t>
      </w:r>
    </w:p>
    <w:p w14:paraId="65150DE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我单位无社会保险基金预算支出情况。</w:t>
      </w:r>
    </w:p>
    <w:p w14:paraId="2536DD2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黑体" w:hAnsi="宋体" w:eastAsia="黑体" w:cs="黑体"/>
          <w:i w:val="0"/>
          <w:iCs w:val="0"/>
          <w:caps w:val="0"/>
          <w:color w:val="000000"/>
          <w:spacing w:val="0"/>
          <w:sz w:val="32"/>
          <w:szCs w:val="32"/>
          <w:shd w:val="clear" w:color="auto" w:fill="FFFFFF"/>
        </w:rPr>
        <w:t>八、部门整体支出绩效情况</w:t>
      </w:r>
    </w:p>
    <w:p w14:paraId="722676B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楷体_GB2312" w:hAnsi="楷体_GB2312" w:eastAsia="楷体_GB2312" w:cs="楷体_GB2312"/>
          <w:b w:val="0"/>
          <w:bCs w:val="0"/>
          <w:i w:val="0"/>
          <w:iCs w:val="0"/>
          <w:caps w:val="0"/>
          <w:color w:val="000000"/>
          <w:spacing w:val="0"/>
          <w:sz w:val="32"/>
          <w:szCs w:val="32"/>
          <w:shd w:val="clear" w:color="auto" w:fill="FFFFFF"/>
        </w:rPr>
        <w:t>（一）综合评价结论</w:t>
      </w:r>
    </w:p>
    <w:p w14:paraId="073F955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单位根据年初工作规划和重点工作，在市财政局的工作部署安排下，积极履行职责，强化管理，圆满完成了年度工作目标，同时加强预算收支的管理，建立健全内部管理制度，严格内部管理流程，部门整体支出管理得到了提升。从评价情况来看，严格规范专项经费管理，在预算执行中贯彻绩效管理理念，注重资金使用绩效，所有资金使用严格按审批程序办理、操作规范，会计核算结果真实、准确，各项支出严格按照各项制度执行。</w:t>
      </w:r>
    </w:p>
    <w:p w14:paraId="391D969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在</w:t>
      </w: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度部门整体支出绩效评价工作中，我局认真筹划，严密组织，以严谨、务实的态度，认真收集整理评价资料，全面真实反映年度经费使用管理情况，对照部门整体支出绩效评价指标体系进行综合评分，单位整体绩效自评分</w:t>
      </w:r>
      <w:r>
        <w:rPr>
          <w:rFonts w:hint="default" w:ascii="Times New Roman" w:hAnsi="Times New Roman" w:eastAsia="仿宋" w:cs="Times New Roman"/>
          <w:i w:val="0"/>
          <w:iCs w:val="0"/>
          <w:caps w:val="0"/>
          <w:color w:val="000000"/>
          <w:spacing w:val="0"/>
          <w:sz w:val="32"/>
          <w:szCs w:val="32"/>
          <w:shd w:val="clear" w:color="auto" w:fill="FFFFFF"/>
        </w:rPr>
        <w:t>99.51</w:t>
      </w:r>
      <w:r>
        <w:rPr>
          <w:rFonts w:hint="eastAsia" w:ascii="仿宋_GB2312" w:hAnsi="仿宋" w:eastAsia="仿宋_GB2312" w:cs="仿宋_GB2312"/>
          <w:i w:val="0"/>
          <w:iCs w:val="0"/>
          <w:caps w:val="0"/>
          <w:color w:val="000000"/>
          <w:spacing w:val="0"/>
          <w:sz w:val="32"/>
          <w:szCs w:val="32"/>
          <w:shd w:val="clear" w:color="auto" w:fill="FFFFFF"/>
        </w:rPr>
        <w:t>分，自评结果为“优”。</w:t>
      </w:r>
    </w:p>
    <w:p w14:paraId="6502DA2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楷体_GB2312" w:hAnsi="楷体_GB2312" w:eastAsia="楷体_GB2312" w:cs="楷体_GB2312"/>
          <w:b w:val="0"/>
          <w:bCs w:val="0"/>
          <w:i w:val="0"/>
          <w:iCs w:val="0"/>
          <w:caps w:val="0"/>
          <w:color w:val="000000"/>
          <w:spacing w:val="0"/>
          <w:sz w:val="32"/>
          <w:szCs w:val="32"/>
          <w:shd w:val="clear" w:color="auto" w:fill="FFFFFF"/>
        </w:rPr>
        <w:t>（二）部门整体情况</w:t>
      </w:r>
    </w:p>
    <w:p w14:paraId="7AACA6A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Times New Roman" w:hAnsi="Times New Roman" w:eastAsia="楷体_GB2312" w:cs="Times New Roman"/>
          <w:b/>
          <w:bCs/>
          <w:i w:val="0"/>
          <w:iCs w:val="0"/>
          <w:caps w:val="0"/>
          <w:color w:val="000000"/>
          <w:spacing w:val="0"/>
          <w:sz w:val="32"/>
          <w:szCs w:val="32"/>
          <w:shd w:val="clear" w:color="auto" w:fill="FFFFFF"/>
        </w:rPr>
        <w:t>1.</w:t>
      </w:r>
      <w:r>
        <w:rPr>
          <w:rFonts w:hint="eastAsia" w:ascii="楷体_GB2312" w:hAnsi="Times New Roman" w:eastAsia="楷体_GB2312" w:cs="楷体_GB2312"/>
          <w:b/>
          <w:bCs/>
          <w:i w:val="0"/>
          <w:iCs w:val="0"/>
          <w:caps w:val="0"/>
          <w:color w:val="000000"/>
          <w:spacing w:val="0"/>
          <w:sz w:val="32"/>
          <w:szCs w:val="32"/>
          <w:shd w:val="clear" w:color="auto" w:fill="FFFFFF"/>
        </w:rPr>
        <w:t>围绕中心工作，医保赋能精准高效。</w:t>
      </w:r>
      <w:r>
        <w:rPr>
          <w:rFonts w:hint="eastAsia" w:ascii="仿宋_GB2312" w:hAnsi="Times New Roman" w:eastAsia="仿宋_GB2312" w:cs="仿宋_GB2312"/>
          <w:b/>
          <w:bCs/>
          <w:i w:val="0"/>
          <w:iCs w:val="0"/>
          <w:caps w:val="0"/>
          <w:color w:val="000000"/>
          <w:spacing w:val="0"/>
          <w:sz w:val="32"/>
          <w:szCs w:val="32"/>
          <w:shd w:val="clear" w:color="auto" w:fill="FFFFFF"/>
        </w:rPr>
        <w:t>一是助力区域医疗中心建设。</w:t>
      </w:r>
      <w:r>
        <w:rPr>
          <w:rFonts w:hint="eastAsia" w:ascii="仿宋_GB2312" w:hAnsi="Times New Roman" w:eastAsia="仿宋_GB2312" w:cs="仿宋_GB2312"/>
          <w:i w:val="0"/>
          <w:iCs w:val="0"/>
          <w:caps w:val="0"/>
          <w:color w:val="000000"/>
          <w:spacing w:val="0"/>
          <w:sz w:val="32"/>
          <w:szCs w:val="32"/>
          <w:shd w:val="clear" w:color="auto" w:fill="FFFFFF"/>
        </w:rPr>
        <w:t>全面落实医保助力区域医疗中心建设十条措施，在重点学科创建、纳入医保定点管理、提高疑难急危重症收治能力方面给予支持，鼓励区域医疗中心头部医院收治疑难重症病人，建立四项除外补偿机制。市域外来怀就诊人次、基层医疗机构使用医保基金占比逐年提高，市域内住院量占比</w:t>
      </w:r>
      <w:r>
        <w:rPr>
          <w:rFonts w:hint="default" w:ascii="Times New Roman" w:hAnsi="Times New Roman" w:eastAsia="等线" w:cs="Times New Roman"/>
          <w:i w:val="0"/>
          <w:iCs w:val="0"/>
          <w:caps w:val="0"/>
          <w:color w:val="000000"/>
          <w:spacing w:val="0"/>
          <w:sz w:val="32"/>
          <w:szCs w:val="32"/>
          <w:shd w:val="clear" w:color="auto" w:fill="FFFFFF"/>
        </w:rPr>
        <w:t>9</w:t>
      </w:r>
      <w:r>
        <w:rPr>
          <w:rFonts w:hint="default" w:ascii="Times New Roman" w:hAnsi="Times New Roman" w:eastAsia="仿宋" w:cs="Times New Roman"/>
          <w:i w:val="0"/>
          <w:iCs w:val="0"/>
          <w:caps w:val="0"/>
          <w:color w:val="000000"/>
          <w:spacing w:val="0"/>
          <w:sz w:val="32"/>
          <w:szCs w:val="32"/>
          <w:shd w:val="clear" w:color="auto" w:fill="FFFFFF"/>
        </w:rPr>
        <w:t>0.32</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，居全省第二。对湖南医药学院总医院、怀化市第二人民医院等</w:t>
      </w:r>
      <w:r>
        <w:rPr>
          <w:rFonts w:hint="default" w:ascii="Times New Roman" w:hAnsi="Times New Roman" w:eastAsia="等线" w:cs="Times New Roman"/>
          <w:i w:val="0"/>
          <w:iCs w:val="0"/>
          <w:caps w:val="0"/>
          <w:color w:val="000000"/>
          <w:spacing w:val="0"/>
          <w:sz w:val="32"/>
          <w:szCs w:val="32"/>
          <w:shd w:val="clear" w:color="auto" w:fill="FFFFFF"/>
        </w:rPr>
        <w:t>5</w:t>
      </w:r>
      <w:r>
        <w:rPr>
          <w:rFonts w:hint="eastAsia" w:ascii="仿宋_GB2312" w:hAnsi="Times New Roman" w:eastAsia="仿宋_GB2312" w:cs="仿宋_GB2312"/>
          <w:i w:val="0"/>
          <w:iCs w:val="0"/>
          <w:caps w:val="0"/>
          <w:color w:val="000000"/>
          <w:spacing w:val="0"/>
          <w:sz w:val="32"/>
          <w:szCs w:val="32"/>
          <w:shd w:val="clear" w:color="auto" w:fill="FFFFFF"/>
        </w:rPr>
        <w:t>家医院已建成的</w:t>
      </w:r>
      <w:r>
        <w:rPr>
          <w:rFonts w:hint="default" w:ascii="Times New Roman" w:hAnsi="Times New Roman" w:eastAsia="等线" w:cs="Times New Roman"/>
          <w:i w:val="0"/>
          <w:iCs w:val="0"/>
          <w:caps w:val="0"/>
          <w:color w:val="000000"/>
          <w:spacing w:val="0"/>
          <w:sz w:val="32"/>
          <w:szCs w:val="32"/>
          <w:shd w:val="clear" w:color="auto" w:fill="FFFFFF"/>
        </w:rPr>
        <w:t>12</w:t>
      </w:r>
      <w:r>
        <w:rPr>
          <w:rFonts w:hint="eastAsia" w:ascii="仿宋_GB2312" w:hAnsi="Times New Roman" w:eastAsia="仿宋_GB2312" w:cs="仿宋_GB2312"/>
          <w:i w:val="0"/>
          <w:iCs w:val="0"/>
          <w:caps w:val="0"/>
          <w:color w:val="000000"/>
          <w:spacing w:val="0"/>
          <w:sz w:val="32"/>
          <w:szCs w:val="32"/>
          <w:shd w:val="clear" w:color="auto" w:fill="FFFFFF"/>
        </w:rPr>
        <w:t>个省级临床重点专科，提高</w:t>
      </w:r>
      <w:r>
        <w:rPr>
          <w:rFonts w:hint="default" w:ascii="Times New Roman" w:hAnsi="Times New Roman" w:eastAsia="等线" w:cs="Times New Roman"/>
          <w:i w:val="0"/>
          <w:iCs w:val="0"/>
          <w:caps w:val="0"/>
          <w:color w:val="000000"/>
          <w:spacing w:val="0"/>
          <w:sz w:val="32"/>
          <w:szCs w:val="32"/>
          <w:shd w:val="clear" w:color="auto" w:fill="FFFFFF"/>
        </w:rPr>
        <w:t>DIP</w:t>
      </w:r>
      <w:r>
        <w:rPr>
          <w:rFonts w:hint="eastAsia" w:ascii="仿宋_GB2312" w:hAnsi="Times New Roman" w:eastAsia="仿宋_GB2312" w:cs="仿宋_GB2312"/>
          <w:i w:val="0"/>
          <w:iCs w:val="0"/>
          <w:caps w:val="0"/>
          <w:color w:val="000000"/>
          <w:spacing w:val="0"/>
          <w:sz w:val="32"/>
          <w:szCs w:val="32"/>
          <w:shd w:val="clear" w:color="auto" w:fill="FFFFFF"/>
        </w:rPr>
        <w:t>支付综合权重系数</w:t>
      </w:r>
      <w:r>
        <w:rPr>
          <w:rFonts w:hint="default" w:ascii="Times New Roman" w:hAnsi="Times New Roman" w:eastAsia="等线" w:cs="Times New Roman"/>
          <w:i w:val="0"/>
          <w:iCs w:val="0"/>
          <w:caps w:val="0"/>
          <w:color w:val="000000"/>
          <w:spacing w:val="0"/>
          <w:sz w:val="32"/>
          <w:szCs w:val="32"/>
          <w:shd w:val="clear" w:color="auto" w:fill="FFFFFF"/>
        </w:rPr>
        <w:t>0.01</w:t>
      </w:r>
      <w:r>
        <w:rPr>
          <w:rFonts w:hint="eastAsia" w:ascii="仿宋_GB2312" w:hAnsi="Times New Roman" w:eastAsia="仿宋_GB2312" w:cs="仿宋_GB2312"/>
          <w:i w:val="0"/>
          <w:iCs w:val="0"/>
          <w:caps w:val="0"/>
          <w:color w:val="000000"/>
          <w:spacing w:val="0"/>
          <w:sz w:val="32"/>
          <w:szCs w:val="32"/>
          <w:shd w:val="clear" w:color="auto" w:fill="FFFFFF"/>
        </w:rPr>
        <w:t>，基金倾斜近</w:t>
      </w:r>
      <w:r>
        <w:rPr>
          <w:rFonts w:hint="default" w:ascii="Times New Roman" w:hAnsi="Times New Roman" w:eastAsia="等线" w:cs="Times New Roman"/>
          <w:i w:val="0"/>
          <w:iCs w:val="0"/>
          <w:caps w:val="0"/>
          <w:color w:val="000000"/>
          <w:spacing w:val="0"/>
          <w:sz w:val="32"/>
          <w:szCs w:val="32"/>
          <w:shd w:val="clear" w:color="auto" w:fill="FFFFFF"/>
        </w:rPr>
        <w:t>2600</w:t>
      </w:r>
      <w:r>
        <w:rPr>
          <w:rFonts w:hint="eastAsia" w:ascii="仿宋_GB2312" w:hAnsi="Times New Roman" w:eastAsia="仿宋_GB2312" w:cs="仿宋_GB2312"/>
          <w:i w:val="0"/>
          <w:iCs w:val="0"/>
          <w:caps w:val="0"/>
          <w:color w:val="000000"/>
          <w:spacing w:val="0"/>
          <w:sz w:val="32"/>
          <w:szCs w:val="32"/>
          <w:shd w:val="clear" w:color="auto" w:fill="FFFFFF"/>
        </w:rPr>
        <w:t>万元。</w:t>
      </w:r>
      <w:r>
        <w:rPr>
          <w:rFonts w:hint="eastAsia" w:ascii="仿宋_GB2312" w:hAnsi="Times New Roman" w:eastAsia="仿宋_GB2312" w:cs="仿宋_GB2312"/>
          <w:b/>
          <w:bCs/>
          <w:i w:val="0"/>
          <w:iCs w:val="0"/>
          <w:caps w:val="0"/>
          <w:color w:val="000000"/>
          <w:spacing w:val="0"/>
          <w:sz w:val="32"/>
          <w:szCs w:val="32"/>
          <w:shd w:val="clear" w:color="auto" w:fill="FFFFFF"/>
        </w:rPr>
        <w:t>二是助力中医药产业事业发展。</w:t>
      </w:r>
      <w:r>
        <w:rPr>
          <w:rFonts w:hint="eastAsia" w:ascii="仿宋_GB2312" w:hAnsi="Times New Roman" w:eastAsia="仿宋_GB2312" w:cs="仿宋_GB2312"/>
          <w:i w:val="0"/>
          <w:iCs w:val="0"/>
          <w:caps w:val="0"/>
          <w:color w:val="000000"/>
          <w:spacing w:val="0"/>
          <w:sz w:val="32"/>
          <w:szCs w:val="32"/>
          <w:shd w:val="clear" w:color="auto" w:fill="FFFFFF"/>
        </w:rPr>
        <w:t>下发《关于进一步助推中医药高质量发展的通知》，将</w:t>
      </w:r>
      <w:r>
        <w:rPr>
          <w:rFonts w:hint="default" w:ascii="Times New Roman" w:hAnsi="Times New Roman" w:eastAsia="等线" w:cs="Times New Roman"/>
          <w:i w:val="0"/>
          <w:iCs w:val="0"/>
          <w:caps w:val="0"/>
          <w:color w:val="000000"/>
          <w:spacing w:val="0"/>
          <w:sz w:val="32"/>
          <w:szCs w:val="32"/>
          <w:shd w:val="clear" w:color="auto" w:fill="FFFFFF"/>
        </w:rPr>
        <w:t>22</w:t>
      </w:r>
      <w:r>
        <w:rPr>
          <w:rFonts w:hint="eastAsia" w:ascii="仿宋_GB2312" w:hAnsi="Times New Roman" w:eastAsia="仿宋_GB2312" w:cs="仿宋_GB2312"/>
          <w:i w:val="0"/>
          <w:iCs w:val="0"/>
          <w:caps w:val="0"/>
          <w:color w:val="000000"/>
          <w:spacing w:val="0"/>
          <w:sz w:val="32"/>
          <w:szCs w:val="32"/>
          <w:shd w:val="clear" w:color="auto" w:fill="FFFFFF"/>
        </w:rPr>
        <w:t>个中医病种纳入</w:t>
      </w:r>
      <w:r>
        <w:rPr>
          <w:rFonts w:hint="default" w:ascii="Times New Roman" w:hAnsi="Times New Roman" w:eastAsia="等线" w:cs="Times New Roman"/>
          <w:i w:val="0"/>
          <w:iCs w:val="0"/>
          <w:caps w:val="0"/>
          <w:color w:val="000000"/>
          <w:spacing w:val="0"/>
          <w:sz w:val="32"/>
          <w:szCs w:val="32"/>
          <w:shd w:val="clear" w:color="auto" w:fill="FFFFFF"/>
        </w:rPr>
        <w:t>DIP</w:t>
      </w:r>
      <w:r>
        <w:rPr>
          <w:rFonts w:hint="eastAsia" w:ascii="仿宋_GB2312" w:hAnsi="Times New Roman" w:eastAsia="仿宋_GB2312" w:cs="仿宋_GB2312"/>
          <w:i w:val="0"/>
          <w:iCs w:val="0"/>
          <w:caps w:val="0"/>
          <w:color w:val="000000"/>
          <w:spacing w:val="0"/>
          <w:sz w:val="32"/>
          <w:szCs w:val="32"/>
          <w:shd w:val="clear" w:color="auto" w:fill="FFFFFF"/>
        </w:rPr>
        <w:t>中医病种目录，对中医优势病种实行按疗效价值付费。将纳入</w:t>
      </w:r>
      <w:r>
        <w:rPr>
          <w:rFonts w:hint="default" w:ascii="Times New Roman" w:hAnsi="Times New Roman" w:eastAsia="等线" w:cs="Times New Roman"/>
          <w:i w:val="0"/>
          <w:iCs w:val="0"/>
          <w:caps w:val="0"/>
          <w:color w:val="000000"/>
          <w:spacing w:val="0"/>
          <w:sz w:val="32"/>
          <w:szCs w:val="32"/>
          <w:shd w:val="clear" w:color="auto" w:fill="FFFFFF"/>
        </w:rPr>
        <w:t>DIP</w:t>
      </w:r>
      <w:r>
        <w:rPr>
          <w:rFonts w:hint="eastAsia" w:ascii="仿宋_GB2312" w:hAnsi="Times New Roman" w:eastAsia="仿宋_GB2312" w:cs="仿宋_GB2312"/>
          <w:i w:val="0"/>
          <w:iCs w:val="0"/>
          <w:caps w:val="0"/>
          <w:color w:val="000000"/>
          <w:spacing w:val="0"/>
          <w:sz w:val="32"/>
          <w:szCs w:val="32"/>
          <w:shd w:val="clear" w:color="auto" w:fill="FFFFFF"/>
        </w:rPr>
        <w:t>结算中医医院综合权重系数提高至同级别医院同等水平。</w:t>
      </w:r>
      <w:r>
        <w:rPr>
          <w:rFonts w:hint="eastAsia" w:ascii="仿宋_GB2312" w:hAnsi="Times New Roman" w:eastAsia="仿宋_GB2312" w:cs="仿宋_GB2312"/>
          <w:b/>
          <w:bCs/>
          <w:i w:val="0"/>
          <w:iCs w:val="0"/>
          <w:caps w:val="0"/>
          <w:color w:val="000000"/>
          <w:spacing w:val="0"/>
          <w:sz w:val="32"/>
          <w:szCs w:val="32"/>
          <w:shd w:val="clear" w:color="auto" w:fill="FFFFFF"/>
        </w:rPr>
        <w:t>三是助力鹤中一体化和国际陆港建设。</w:t>
      </w:r>
      <w:r>
        <w:rPr>
          <w:rFonts w:hint="eastAsia" w:ascii="仿宋_GB2312" w:hAnsi="Times New Roman" w:eastAsia="仿宋_GB2312" w:cs="仿宋_GB2312"/>
          <w:i w:val="0"/>
          <w:iCs w:val="0"/>
          <w:caps w:val="0"/>
          <w:color w:val="000000"/>
          <w:spacing w:val="0"/>
          <w:sz w:val="32"/>
          <w:szCs w:val="32"/>
          <w:shd w:val="clear" w:color="auto" w:fill="FFFFFF"/>
        </w:rPr>
        <w:t>进一步优化市本级、鹤城区、国际陆港经开区、高新区、中方县医保通办流程，大幅提高跨区域办事效率，中方县、鹤城区居民医保门诊统筹报销实现互联互通互办。为国际陆港经开区两定机构、医药企业、外来人员和引进人才提供高效便捷医保服务。</w:t>
      </w:r>
    </w:p>
    <w:p w14:paraId="1DFD908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Times New Roman" w:hAnsi="Times New Roman" w:eastAsia="楷体_GB2312" w:cs="Times New Roman"/>
          <w:b/>
          <w:bCs/>
          <w:i w:val="0"/>
          <w:iCs w:val="0"/>
          <w:caps w:val="0"/>
          <w:color w:val="000000"/>
          <w:spacing w:val="0"/>
          <w:sz w:val="32"/>
          <w:szCs w:val="32"/>
          <w:shd w:val="clear" w:color="auto" w:fill="FFFFFF"/>
        </w:rPr>
        <w:t>2.</w:t>
      </w:r>
      <w:r>
        <w:rPr>
          <w:rFonts w:hint="eastAsia" w:ascii="楷体_GB2312" w:hAnsi="Times New Roman" w:eastAsia="楷体_GB2312" w:cs="楷体_GB2312"/>
          <w:b/>
          <w:bCs/>
          <w:i w:val="0"/>
          <w:iCs w:val="0"/>
          <w:caps w:val="0"/>
          <w:color w:val="000000"/>
          <w:spacing w:val="0"/>
          <w:sz w:val="32"/>
          <w:szCs w:val="32"/>
          <w:shd w:val="clear" w:color="auto" w:fill="FFFFFF"/>
        </w:rPr>
        <w:t>聚焦安全规范，基金监管稳健有序。</w:t>
      </w:r>
      <w:r>
        <w:rPr>
          <w:rFonts w:hint="eastAsia" w:ascii="仿宋_GB2312" w:hAnsi="Times New Roman" w:eastAsia="仿宋_GB2312" w:cs="仿宋_GB2312"/>
          <w:b/>
          <w:bCs/>
          <w:i w:val="0"/>
          <w:iCs w:val="0"/>
          <w:caps w:val="0"/>
          <w:color w:val="000000"/>
          <w:spacing w:val="0"/>
          <w:sz w:val="32"/>
          <w:szCs w:val="32"/>
          <w:shd w:val="clear" w:color="auto" w:fill="FFFFFF"/>
        </w:rPr>
        <w:t>一是着力开展集中整治。</w:t>
      </w:r>
      <w:r>
        <w:rPr>
          <w:rFonts w:hint="eastAsia" w:ascii="仿宋_GB2312" w:hAnsi="Times New Roman" w:eastAsia="仿宋_GB2312" w:cs="仿宋_GB2312"/>
          <w:i w:val="0"/>
          <w:iCs w:val="0"/>
          <w:caps w:val="0"/>
          <w:color w:val="000000"/>
          <w:spacing w:val="0"/>
          <w:sz w:val="32"/>
          <w:szCs w:val="32"/>
          <w:shd w:val="clear" w:color="auto" w:fill="FFFFFF"/>
        </w:rPr>
        <w:t>市县两级高位推动，高标准完成国家、省、市部署的各项检查及自查自纠工作。全市共检查定点医药机构</w:t>
      </w:r>
      <w:r>
        <w:rPr>
          <w:rFonts w:hint="default" w:ascii="Times New Roman" w:hAnsi="Times New Roman" w:eastAsia="等线" w:cs="Times New Roman"/>
          <w:i w:val="0"/>
          <w:iCs w:val="0"/>
          <w:caps w:val="0"/>
          <w:color w:val="000000"/>
          <w:spacing w:val="0"/>
          <w:sz w:val="32"/>
          <w:szCs w:val="32"/>
          <w:shd w:val="clear" w:color="auto" w:fill="FFFFFF"/>
        </w:rPr>
        <w:t>46</w:t>
      </w:r>
      <w:r>
        <w:rPr>
          <w:rFonts w:hint="default" w:ascii="Times New Roman" w:hAnsi="Times New Roman" w:eastAsia="仿宋" w:cs="Times New Roman"/>
          <w:i w:val="0"/>
          <w:iCs w:val="0"/>
          <w:caps w:val="0"/>
          <w:color w:val="000000"/>
          <w:spacing w:val="0"/>
          <w:sz w:val="32"/>
          <w:szCs w:val="32"/>
          <w:shd w:val="clear" w:color="auto" w:fill="FFFFFF"/>
        </w:rPr>
        <w:t>83</w:t>
      </w:r>
      <w:r>
        <w:rPr>
          <w:rFonts w:hint="eastAsia" w:ascii="仿宋_GB2312" w:hAnsi="Times New Roman" w:eastAsia="仿宋_GB2312" w:cs="仿宋_GB2312"/>
          <w:i w:val="0"/>
          <w:iCs w:val="0"/>
          <w:caps w:val="0"/>
          <w:color w:val="000000"/>
          <w:spacing w:val="0"/>
          <w:sz w:val="32"/>
          <w:szCs w:val="32"/>
          <w:shd w:val="clear" w:color="auto" w:fill="FFFFFF"/>
        </w:rPr>
        <w:t>家，处理</w:t>
      </w:r>
      <w:r>
        <w:rPr>
          <w:rFonts w:hint="default" w:ascii="Times New Roman" w:hAnsi="Times New Roman" w:eastAsia="仿宋" w:cs="Times New Roman"/>
          <w:i w:val="0"/>
          <w:iCs w:val="0"/>
          <w:caps w:val="0"/>
          <w:color w:val="000000"/>
          <w:spacing w:val="0"/>
          <w:sz w:val="32"/>
          <w:szCs w:val="32"/>
          <w:shd w:val="clear" w:color="auto" w:fill="FFFFFF"/>
        </w:rPr>
        <w:t>974</w:t>
      </w:r>
      <w:r>
        <w:rPr>
          <w:rFonts w:hint="eastAsia" w:ascii="仿宋_GB2312" w:hAnsi="Times New Roman" w:eastAsia="仿宋_GB2312" w:cs="仿宋_GB2312"/>
          <w:i w:val="0"/>
          <w:iCs w:val="0"/>
          <w:caps w:val="0"/>
          <w:color w:val="000000"/>
          <w:spacing w:val="0"/>
          <w:sz w:val="32"/>
          <w:szCs w:val="32"/>
          <w:shd w:val="clear" w:color="auto" w:fill="FFFFFF"/>
        </w:rPr>
        <w:t>家，行政处罚</w:t>
      </w:r>
      <w:r>
        <w:rPr>
          <w:rFonts w:hint="default" w:ascii="Times New Roman" w:hAnsi="Times New Roman" w:eastAsia="等线" w:cs="Times New Roman"/>
          <w:i w:val="0"/>
          <w:iCs w:val="0"/>
          <w:caps w:val="0"/>
          <w:color w:val="000000"/>
          <w:spacing w:val="0"/>
          <w:sz w:val="32"/>
          <w:szCs w:val="32"/>
          <w:shd w:val="clear" w:color="auto" w:fill="FFFFFF"/>
        </w:rPr>
        <w:t>1</w:t>
      </w:r>
      <w:r>
        <w:rPr>
          <w:rFonts w:hint="default" w:ascii="Times New Roman" w:hAnsi="Times New Roman" w:eastAsia="仿宋" w:cs="Times New Roman"/>
          <w:i w:val="0"/>
          <w:iCs w:val="0"/>
          <w:caps w:val="0"/>
          <w:color w:val="000000"/>
          <w:spacing w:val="0"/>
          <w:sz w:val="32"/>
          <w:szCs w:val="32"/>
          <w:shd w:val="clear" w:color="auto" w:fill="FFFFFF"/>
        </w:rPr>
        <w:t>57</w:t>
      </w:r>
      <w:r>
        <w:rPr>
          <w:rFonts w:hint="eastAsia" w:ascii="仿宋_GB2312" w:hAnsi="Times New Roman" w:eastAsia="仿宋_GB2312" w:cs="仿宋_GB2312"/>
          <w:i w:val="0"/>
          <w:iCs w:val="0"/>
          <w:caps w:val="0"/>
          <w:color w:val="000000"/>
          <w:spacing w:val="0"/>
          <w:sz w:val="32"/>
          <w:szCs w:val="32"/>
          <w:shd w:val="clear" w:color="auto" w:fill="FFFFFF"/>
        </w:rPr>
        <w:t>家，排查整改问题</w:t>
      </w:r>
      <w:r>
        <w:rPr>
          <w:rFonts w:hint="default" w:ascii="Times New Roman" w:hAnsi="Times New Roman" w:eastAsia="等线" w:cs="Times New Roman"/>
          <w:i w:val="0"/>
          <w:iCs w:val="0"/>
          <w:caps w:val="0"/>
          <w:color w:val="000000"/>
          <w:spacing w:val="0"/>
          <w:sz w:val="32"/>
          <w:szCs w:val="32"/>
          <w:shd w:val="clear" w:color="auto" w:fill="FFFFFF"/>
        </w:rPr>
        <w:t>5336</w:t>
      </w:r>
      <w:r>
        <w:rPr>
          <w:rFonts w:hint="eastAsia" w:ascii="仿宋_GB2312" w:hAnsi="Times New Roman" w:eastAsia="仿宋_GB2312" w:cs="仿宋_GB2312"/>
          <w:i w:val="0"/>
          <w:iCs w:val="0"/>
          <w:caps w:val="0"/>
          <w:color w:val="000000"/>
          <w:spacing w:val="0"/>
          <w:sz w:val="32"/>
          <w:szCs w:val="32"/>
          <w:shd w:val="clear" w:color="auto" w:fill="FFFFFF"/>
        </w:rPr>
        <w:t>个，解除医保协议</w:t>
      </w:r>
      <w:r>
        <w:rPr>
          <w:rFonts w:hint="default" w:ascii="Times New Roman" w:hAnsi="Times New Roman" w:eastAsia="等线" w:cs="Times New Roman"/>
          <w:i w:val="0"/>
          <w:iCs w:val="0"/>
          <w:caps w:val="0"/>
          <w:color w:val="000000"/>
          <w:spacing w:val="0"/>
          <w:sz w:val="32"/>
          <w:szCs w:val="32"/>
          <w:shd w:val="clear" w:color="auto" w:fill="FFFFFF"/>
        </w:rPr>
        <w:t>4</w:t>
      </w:r>
      <w:r>
        <w:rPr>
          <w:rFonts w:hint="default" w:ascii="Times New Roman" w:hAnsi="Times New Roman" w:eastAsia="仿宋" w:cs="Times New Roman"/>
          <w:i w:val="0"/>
          <w:iCs w:val="0"/>
          <w:caps w:val="0"/>
          <w:color w:val="000000"/>
          <w:spacing w:val="0"/>
          <w:sz w:val="32"/>
          <w:szCs w:val="32"/>
          <w:shd w:val="clear" w:color="auto" w:fill="FFFFFF"/>
        </w:rPr>
        <w:t>5</w:t>
      </w:r>
      <w:r>
        <w:rPr>
          <w:rFonts w:hint="eastAsia" w:ascii="仿宋_GB2312" w:hAnsi="Times New Roman" w:eastAsia="仿宋_GB2312" w:cs="仿宋_GB2312"/>
          <w:i w:val="0"/>
          <w:iCs w:val="0"/>
          <w:caps w:val="0"/>
          <w:color w:val="000000"/>
          <w:spacing w:val="0"/>
          <w:sz w:val="32"/>
          <w:szCs w:val="32"/>
          <w:shd w:val="clear" w:color="auto" w:fill="FFFFFF"/>
        </w:rPr>
        <w:t>家次，暂停医保协议</w:t>
      </w:r>
      <w:r>
        <w:rPr>
          <w:rFonts w:hint="default" w:ascii="Times New Roman" w:hAnsi="Times New Roman" w:eastAsia="等线" w:cs="Times New Roman"/>
          <w:i w:val="0"/>
          <w:iCs w:val="0"/>
          <w:caps w:val="0"/>
          <w:color w:val="000000"/>
          <w:spacing w:val="0"/>
          <w:sz w:val="32"/>
          <w:szCs w:val="32"/>
          <w:shd w:val="clear" w:color="auto" w:fill="FFFFFF"/>
        </w:rPr>
        <w:t>9</w:t>
      </w:r>
      <w:r>
        <w:rPr>
          <w:rFonts w:hint="default" w:ascii="Times New Roman" w:hAnsi="Times New Roman" w:eastAsia="仿宋" w:cs="Times New Roman"/>
          <w:i w:val="0"/>
          <w:iCs w:val="0"/>
          <w:caps w:val="0"/>
          <w:color w:val="000000"/>
          <w:spacing w:val="0"/>
          <w:sz w:val="32"/>
          <w:szCs w:val="32"/>
          <w:shd w:val="clear" w:color="auto" w:fill="FFFFFF"/>
        </w:rPr>
        <w:t>6</w:t>
      </w:r>
      <w:r>
        <w:rPr>
          <w:rFonts w:hint="eastAsia" w:ascii="仿宋_GB2312" w:hAnsi="Times New Roman" w:eastAsia="仿宋_GB2312" w:cs="仿宋_GB2312"/>
          <w:i w:val="0"/>
          <w:iCs w:val="0"/>
          <w:caps w:val="0"/>
          <w:color w:val="000000"/>
          <w:spacing w:val="0"/>
          <w:sz w:val="32"/>
          <w:szCs w:val="32"/>
          <w:shd w:val="clear" w:color="auto" w:fill="FFFFFF"/>
        </w:rPr>
        <w:t>家次，移交纪检监察机关</w:t>
      </w:r>
      <w:r>
        <w:rPr>
          <w:rFonts w:hint="default" w:ascii="Times New Roman" w:hAnsi="Times New Roman" w:eastAsia="等线" w:cs="Times New Roman"/>
          <w:i w:val="0"/>
          <w:iCs w:val="0"/>
          <w:caps w:val="0"/>
          <w:color w:val="000000"/>
          <w:spacing w:val="0"/>
          <w:sz w:val="32"/>
          <w:szCs w:val="32"/>
          <w:shd w:val="clear" w:color="auto" w:fill="FFFFFF"/>
        </w:rPr>
        <w:t>84</w:t>
      </w:r>
      <w:r>
        <w:rPr>
          <w:rFonts w:hint="eastAsia" w:ascii="仿宋_GB2312" w:hAnsi="Times New Roman" w:eastAsia="仿宋_GB2312" w:cs="仿宋_GB2312"/>
          <w:i w:val="0"/>
          <w:iCs w:val="0"/>
          <w:caps w:val="0"/>
          <w:color w:val="000000"/>
          <w:spacing w:val="0"/>
          <w:sz w:val="32"/>
          <w:szCs w:val="32"/>
          <w:shd w:val="clear" w:color="auto" w:fill="FFFFFF"/>
        </w:rPr>
        <w:t>家次，移交其他行政部门</w:t>
      </w:r>
      <w:r>
        <w:rPr>
          <w:rFonts w:hint="default" w:ascii="Times New Roman" w:hAnsi="Times New Roman" w:eastAsia="等线" w:cs="Times New Roman"/>
          <w:i w:val="0"/>
          <w:iCs w:val="0"/>
          <w:caps w:val="0"/>
          <w:color w:val="000000"/>
          <w:spacing w:val="0"/>
          <w:sz w:val="32"/>
          <w:szCs w:val="32"/>
          <w:shd w:val="clear" w:color="auto" w:fill="FFFFFF"/>
        </w:rPr>
        <w:t>1</w:t>
      </w:r>
      <w:r>
        <w:rPr>
          <w:rFonts w:hint="default" w:ascii="Times New Roman" w:hAnsi="Times New Roman" w:eastAsia="仿宋" w:cs="Times New Roman"/>
          <w:i w:val="0"/>
          <w:iCs w:val="0"/>
          <w:caps w:val="0"/>
          <w:color w:val="000000"/>
          <w:spacing w:val="0"/>
          <w:sz w:val="32"/>
          <w:szCs w:val="32"/>
          <w:shd w:val="clear" w:color="auto" w:fill="FFFFFF"/>
        </w:rPr>
        <w:t>40</w:t>
      </w:r>
      <w:r>
        <w:rPr>
          <w:rFonts w:hint="eastAsia" w:ascii="仿宋_GB2312" w:hAnsi="Times New Roman" w:eastAsia="仿宋_GB2312" w:cs="仿宋_GB2312"/>
          <w:i w:val="0"/>
          <w:iCs w:val="0"/>
          <w:caps w:val="0"/>
          <w:color w:val="000000"/>
          <w:spacing w:val="0"/>
          <w:sz w:val="32"/>
          <w:szCs w:val="32"/>
          <w:shd w:val="clear" w:color="auto" w:fill="FFFFFF"/>
        </w:rPr>
        <w:t>家次，公开曝光典型案件</w:t>
      </w:r>
      <w:r>
        <w:rPr>
          <w:rFonts w:hint="default" w:ascii="Times New Roman" w:hAnsi="Times New Roman" w:eastAsia="等线" w:cs="Times New Roman"/>
          <w:i w:val="0"/>
          <w:iCs w:val="0"/>
          <w:caps w:val="0"/>
          <w:color w:val="000000"/>
          <w:spacing w:val="0"/>
          <w:sz w:val="32"/>
          <w:szCs w:val="32"/>
          <w:shd w:val="clear" w:color="auto" w:fill="FFFFFF"/>
        </w:rPr>
        <w:t>19</w:t>
      </w:r>
      <w:r>
        <w:rPr>
          <w:rFonts w:hint="default" w:ascii="Times New Roman" w:hAnsi="Times New Roman" w:eastAsia="仿宋" w:cs="Times New Roman"/>
          <w:i w:val="0"/>
          <w:iCs w:val="0"/>
          <w:caps w:val="0"/>
          <w:color w:val="000000"/>
          <w:spacing w:val="0"/>
          <w:sz w:val="32"/>
          <w:szCs w:val="32"/>
          <w:shd w:val="clear" w:color="auto" w:fill="FFFFFF"/>
        </w:rPr>
        <w:t>6</w:t>
      </w:r>
      <w:r>
        <w:rPr>
          <w:rFonts w:hint="eastAsia" w:ascii="仿宋_GB2312" w:hAnsi="Times New Roman" w:eastAsia="仿宋_GB2312" w:cs="仿宋_GB2312"/>
          <w:i w:val="0"/>
          <w:iCs w:val="0"/>
          <w:caps w:val="0"/>
          <w:color w:val="000000"/>
          <w:spacing w:val="0"/>
          <w:sz w:val="32"/>
          <w:szCs w:val="32"/>
          <w:shd w:val="clear" w:color="auto" w:fill="FFFFFF"/>
        </w:rPr>
        <w:t>件，全市追回医保基金及处罚金共计</w:t>
      </w:r>
      <w:r>
        <w:rPr>
          <w:rFonts w:hint="default" w:ascii="Times New Roman" w:hAnsi="Times New Roman" w:eastAsia="仿宋" w:cs="Times New Roman"/>
          <w:i w:val="0"/>
          <w:iCs w:val="0"/>
          <w:caps w:val="0"/>
          <w:color w:val="000000"/>
          <w:spacing w:val="0"/>
          <w:sz w:val="32"/>
          <w:szCs w:val="32"/>
          <w:shd w:val="clear" w:color="auto" w:fill="FFFFFF"/>
        </w:rPr>
        <w:t>8121.99</w:t>
      </w:r>
      <w:r>
        <w:rPr>
          <w:rFonts w:hint="eastAsia" w:ascii="仿宋_GB2312" w:hAnsi="Times New Roman" w:eastAsia="仿宋_GB2312" w:cs="仿宋_GB2312"/>
          <w:i w:val="0"/>
          <w:iCs w:val="0"/>
          <w:caps w:val="0"/>
          <w:color w:val="000000"/>
          <w:spacing w:val="0"/>
          <w:sz w:val="32"/>
          <w:szCs w:val="32"/>
          <w:shd w:val="clear" w:color="auto" w:fill="FFFFFF"/>
        </w:rPr>
        <w:t>万元，其中两定机构主动退回医保基金</w:t>
      </w:r>
      <w:r>
        <w:rPr>
          <w:rFonts w:hint="default" w:ascii="Times New Roman" w:hAnsi="Times New Roman" w:eastAsia="等线" w:cs="Times New Roman"/>
          <w:i w:val="0"/>
          <w:iCs w:val="0"/>
          <w:caps w:val="0"/>
          <w:color w:val="000000"/>
          <w:spacing w:val="0"/>
          <w:sz w:val="32"/>
          <w:szCs w:val="32"/>
          <w:shd w:val="clear" w:color="auto" w:fill="FFFFFF"/>
        </w:rPr>
        <w:t>1509.55</w:t>
      </w:r>
      <w:r>
        <w:rPr>
          <w:rFonts w:hint="eastAsia" w:ascii="仿宋_GB2312" w:hAnsi="Times New Roman" w:eastAsia="仿宋_GB2312" w:cs="仿宋_GB2312"/>
          <w:i w:val="0"/>
          <w:iCs w:val="0"/>
          <w:caps w:val="0"/>
          <w:color w:val="000000"/>
          <w:spacing w:val="0"/>
          <w:sz w:val="32"/>
          <w:szCs w:val="32"/>
          <w:shd w:val="clear" w:color="auto" w:fill="FFFFFF"/>
        </w:rPr>
        <w:t>万元。集中整治工作经验被省纪委监委集中整治专刊第</w:t>
      </w:r>
      <w:r>
        <w:rPr>
          <w:rFonts w:hint="default" w:ascii="Times New Roman" w:hAnsi="Times New Roman" w:eastAsia="等线" w:cs="Times New Roman"/>
          <w:i w:val="0"/>
          <w:iCs w:val="0"/>
          <w:caps w:val="0"/>
          <w:color w:val="000000"/>
          <w:spacing w:val="0"/>
          <w:sz w:val="32"/>
          <w:szCs w:val="32"/>
          <w:shd w:val="clear" w:color="auto" w:fill="FFFFFF"/>
        </w:rPr>
        <w:t>13</w:t>
      </w:r>
      <w:r>
        <w:rPr>
          <w:rFonts w:hint="eastAsia" w:ascii="仿宋_GB2312" w:hAnsi="Times New Roman" w:eastAsia="仿宋_GB2312" w:cs="仿宋_GB2312"/>
          <w:i w:val="0"/>
          <w:iCs w:val="0"/>
          <w:caps w:val="0"/>
          <w:color w:val="000000"/>
          <w:spacing w:val="0"/>
          <w:sz w:val="32"/>
          <w:szCs w:val="32"/>
          <w:shd w:val="clear" w:color="auto" w:fill="FFFFFF"/>
        </w:rPr>
        <w:t>期推荐，我局先后在全省医保系统半年工作会议、全市集中整治工作推进会议上</w:t>
      </w:r>
      <w:r>
        <w:rPr>
          <w:rFonts w:hint="eastAsia" w:ascii="仿宋_GB2312" w:hAnsi="仿宋" w:eastAsia="仿宋_GB2312" w:cs="仿宋_GB2312"/>
          <w:i w:val="0"/>
          <w:iCs w:val="0"/>
          <w:caps w:val="0"/>
          <w:color w:val="000000"/>
          <w:spacing w:val="0"/>
          <w:sz w:val="32"/>
          <w:szCs w:val="32"/>
          <w:shd w:val="clear" w:color="auto" w:fill="FFFFFF"/>
        </w:rPr>
        <w:t>作交流</w:t>
      </w:r>
      <w:r>
        <w:rPr>
          <w:rFonts w:hint="eastAsia" w:ascii="仿宋_GB2312" w:hAnsi="Times New Roman" w:eastAsia="仿宋_GB2312" w:cs="仿宋_GB2312"/>
          <w:i w:val="0"/>
          <w:iCs w:val="0"/>
          <w:caps w:val="0"/>
          <w:color w:val="000000"/>
          <w:spacing w:val="0"/>
          <w:sz w:val="32"/>
          <w:szCs w:val="32"/>
          <w:shd w:val="clear" w:color="auto" w:fill="FFFFFF"/>
        </w:rPr>
        <w:t>发言，</w:t>
      </w:r>
      <w:r>
        <w:rPr>
          <w:rFonts w:hint="eastAsia" w:ascii="仿宋_GB2312" w:hAnsi="仿宋" w:eastAsia="仿宋_GB2312" w:cs="仿宋_GB2312"/>
          <w:i w:val="0"/>
          <w:iCs w:val="0"/>
          <w:caps w:val="0"/>
          <w:color w:val="000000"/>
          <w:spacing w:val="0"/>
          <w:sz w:val="32"/>
          <w:szCs w:val="32"/>
          <w:shd w:val="clear" w:color="auto" w:fill="FFFFFF"/>
        </w:rPr>
        <w:t>被中</w:t>
      </w:r>
      <w:r>
        <w:rPr>
          <w:rFonts w:hint="eastAsia" w:ascii="仿宋_GB2312" w:hAnsi="Times New Roman" w:eastAsia="仿宋_GB2312" w:cs="仿宋_GB2312"/>
          <w:i w:val="0"/>
          <w:iCs w:val="0"/>
          <w:caps w:val="0"/>
          <w:color w:val="000000"/>
          <w:spacing w:val="0"/>
          <w:sz w:val="32"/>
          <w:szCs w:val="32"/>
          <w:shd w:val="clear" w:color="auto" w:fill="FFFFFF"/>
        </w:rPr>
        <w:t>纪委</w:t>
      </w:r>
      <w:r>
        <w:rPr>
          <w:rFonts w:hint="eastAsia" w:ascii="仿宋_GB2312" w:hAnsi="仿宋" w:eastAsia="仿宋_GB2312" w:cs="仿宋_GB2312"/>
          <w:i w:val="0"/>
          <w:iCs w:val="0"/>
          <w:caps w:val="0"/>
          <w:color w:val="000000"/>
          <w:spacing w:val="0"/>
          <w:sz w:val="32"/>
          <w:szCs w:val="32"/>
          <w:shd w:val="clear" w:color="auto" w:fill="FFFFFF"/>
        </w:rPr>
        <w:t>、国家</w:t>
      </w:r>
      <w:r>
        <w:rPr>
          <w:rFonts w:hint="eastAsia" w:ascii="仿宋_GB2312" w:hAnsi="Times New Roman" w:eastAsia="仿宋_GB2312" w:cs="仿宋_GB2312"/>
          <w:i w:val="0"/>
          <w:iCs w:val="0"/>
          <w:caps w:val="0"/>
          <w:color w:val="000000"/>
          <w:spacing w:val="0"/>
          <w:sz w:val="32"/>
          <w:szCs w:val="32"/>
          <w:shd w:val="clear" w:color="auto" w:fill="FFFFFF"/>
        </w:rPr>
        <w:t>监委</w:t>
      </w:r>
      <w:r>
        <w:rPr>
          <w:rFonts w:hint="eastAsia" w:ascii="仿宋_GB2312" w:hAnsi="仿宋" w:eastAsia="仿宋_GB2312" w:cs="仿宋_GB2312"/>
          <w:i w:val="0"/>
          <w:iCs w:val="0"/>
          <w:caps w:val="0"/>
          <w:color w:val="000000"/>
          <w:spacing w:val="0"/>
          <w:sz w:val="32"/>
          <w:szCs w:val="32"/>
          <w:shd w:val="clear" w:color="auto" w:fill="FFFFFF"/>
        </w:rPr>
        <w:t>授予</w:t>
      </w:r>
      <w:r>
        <w:rPr>
          <w:rFonts w:hint="eastAsia" w:ascii="仿宋_GB2312" w:hAnsi="Times New Roman" w:eastAsia="仿宋_GB2312" w:cs="仿宋_GB2312"/>
          <w:i w:val="0"/>
          <w:iCs w:val="0"/>
          <w:caps w:val="0"/>
          <w:color w:val="000000"/>
          <w:spacing w:val="0"/>
          <w:sz w:val="32"/>
          <w:szCs w:val="32"/>
          <w:shd w:val="clear" w:color="auto" w:fill="FFFFFF"/>
        </w:rPr>
        <w:t>风腐问题整治</w:t>
      </w:r>
      <w:r>
        <w:rPr>
          <w:rFonts w:hint="eastAsia" w:ascii="仿宋_GB2312" w:hAnsi="仿宋" w:eastAsia="仿宋_GB2312" w:cs="仿宋_GB2312"/>
          <w:i w:val="0"/>
          <w:iCs w:val="0"/>
          <w:caps w:val="0"/>
          <w:color w:val="000000"/>
          <w:spacing w:val="0"/>
          <w:sz w:val="32"/>
          <w:szCs w:val="32"/>
          <w:shd w:val="clear" w:color="auto" w:fill="FFFFFF"/>
        </w:rPr>
        <w:t>工作</w:t>
      </w:r>
      <w:r>
        <w:rPr>
          <w:rFonts w:hint="eastAsia" w:ascii="仿宋_GB2312" w:hAnsi="Times New Roman" w:eastAsia="仿宋_GB2312" w:cs="仿宋_GB2312"/>
          <w:i w:val="0"/>
          <w:iCs w:val="0"/>
          <w:caps w:val="0"/>
          <w:color w:val="000000"/>
          <w:spacing w:val="0"/>
          <w:sz w:val="32"/>
          <w:szCs w:val="32"/>
          <w:shd w:val="clear" w:color="auto" w:fill="FFFFFF"/>
        </w:rPr>
        <w:t>先进集体嘉奖。</w:t>
      </w:r>
      <w:r>
        <w:rPr>
          <w:rFonts w:hint="eastAsia" w:ascii="仿宋_GB2312" w:hAnsi="Times New Roman" w:eastAsia="仿宋_GB2312" w:cs="仿宋_GB2312"/>
          <w:b/>
          <w:bCs/>
          <w:i w:val="0"/>
          <w:iCs w:val="0"/>
          <w:caps w:val="0"/>
          <w:color w:val="000000"/>
          <w:spacing w:val="0"/>
          <w:sz w:val="32"/>
          <w:szCs w:val="32"/>
          <w:shd w:val="clear" w:color="auto" w:fill="FFFFFF"/>
        </w:rPr>
        <w:t>二是着力创新监管手段。</w:t>
      </w:r>
      <w:r>
        <w:rPr>
          <w:rFonts w:hint="eastAsia" w:ascii="仿宋_GB2312" w:hAnsi="Times New Roman" w:eastAsia="仿宋_GB2312" w:cs="仿宋_GB2312"/>
          <w:i w:val="0"/>
          <w:iCs w:val="0"/>
          <w:caps w:val="0"/>
          <w:color w:val="000000"/>
          <w:spacing w:val="0"/>
          <w:sz w:val="32"/>
          <w:szCs w:val="32"/>
          <w:shd w:val="clear" w:color="auto" w:fill="FFFFFF"/>
        </w:rPr>
        <w:t>积极推进药品追溯码采集应用</w:t>
      </w:r>
      <w:r>
        <w:rPr>
          <w:rFonts w:hint="eastAsia" w:ascii="仿宋_GB2312" w:hAnsi="仿宋"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全市定点医药机构追溯码采集上传率</w:t>
      </w:r>
      <w:r>
        <w:rPr>
          <w:rFonts w:hint="default" w:ascii="Times New Roman" w:hAnsi="Times New Roman" w:eastAsia="等线" w:cs="Times New Roman"/>
          <w:i w:val="0"/>
          <w:iCs w:val="0"/>
          <w:caps w:val="0"/>
          <w:color w:val="000000"/>
          <w:spacing w:val="0"/>
          <w:sz w:val="32"/>
          <w:szCs w:val="32"/>
          <w:shd w:val="clear" w:color="auto" w:fill="FFFFFF"/>
        </w:rPr>
        <w:t>99.48%</w:t>
      </w:r>
      <w:r>
        <w:rPr>
          <w:rFonts w:hint="eastAsia" w:ascii="仿宋_GB2312" w:hAnsi="Times New Roman" w:eastAsia="仿宋_GB2312" w:cs="仿宋_GB2312"/>
          <w:i w:val="0"/>
          <w:iCs w:val="0"/>
          <w:caps w:val="0"/>
          <w:color w:val="000000"/>
          <w:spacing w:val="0"/>
          <w:sz w:val="32"/>
          <w:szCs w:val="32"/>
          <w:shd w:val="clear" w:color="auto" w:fill="FFFFFF"/>
        </w:rPr>
        <w:t>，累计归集追溯码超过</w:t>
      </w:r>
      <w:r>
        <w:rPr>
          <w:rFonts w:hint="default" w:ascii="Times New Roman" w:hAnsi="Times New Roman" w:eastAsia="等线" w:cs="Times New Roman"/>
          <w:i w:val="0"/>
          <w:iCs w:val="0"/>
          <w:caps w:val="0"/>
          <w:color w:val="000000"/>
          <w:spacing w:val="0"/>
          <w:sz w:val="32"/>
          <w:szCs w:val="32"/>
          <w:shd w:val="clear" w:color="auto" w:fill="FFFFFF"/>
        </w:rPr>
        <w:t>4</w:t>
      </w:r>
      <w:r>
        <w:rPr>
          <w:rFonts w:hint="eastAsia" w:ascii="仿宋_GB2312" w:hAnsi="Times New Roman" w:eastAsia="仿宋_GB2312" w:cs="仿宋_GB2312"/>
          <w:i w:val="0"/>
          <w:iCs w:val="0"/>
          <w:caps w:val="0"/>
          <w:color w:val="000000"/>
          <w:spacing w:val="0"/>
          <w:sz w:val="32"/>
          <w:szCs w:val="32"/>
          <w:shd w:val="clear" w:color="auto" w:fill="FFFFFF"/>
        </w:rPr>
        <w:t>亿条</w:t>
      </w:r>
      <w:r>
        <w:rPr>
          <w:rFonts w:hint="eastAsia" w:ascii="仿宋_GB2312" w:hAnsi="仿宋"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持续深化医保支付资格</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驾照式记分</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管理，累计完成医保基金支付相关人员记分</w:t>
      </w:r>
      <w:r>
        <w:rPr>
          <w:rFonts w:hint="default" w:ascii="Times New Roman" w:hAnsi="Times New Roman" w:eastAsia="等线" w:cs="Times New Roman"/>
          <w:i w:val="0"/>
          <w:iCs w:val="0"/>
          <w:caps w:val="0"/>
          <w:color w:val="000000"/>
          <w:spacing w:val="0"/>
          <w:sz w:val="32"/>
          <w:szCs w:val="32"/>
          <w:shd w:val="clear" w:color="auto" w:fill="FFFFFF"/>
        </w:rPr>
        <w:t>188</w:t>
      </w:r>
      <w:r>
        <w:rPr>
          <w:rFonts w:hint="eastAsia" w:ascii="仿宋_GB2312" w:hAnsi="Times New Roman" w:eastAsia="仿宋_GB2312" w:cs="仿宋_GB2312"/>
          <w:i w:val="0"/>
          <w:iCs w:val="0"/>
          <w:caps w:val="0"/>
          <w:color w:val="000000"/>
          <w:spacing w:val="0"/>
          <w:sz w:val="32"/>
          <w:szCs w:val="32"/>
          <w:shd w:val="clear" w:color="auto" w:fill="FFFFFF"/>
        </w:rPr>
        <w:t>人次。</w:t>
      </w:r>
      <w:r>
        <w:rPr>
          <w:rFonts w:hint="eastAsia" w:ascii="仿宋_GB2312" w:hAnsi="Times New Roman" w:eastAsia="仿宋_GB2312" w:cs="仿宋_GB2312"/>
          <w:b/>
          <w:bCs/>
          <w:i w:val="0"/>
          <w:iCs w:val="0"/>
          <w:caps w:val="0"/>
          <w:color w:val="000000"/>
          <w:spacing w:val="0"/>
          <w:sz w:val="32"/>
          <w:szCs w:val="32"/>
          <w:shd w:val="clear" w:color="auto" w:fill="FFFFFF"/>
        </w:rPr>
        <w:t>三是着力强化基金运行管控。</w:t>
      </w:r>
      <w:r>
        <w:rPr>
          <w:rFonts w:hint="eastAsia" w:ascii="仿宋_GB2312" w:hAnsi="Times New Roman" w:eastAsia="仿宋_GB2312" w:cs="仿宋_GB2312"/>
          <w:i w:val="0"/>
          <w:iCs w:val="0"/>
          <w:caps w:val="0"/>
          <w:color w:val="000000"/>
          <w:spacing w:val="0"/>
          <w:sz w:val="32"/>
          <w:szCs w:val="32"/>
          <w:shd w:val="clear" w:color="auto" w:fill="FFFFFF"/>
        </w:rPr>
        <w:t>做实市级统筹，全面规范风险储备金调剂使用，累计解决洪江区职工医保基金政策性缺口</w:t>
      </w:r>
      <w:r>
        <w:rPr>
          <w:rFonts w:hint="default" w:ascii="Times New Roman" w:hAnsi="Times New Roman" w:eastAsia="等线" w:cs="Times New Roman"/>
          <w:i w:val="0"/>
          <w:iCs w:val="0"/>
          <w:caps w:val="0"/>
          <w:color w:val="000000"/>
          <w:spacing w:val="0"/>
          <w:sz w:val="32"/>
          <w:szCs w:val="32"/>
          <w:shd w:val="clear" w:color="auto" w:fill="FFFFFF"/>
        </w:rPr>
        <w:t>1.54</w:t>
      </w:r>
      <w:r>
        <w:rPr>
          <w:rFonts w:hint="eastAsia" w:ascii="仿宋_GB2312" w:hAnsi="Times New Roman" w:eastAsia="仿宋_GB2312" w:cs="仿宋_GB2312"/>
          <w:i w:val="0"/>
          <w:iCs w:val="0"/>
          <w:caps w:val="0"/>
          <w:color w:val="000000"/>
          <w:spacing w:val="0"/>
          <w:sz w:val="32"/>
          <w:szCs w:val="32"/>
          <w:shd w:val="clear" w:color="auto" w:fill="FFFFFF"/>
        </w:rPr>
        <w:t>亿元。出台降低不合理住院率</w:t>
      </w:r>
      <w:r>
        <w:rPr>
          <w:rFonts w:hint="eastAsia" w:ascii="仿宋_GB2312" w:hAnsi="仿宋" w:eastAsia="仿宋_GB2312" w:cs="仿宋_GB2312"/>
          <w:i w:val="0"/>
          <w:iCs w:val="0"/>
          <w:caps w:val="0"/>
          <w:color w:val="000000"/>
          <w:spacing w:val="0"/>
          <w:sz w:val="32"/>
          <w:szCs w:val="32"/>
          <w:shd w:val="clear" w:color="auto" w:fill="FFFFFF"/>
        </w:rPr>
        <w:t>相关举措</w:t>
      </w:r>
      <w:r>
        <w:rPr>
          <w:rFonts w:hint="eastAsia" w:ascii="仿宋_GB2312" w:hAnsi="Times New Roman" w:eastAsia="仿宋_GB2312" w:cs="仿宋_GB2312"/>
          <w:i w:val="0"/>
          <w:iCs w:val="0"/>
          <w:caps w:val="0"/>
          <w:color w:val="000000"/>
          <w:spacing w:val="0"/>
          <w:sz w:val="32"/>
          <w:szCs w:val="32"/>
          <w:shd w:val="clear" w:color="auto" w:fill="FFFFFF"/>
        </w:rPr>
        <w:t>，积极推动构建</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源头管控－过程监管－长效治理</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三位一体不合理住院治理体系。全市住院总人次较</w:t>
      </w:r>
      <w:r>
        <w:rPr>
          <w:rFonts w:hint="default" w:ascii="Times New Roman" w:hAnsi="Times New Roman" w:eastAsia="等线" w:cs="Times New Roman"/>
          <w:i w:val="0"/>
          <w:iCs w:val="0"/>
          <w:caps w:val="0"/>
          <w:color w:val="000000"/>
          <w:spacing w:val="0"/>
          <w:sz w:val="32"/>
          <w:szCs w:val="32"/>
          <w:shd w:val="clear" w:color="auto" w:fill="FFFFFF"/>
        </w:rPr>
        <w:t>2024</w:t>
      </w:r>
      <w:r>
        <w:rPr>
          <w:rFonts w:hint="eastAsia" w:ascii="仿宋_GB2312" w:hAnsi="Times New Roman" w:eastAsia="仿宋_GB2312" w:cs="仿宋_GB2312"/>
          <w:i w:val="0"/>
          <w:iCs w:val="0"/>
          <w:caps w:val="0"/>
          <w:color w:val="000000"/>
          <w:spacing w:val="0"/>
          <w:sz w:val="32"/>
          <w:szCs w:val="32"/>
          <w:shd w:val="clear" w:color="auto" w:fill="FFFFFF"/>
        </w:rPr>
        <w:t>年同比下降</w:t>
      </w:r>
      <w:r>
        <w:rPr>
          <w:rFonts w:hint="default" w:ascii="Times New Roman" w:hAnsi="Times New Roman" w:eastAsia="仿宋" w:cs="Times New Roman"/>
          <w:i w:val="0"/>
          <w:iCs w:val="0"/>
          <w:caps w:val="0"/>
          <w:color w:val="000000"/>
          <w:spacing w:val="0"/>
          <w:sz w:val="32"/>
          <w:szCs w:val="32"/>
          <w:shd w:val="clear" w:color="auto" w:fill="FFFFFF"/>
        </w:rPr>
        <w:t>1.83</w:t>
      </w:r>
      <w:r>
        <w:rPr>
          <w:rFonts w:hint="eastAsia" w:ascii="仿宋_GB2312" w:hAnsi="Times New Roman" w:eastAsia="仿宋_GB2312" w:cs="仿宋_GB2312"/>
          <w:i w:val="0"/>
          <w:iCs w:val="0"/>
          <w:caps w:val="0"/>
          <w:color w:val="000000"/>
          <w:spacing w:val="0"/>
          <w:sz w:val="32"/>
          <w:szCs w:val="32"/>
          <w:shd w:val="clear" w:color="auto" w:fill="FFFFFF"/>
        </w:rPr>
        <w:t>个百分点，降幅居全省第三。</w:t>
      </w:r>
    </w:p>
    <w:p w14:paraId="375166B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Times New Roman" w:hAnsi="Times New Roman" w:eastAsia="楷体_GB2312" w:cs="Times New Roman"/>
          <w:b/>
          <w:bCs/>
          <w:i w:val="0"/>
          <w:iCs w:val="0"/>
          <w:caps w:val="0"/>
          <w:color w:val="000000"/>
          <w:spacing w:val="0"/>
          <w:sz w:val="32"/>
          <w:szCs w:val="32"/>
          <w:shd w:val="clear" w:color="auto" w:fill="FFFFFF"/>
        </w:rPr>
        <w:t>3.</w:t>
      </w:r>
      <w:r>
        <w:rPr>
          <w:rFonts w:hint="eastAsia" w:ascii="楷体_GB2312" w:hAnsi="Times New Roman" w:eastAsia="楷体_GB2312" w:cs="楷体_GB2312"/>
          <w:b/>
          <w:bCs/>
          <w:i w:val="0"/>
          <w:iCs w:val="0"/>
          <w:caps w:val="0"/>
          <w:color w:val="000000"/>
          <w:spacing w:val="0"/>
          <w:sz w:val="32"/>
          <w:szCs w:val="32"/>
          <w:shd w:val="clear" w:color="auto" w:fill="FFFFFF"/>
        </w:rPr>
        <w:t>坚持公平适度，民生保障坚实有力。</w:t>
      </w:r>
      <w:r>
        <w:rPr>
          <w:rFonts w:hint="eastAsia" w:ascii="仿宋_GB2312" w:hAnsi="Times New Roman" w:eastAsia="仿宋_GB2312" w:cs="仿宋_GB2312"/>
          <w:b/>
          <w:bCs/>
          <w:i w:val="0"/>
          <w:iCs w:val="0"/>
          <w:caps w:val="0"/>
          <w:color w:val="000000"/>
          <w:spacing w:val="0"/>
          <w:sz w:val="32"/>
          <w:szCs w:val="32"/>
          <w:shd w:val="clear" w:color="auto" w:fill="FFFFFF"/>
        </w:rPr>
        <w:t>一是实现应保尽保。</w:t>
      </w:r>
      <w:r>
        <w:rPr>
          <w:rFonts w:hint="eastAsia" w:ascii="仿宋_GB2312" w:hAnsi="Times New Roman" w:eastAsia="仿宋_GB2312" w:cs="仿宋_GB2312"/>
          <w:i w:val="0"/>
          <w:iCs w:val="0"/>
          <w:caps w:val="0"/>
          <w:color w:val="000000"/>
          <w:spacing w:val="0"/>
          <w:sz w:val="32"/>
          <w:szCs w:val="32"/>
          <w:shd w:val="clear" w:color="auto" w:fill="FFFFFF"/>
        </w:rPr>
        <w:t>全面完成参保征缴任务，</w:t>
      </w:r>
      <w:r>
        <w:rPr>
          <w:rFonts w:hint="default" w:ascii="Times New Roman" w:hAnsi="Times New Roman" w:eastAsia="等线" w:cs="Times New Roman"/>
          <w:i w:val="0"/>
          <w:iCs w:val="0"/>
          <w:caps w:val="0"/>
          <w:color w:val="000000"/>
          <w:spacing w:val="0"/>
          <w:sz w:val="32"/>
          <w:szCs w:val="32"/>
          <w:shd w:val="clear" w:color="auto" w:fill="FFFFFF"/>
        </w:rPr>
        <w:t>2025</w:t>
      </w:r>
      <w:r>
        <w:rPr>
          <w:rFonts w:hint="eastAsia" w:ascii="仿宋_GB2312" w:hAnsi="Times New Roman" w:eastAsia="仿宋_GB2312" w:cs="仿宋_GB2312"/>
          <w:i w:val="0"/>
          <w:iCs w:val="0"/>
          <w:caps w:val="0"/>
          <w:color w:val="000000"/>
          <w:spacing w:val="0"/>
          <w:sz w:val="32"/>
          <w:szCs w:val="32"/>
          <w:shd w:val="clear" w:color="auto" w:fill="FFFFFF"/>
        </w:rPr>
        <w:t>年全市参保人数</w:t>
      </w:r>
      <w:r>
        <w:rPr>
          <w:rFonts w:hint="default" w:ascii="Times New Roman" w:hAnsi="Times New Roman" w:eastAsia="仿宋" w:cs="Times New Roman"/>
          <w:i w:val="0"/>
          <w:iCs w:val="0"/>
          <w:caps w:val="0"/>
          <w:color w:val="000000"/>
          <w:spacing w:val="0"/>
          <w:sz w:val="32"/>
          <w:szCs w:val="32"/>
          <w:shd w:val="clear" w:color="auto" w:fill="FFFFFF"/>
        </w:rPr>
        <w:t>432.55</w:t>
      </w:r>
      <w:r>
        <w:rPr>
          <w:rFonts w:hint="eastAsia" w:ascii="仿宋_GB2312" w:hAnsi="Times New Roman" w:eastAsia="仿宋_GB2312" w:cs="仿宋_GB2312"/>
          <w:i w:val="0"/>
          <w:iCs w:val="0"/>
          <w:caps w:val="0"/>
          <w:color w:val="000000"/>
          <w:spacing w:val="0"/>
          <w:sz w:val="32"/>
          <w:szCs w:val="32"/>
          <w:shd w:val="clear" w:color="auto" w:fill="FFFFFF"/>
        </w:rPr>
        <w:t>万人，常住人口参保覆盖率达到</w:t>
      </w:r>
      <w:r>
        <w:rPr>
          <w:rFonts w:hint="default" w:ascii="Times New Roman" w:hAnsi="Times New Roman" w:eastAsia="等线" w:cs="Times New Roman"/>
          <w:i w:val="0"/>
          <w:iCs w:val="0"/>
          <w:caps w:val="0"/>
          <w:color w:val="000000"/>
          <w:spacing w:val="0"/>
          <w:sz w:val="32"/>
          <w:szCs w:val="32"/>
          <w:shd w:val="clear" w:color="auto" w:fill="FFFFFF"/>
        </w:rPr>
        <w:t>97.</w:t>
      </w:r>
      <w:r>
        <w:rPr>
          <w:rFonts w:hint="default" w:ascii="Times New Roman" w:hAnsi="Times New Roman" w:eastAsia="仿宋" w:cs="Times New Roman"/>
          <w:i w:val="0"/>
          <w:iCs w:val="0"/>
          <w:caps w:val="0"/>
          <w:color w:val="000000"/>
          <w:spacing w:val="0"/>
          <w:sz w:val="32"/>
          <w:szCs w:val="32"/>
          <w:shd w:val="clear" w:color="auto" w:fill="FFFFFF"/>
        </w:rPr>
        <w:t>95</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，排名全省第</w:t>
      </w:r>
      <w:r>
        <w:rPr>
          <w:rFonts w:hint="eastAsia" w:ascii="仿宋_GB2312" w:hAnsi="仿宋" w:eastAsia="仿宋_GB2312" w:cs="仿宋_GB2312"/>
          <w:i w:val="0"/>
          <w:iCs w:val="0"/>
          <w:caps w:val="0"/>
          <w:color w:val="000000"/>
          <w:spacing w:val="0"/>
          <w:sz w:val="32"/>
          <w:szCs w:val="32"/>
          <w:shd w:val="clear" w:color="auto" w:fill="FFFFFF"/>
        </w:rPr>
        <w:t>三</w:t>
      </w:r>
      <w:r>
        <w:rPr>
          <w:rFonts w:hint="eastAsia" w:ascii="仿宋_GB2312" w:hAnsi="Times New Roman" w:eastAsia="仿宋_GB2312" w:cs="仿宋_GB2312"/>
          <w:i w:val="0"/>
          <w:iCs w:val="0"/>
          <w:caps w:val="0"/>
          <w:color w:val="000000"/>
          <w:spacing w:val="0"/>
          <w:sz w:val="32"/>
          <w:szCs w:val="32"/>
          <w:shd w:val="clear" w:color="auto" w:fill="FFFFFF"/>
        </w:rPr>
        <w:t>。麻阳县、会同县、通道县在全市参保率排名前三。</w:t>
      </w:r>
      <w:r>
        <w:rPr>
          <w:rFonts w:hint="default" w:ascii="Times New Roman" w:hAnsi="Times New Roman" w:eastAsia="等线" w:cs="Times New Roman"/>
          <w:i w:val="0"/>
          <w:iCs w:val="0"/>
          <w:caps w:val="0"/>
          <w:color w:val="000000"/>
          <w:spacing w:val="0"/>
          <w:sz w:val="32"/>
          <w:szCs w:val="32"/>
          <w:shd w:val="clear" w:color="auto" w:fill="FFFFFF"/>
        </w:rPr>
        <w:t>2025</w:t>
      </w:r>
      <w:r>
        <w:rPr>
          <w:rFonts w:hint="eastAsia" w:ascii="仿宋_GB2312" w:hAnsi="Times New Roman" w:eastAsia="仿宋_GB2312" w:cs="仿宋_GB2312"/>
          <w:i w:val="0"/>
          <w:iCs w:val="0"/>
          <w:caps w:val="0"/>
          <w:color w:val="000000"/>
          <w:spacing w:val="0"/>
          <w:sz w:val="32"/>
          <w:szCs w:val="32"/>
          <w:shd w:val="clear" w:color="auto" w:fill="FFFFFF"/>
        </w:rPr>
        <w:t>年度全市共资助困难群众参保</w:t>
      </w:r>
      <w:r>
        <w:rPr>
          <w:rFonts w:hint="default" w:ascii="Times New Roman" w:hAnsi="Times New Roman" w:eastAsia="等线" w:cs="Times New Roman"/>
          <w:i w:val="0"/>
          <w:iCs w:val="0"/>
          <w:caps w:val="0"/>
          <w:color w:val="000000"/>
          <w:spacing w:val="0"/>
          <w:sz w:val="32"/>
          <w:szCs w:val="32"/>
          <w:shd w:val="clear" w:color="auto" w:fill="FFFFFF"/>
        </w:rPr>
        <w:t>23.78</w:t>
      </w:r>
      <w:r>
        <w:rPr>
          <w:rFonts w:hint="eastAsia" w:ascii="仿宋_GB2312" w:hAnsi="Times New Roman" w:eastAsia="仿宋_GB2312" w:cs="仿宋_GB2312"/>
          <w:i w:val="0"/>
          <w:iCs w:val="0"/>
          <w:caps w:val="0"/>
          <w:color w:val="000000"/>
          <w:spacing w:val="0"/>
          <w:sz w:val="32"/>
          <w:szCs w:val="32"/>
          <w:shd w:val="clear" w:color="auto" w:fill="FFFFFF"/>
        </w:rPr>
        <w:t>万人，资助金额</w:t>
      </w:r>
      <w:r>
        <w:rPr>
          <w:rFonts w:hint="default" w:ascii="Times New Roman" w:hAnsi="Times New Roman" w:eastAsia="等线" w:cs="Times New Roman"/>
          <w:i w:val="0"/>
          <w:iCs w:val="0"/>
          <w:caps w:val="0"/>
          <w:color w:val="000000"/>
          <w:spacing w:val="0"/>
          <w:sz w:val="32"/>
          <w:szCs w:val="32"/>
          <w:shd w:val="clear" w:color="auto" w:fill="FFFFFF"/>
        </w:rPr>
        <w:t>6851.74</w:t>
      </w:r>
      <w:r>
        <w:rPr>
          <w:rFonts w:hint="eastAsia" w:ascii="仿宋_GB2312" w:hAnsi="Times New Roman" w:eastAsia="仿宋_GB2312" w:cs="仿宋_GB2312"/>
          <w:i w:val="0"/>
          <w:iCs w:val="0"/>
          <w:caps w:val="0"/>
          <w:color w:val="000000"/>
          <w:spacing w:val="0"/>
          <w:sz w:val="32"/>
          <w:szCs w:val="32"/>
          <w:shd w:val="clear" w:color="auto" w:fill="FFFFFF"/>
        </w:rPr>
        <w:t>万元，</w:t>
      </w:r>
      <w:r>
        <w:rPr>
          <w:rFonts w:hint="default" w:ascii="Times New Roman" w:hAnsi="Times New Roman" w:eastAsia="等线" w:cs="Times New Roman"/>
          <w:i w:val="0"/>
          <w:iCs w:val="0"/>
          <w:caps w:val="0"/>
          <w:color w:val="000000"/>
          <w:spacing w:val="0"/>
          <w:sz w:val="32"/>
          <w:szCs w:val="32"/>
          <w:shd w:val="clear" w:color="auto" w:fill="FFFFFF"/>
        </w:rPr>
        <w:t>71.89</w:t>
      </w:r>
      <w:r>
        <w:rPr>
          <w:rFonts w:hint="eastAsia" w:ascii="仿宋_GB2312" w:hAnsi="Times New Roman" w:eastAsia="仿宋_GB2312" w:cs="仿宋_GB2312"/>
          <w:i w:val="0"/>
          <w:iCs w:val="0"/>
          <w:caps w:val="0"/>
          <w:color w:val="000000"/>
          <w:spacing w:val="0"/>
          <w:sz w:val="32"/>
          <w:szCs w:val="32"/>
          <w:shd w:val="clear" w:color="auto" w:fill="FFFFFF"/>
        </w:rPr>
        <w:t>万脱贫人口全部纳入基本医疗覆盖范围，参保率达</w:t>
      </w:r>
      <w:r>
        <w:rPr>
          <w:rFonts w:hint="default" w:ascii="Times New Roman" w:hAnsi="Times New Roman" w:eastAsia="等线" w:cs="Times New Roman"/>
          <w:i w:val="0"/>
          <w:iCs w:val="0"/>
          <w:caps w:val="0"/>
          <w:color w:val="000000"/>
          <w:spacing w:val="0"/>
          <w:sz w:val="32"/>
          <w:szCs w:val="32"/>
          <w:shd w:val="clear" w:color="auto" w:fill="FFFFFF"/>
        </w:rPr>
        <w:t>100%</w:t>
      </w:r>
      <w:r>
        <w:rPr>
          <w:rFonts w:hint="eastAsia" w:ascii="仿宋_GB2312" w:hAnsi="Times New Roman" w:eastAsia="仿宋_GB2312" w:cs="仿宋_GB2312"/>
          <w:i w:val="0"/>
          <w:iCs w:val="0"/>
          <w:caps w:val="0"/>
          <w:color w:val="000000"/>
          <w:spacing w:val="0"/>
          <w:sz w:val="32"/>
          <w:szCs w:val="32"/>
          <w:shd w:val="clear" w:color="auto" w:fill="FFFFFF"/>
        </w:rPr>
        <w:t>。全市医保</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一人一档</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全民参保数据库常住人口维护比达</w:t>
      </w:r>
      <w:r>
        <w:rPr>
          <w:rFonts w:hint="default" w:ascii="Times New Roman" w:hAnsi="Times New Roman" w:eastAsia="等线" w:cs="Times New Roman"/>
          <w:i w:val="0"/>
          <w:iCs w:val="0"/>
          <w:caps w:val="0"/>
          <w:color w:val="000000"/>
          <w:spacing w:val="0"/>
          <w:sz w:val="32"/>
          <w:szCs w:val="32"/>
          <w:shd w:val="clear" w:color="auto" w:fill="FFFFFF"/>
        </w:rPr>
        <w:t>113.72%</w:t>
      </w:r>
      <w:r>
        <w:rPr>
          <w:rFonts w:hint="eastAsia" w:ascii="仿宋_GB2312" w:hAnsi="Times New Roman" w:eastAsia="仿宋_GB2312" w:cs="仿宋_GB2312"/>
          <w:i w:val="0"/>
          <w:iCs w:val="0"/>
          <w:caps w:val="0"/>
          <w:color w:val="000000"/>
          <w:spacing w:val="0"/>
          <w:sz w:val="32"/>
          <w:szCs w:val="32"/>
          <w:shd w:val="clear" w:color="auto" w:fill="FFFFFF"/>
        </w:rPr>
        <w:t>，远高于全省平均水平。</w:t>
      </w:r>
      <w:r>
        <w:rPr>
          <w:rFonts w:hint="eastAsia" w:ascii="仿宋_GB2312" w:hAnsi="Times New Roman" w:eastAsia="仿宋_GB2312" w:cs="仿宋_GB2312"/>
          <w:b/>
          <w:bCs/>
          <w:i w:val="0"/>
          <w:iCs w:val="0"/>
          <w:caps w:val="0"/>
          <w:color w:val="000000"/>
          <w:spacing w:val="0"/>
          <w:sz w:val="32"/>
          <w:szCs w:val="32"/>
          <w:shd w:val="clear" w:color="auto" w:fill="FFFFFF"/>
        </w:rPr>
        <w:t>二是实现应享尽享。</w:t>
      </w:r>
      <w:r>
        <w:rPr>
          <w:rFonts w:hint="default" w:ascii="Times New Roman" w:hAnsi="Times New Roman" w:eastAsia="等线" w:cs="Times New Roman"/>
          <w:i w:val="0"/>
          <w:iCs w:val="0"/>
          <w:caps w:val="0"/>
          <w:color w:val="000000"/>
          <w:spacing w:val="0"/>
          <w:sz w:val="32"/>
          <w:szCs w:val="32"/>
          <w:shd w:val="clear" w:color="auto" w:fill="FFFFFF"/>
        </w:rPr>
        <w:t>2025</w:t>
      </w:r>
      <w:r>
        <w:rPr>
          <w:rFonts w:hint="eastAsia" w:ascii="仿宋_GB2312" w:hAnsi="Times New Roman" w:eastAsia="仿宋_GB2312" w:cs="仿宋_GB2312"/>
          <w:i w:val="0"/>
          <w:iCs w:val="0"/>
          <w:caps w:val="0"/>
          <w:color w:val="000000"/>
          <w:spacing w:val="0"/>
          <w:sz w:val="32"/>
          <w:szCs w:val="32"/>
          <w:shd w:val="clear" w:color="auto" w:fill="FFFFFF"/>
        </w:rPr>
        <w:t>年全市</w:t>
      </w:r>
      <w:r>
        <w:rPr>
          <w:rFonts w:hint="default" w:ascii="Times New Roman" w:hAnsi="Times New Roman" w:eastAsia="等线" w:cs="Times New Roman"/>
          <w:i w:val="0"/>
          <w:iCs w:val="0"/>
          <w:caps w:val="0"/>
          <w:color w:val="000000"/>
          <w:spacing w:val="0"/>
          <w:sz w:val="32"/>
          <w:szCs w:val="32"/>
          <w:shd w:val="clear" w:color="auto" w:fill="FFFFFF"/>
        </w:rPr>
        <w:t>1161.83</w:t>
      </w:r>
      <w:r>
        <w:rPr>
          <w:rFonts w:hint="eastAsia" w:ascii="仿宋_GB2312" w:hAnsi="Times New Roman" w:eastAsia="仿宋_GB2312" w:cs="仿宋_GB2312"/>
          <w:i w:val="0"/>
          <w:iCs w:val="0"/>
          <w:caps w:val="0"/>
          <w:color w:val="000000"/>
          <w:spacing w:val="0"/>
          <w:sz w:val="32"/>
          <w:szCs w:val="32"/>
          <w:shd w:val="clear" w:color="auto" w:fill="FFFFFF"/>
        </w:rPr>
        <w:t>万人次享受基本医疗、大病保险、医疗救助待遇，基金支付</w:t>
      </w:r>
      <w:r>
        <w:rPr>
          <w:rFonts w:hint="default" w:ascii="Times New Roman" w:hAnsi="Times New Roman" w:eastAsia="等线" w:cs="Times New Roman"/>
          <w:i w:val="0"/>
          <w:iCs w:val="0"/>
          <w:caps w:val="0"/>
          <w:color w:val="000000"/>
          <w:spacing w:val="0"/>
          <w:sz w:val="32"/>
          <w:szCs w:val="32"/>
          <w:shd w:val="clear" w:color="auto" w:fill="FFFFFF"/>
        </w:rPr>
        <w:t>64.63</w:t>
      </w:r>
      <w:r>
        <w:rPr>
          <w:rFonts w:hint="eastAsia" w:ascii="仿宋_GB2312" w:hAnsi="Times New Roman" w:eastAsia="仿宋_GB2312" w:cs="仿宋_GB2312"/>
          <w:i w:val="0"/>
          <w:iCs w:val="0"/>
          <w:caps w:val="0"/>
          <w:color w:val="000000"/>
          <w:spacing w:val="0"/>
          <w:sz w:val="32"/>
          <w:szCs w:val="32"/>
          <w:shd w:val="clear" w:color="auto" w:fill="FFFFFF"/>
        </w:rPr>
        <w:t>亿元，全市城乡居民和城镇职工住院实际报销比分别达</w:t>
      </w:r>
      <w:r>
        <w:rPr>
          <w:rFonts w:hint="default" w:ascii="Times New Roman" w:hAnsi="Times New Roman" w:eastAsia="等线" w:cs="Times New Roman"/>
          <w:i w:val="0"/>
          <w:iCs w:val="0"/>
          <w:caps w:val="0"/>
          <w:color w:val="000000"/>
          <w:spacing w:val="0"/>
          <w:sz w:val="32"/>
          <w:szCs w:val="32"/>
          <w:shd w:val="clear" w:color="auto" w:fill="FFFFFF"/>
        </w:rPr>
        <w:t>60.96%</w:t>
      </w:r>
      <w:r>
        <w:rPr>
          <w:rFonts w:hint="eastAsia" w:ascii="仿宋_GB2312" w:hAnsi="Times New Roman" w:eastAsia="仿宋_GB2312" w:cs="仿宋_GB2312"/>
          <w:i w:val="0"/>
          <w:iCs w:val="0"/>
          <w:caps w:val="0"/>
          <w:color w:val="000000"/>
          <w:spacing w:val="0"/>
          <w:sz w:val="32"/>
          <w:szCs w:val="32"/>
          <w:shd w:val="clear" w:color="auto" w:fill="FFFFFF"/>
        </w:rPr>
        <w:t>、</w:t>
      </w:r>
      <w:r>
        <w:rPr>
          <w:rFonts w:hint="default" w:ascii="Times New Roman" w:hAnsi="Times New Roman" w:eastAsia="等线" w:cs="Times New Roman"/>
          <w:i w:val="0"/>
          <w:iCs w:val="0"/>
          <w:caps w:val="0"/>
          <w:color w:val="000000"/>
          <w:spacing w:val="0"/>
          <w:sz w:val="32"/>
          <w:szCs w:val="32"/>
          <w:shd w:val="clear" w:color="auto" w:fill="FFFFFF"/>
        </w:rPr>
        <w:t>74.46%</w:t>
      </w:r>
      <w:r>
        <w:rPr>
          <w:rFonts w:hint="eastAsia" w:ascii="仿宋_GB2312" w:hAnsi="Times New Roman" w:eastAsia="仿宋_GB2312" w:cs="仿宋_GB2312"/>
          <w:i w:val="0"/>
          <w:iCs w:val="0"/>
          <w:caps w:val="0"/>
          <w:color w:val="000000"/>
          <w:spacing w:val="0"/>
          <w:sz w:val="32"/>
          <w:szCs w:val="32"/>
          <w:shd w:val="clear" w:color="auto" w:fill="FFFFFF"/>
        </w:rPr>
        <w:t>。</w:t>
      </w:r>
      <w:r>
        <w:rPr>
          <w:rFonts w:hint="default" w:ascii="Times New Roman" w:hAnsi="Times New Roman" w:eastAsia="等线" w:cs="Times New Roman"/>
          <w:i w:val="0"/>
          <w:iCs w:val="0"/>
          <w:caps w:val="0"/>
          <w:color w:val="000000"/>
          <w:spacing w:val="0"/>
          <w:sz w:val="32"/>
          <w:szCs w:val="32"/>
          <w:shd w:val="clear" w:color="auto" w:fill="FFFFFF"/>
        </w:rPr>
        <w:t>6.85</w:t>
      </w:r>
      <w:r>
        <w:rPr>
          <w:rFonts w:hint="eastAsia" w:ascii="仿宋_GB2312" w:hAnsi="Times New Roman" w:eastAsia="仿宋_GB2312" w:cs="仿宋_GB2312"/>
          <w:i w:val="0"/>
          <w:iCs w:val="0"/>
          <w:caps w:val="0"/>
          <w:color w:val="000000"/>
          <w:spacing w:val="0"/>
          <w:sz w:val="32"/>
          <w:szCs w:val="32"/>
          <w:shd w:val="clear" w:color="auto" w:fill="FFFFFF"/>
        </w:rPr>
        <w:t>万人购买惠民型商业补充医疗保险</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湖南医惠保</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w:t>
      </w:r>
      <w:r>
        <w:rPr>
          <w:rFonts w:hint="default" w:ascii="Times New Roman" w:hAnsi="Times New Roman" w:eastAsia="等线" w:cs="Times New Roman"/>
          <w:i w:val="0"/>
          <w:iCs w:val="0"/>
          <w:caps w:val="0"/>
          <w:color w:val="000000"/>
          <w:spacing w:val="0"/>
          <w:sz w:val="32"/>
          <w:szCs w:val="32"/>
          <w:shd w:val="clear" w:color="auto" w:fill="FFFFFF"/>
        </w:rPr>
        <w:t>5343</w:t>
      </w:r>
      <w:r>
        <w:rPr>
          <w:rFonts w:hint="eastAsia" w:ascii="仿宋_GB2312" w:hAnsi="Times New Roman" w:eastAsia="仿宋_GB2312" w:cs="仿宋_GB2312"/>
          <w:i w:val="0"/>
          <w:iCs w:val="0"/>
          <w:caps w:val="0"/>
          <w:color w:val="000000"/>
          <w:spacing w:val="0"/>
          <w:sz w:val="32"/>
          <w:szCs w:val="32"/>
          <w:shd w:val="clear" w:color="auto" w:fill="FFFFFF"/>
        </w:rPr>
        <w:t>人次享受</w:t>
      </w:r>
      <w:r>
        <w:rPr>
          <w:rFonts w:hint="default" w:ascii="Times New Roman" w:hAnsi="Times New Roman" w:eastAsia="等线" w:cs="Times New Roman"/>
          <w:i w:val="0"/>
          <w:iCs w:val="0"/>
          <w:caps w:val="0"/>
          <w:color w:val="000000"/>
          <w:spacing w:val="0"/>
          <w:sz w:val="32"/>
          <w:szCs w:val="32"/>
          <w:shd w:val="clear" w:color="auto" w:fill="FFFFFF"/>
        </w:rPr>
        <w:t>8</w:t>
      </w:r>
      <w:r>
        <w:rPr>
          <w:rFonts w:hint="eastAsia" w:ascii="仿宋_GB2312" w:hAnsi="Times New Roman" w:eastAsia="仿宋_GB2312" w:cs="仿宋_GB2312"/>
          <w:i w:val="0"/>
          <w:iCs w:val="0"/>
          <w:caps w:val="0"/>
          <w:color w:val="000000"/>
          <w:spacing w:val="0"/>
          <w:sz w:val="32"/>
          <w:szCs w:val="32"/>
          <w:shd w:val="clear" w:color="auto" w:fill="FFFFFF"/>
        </w:rPr>
        <w:t>类辅助生殖类门诊待遇；大幅提高职工生育保险待遇，并全面推行将生育津贴直接发放至参保职工个人。</w:t>
      </w:r>
      <w:r>
        <w:rPr>
          <w:rFonts w:hint="eastAsia" w:ascii="仿宋_GB2312" w:hAnsi="Times New Roman" w:eastAsia="仿宋_GB2312" w:cs="仿宋_GB2312"/>
          <w:b/>
          <w:bCs/>
          <w:i w:val="0"/>
          <w:iCs w:val="0"/>
          <w:caps w:val="0"/>
          <w:color w:val="000000"/>
          <w:spacing w:val="0"/>
          <w:sz w:val="32"/>
          <w:szCs w:val="32"/>
          <w:shd w:val="clear" w:color="auto" w:fill="FFFFFF"/>
        </w:rPr>
        <w:t>三是实现待遇升级。</w:t>
      </w:r>
      <w:r>
        <w:rPr>
          <w:rFonts w:hint="eastAsia" w:ascii="仿宋_GB2312" w:hAnsi="Times New Roman" w:eastAsia="仿宋_GB2312" w:cs="仿宋_GB2312"/>
          <w:i w:val="0"/>
          <w:iCs w:val="0"/>
          <w:caps w:val="0"/>
          <w:color w:val="000000"/>
          <w:spacing w:val="0"/>
          <w:sz w:val="32"/>
          <w:szCs w:val="32"/>
          <w:shd w:val="clear" w:color="auto" w:fill="FFFFFF"/>
        </w:rPr>
        <w:t>按省局统一部署，制定了《怀化市基层门诊统筹综合改革试点实施方案》，确定鹤城区、新晃县、通道县、会同县</w:t>
      </w:r>
      <w:r>
        <w:rPr>
          <w:rFonts w:hint="default" w:ascii="Times New Roman" w:hAnsi="Times New Roman" w:eastAsia="等线" w:cs="Times New Roman"/>
          <w:i w:val="0"/>
          <w:iCs w:val="0"/>
          <w:caps w:val="0"/>
          <w:color w:val="000000"/>
          <w:spacing w:val="0"/>
          <w:sz w:val="32"/>
          <w:szCs w:val="32"/>
          <w:shd w:val="clear" w:color="auto" w:fill="FFFFFF"/>
        </w:rPr>
        <w:t>4</w:t>
      </w:r>
      <w:r>
        <w:rPr>
          <w:rFonts w:hint="eastAsia" w:ascii="仿宋_GB2312" w:hAnsi="Times New Roman" w:eastAsia="仿宋_GB2312" w:cs="仿宋_GB2312"/>
          <w:i w:val="0"/>
          <w:iCs w:val="0"/>
          <w:caps w:val="0"/>
          <w:color w:val="000000"/>
          <w:spacing w:val="0"/>
          <w:sz w:val="32"/>
          <w:szCs w:val="32"/>
          <w:shd w:val="clear" w:color="auto" w:fill="FFFFFF"/>
        </w:rPr>
        <w:t>个县市区作为我市首批改革试点，建立门诊按人头付费机制。麻阳</w:t>
      </w:r>
      <w:r>
        <w:rPr>
          <w:rFonts w:hint="eastAsia" w:ascii="仿宋_GB2312" w:hAnsi="Times New Roman" w:eastAsia="仿宋_GB2312" w:cs="仿宋_GB2312"/>
          <w:i w:val="0"/>
          <w:iCs w:val="0"/>
          <w:caps w:val="0"/>
          <w:color w:val="000000"/>
          <w:spacing w:val="-6"/>
          <w:sz w:val="32"/>
          <w:szCs w:val="32"/>
          <w:shd w:val="clear" w:color="auto" w:fill="FFFFFF"/>
        </w:rPr>
        <w:t>县获批纳入</w:t>
      </w:r>
      <w:r>
        <w:rPr>
          <w:rFonts w:hint="default" w:ascii="Times New Roman" w:hAnsi="Times New Roman" w:eastAsia="等线" w:cs="Times New Roman"/>
          <w:i w:val="0"/>
          <w:iCs w:val="0"/>
          <w:caps w:val="0"/>
          <w:color w:val="000000"/>
          <w:spacing w:val="-6"/>
          <w:sz w:val="32"/>
          <w:szCs w:val="32"/>
          <w:shd w:val="clear" w:color="auto" w:fill="FFFFFF"/>
        </w:rPr>
        <w:t>2026</w:t>
      </w:r>
      <w:r>
        <w:rPr>
          <w:rFonts w:hint="eastAsia" w:ascii="仿宋_GB2312" w:hAnsi="Times New Roman" w:eastAsia="仿宋_GB2312" w:cs="仿宋_GB2312"/>
          <w:i w:val="0"/>
          <w:iCs w:val="0"/>
          <w:caps w:val="0"/>
          <w:color w:val="000000"/>
          <w:spacing w:val="-6"/>
          <w:sz w:val="32"/>
          <w:szCs w:val="32"/>
          <w:shd w:val="clear" w:color="auto" w:fill="FFFFFF"/>
        </w:rPr>
        <w:t>年全省意外伤害医疗费用结算外包服务试点。</w:t>
      </w:r>
    </w:p>
    <w:p w14:paraId="12F2CB5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Times New Roman" w:hAnsi="Times New Roman" w:eastAsia="楷体_GB2312" w:cs="Times New Roman"/>
          <w:b/>
          <w:bCs/>
          <w:i w:val="0"/>
          <w:iCs w:val="0"/>
          <w:caps w:val="0"/>
          <w:color w:val="000000"/>
          <w:spacing w:val="0"/>
          <w:sz w:val="32"/>
          <w:szCs w:val="32"/>
          <w:shd w:val="clear" w:color="auto" w:fill="FFFFFF"/>
        </w:rPr>
        <w:t>4.</w:t>
      </w:r>
      <w:r>
        <w:rPr>
          <w:rFonts w:hint="eastAsia" w:ascii="楷体_GB2312" w:hAnsi="Times New Roman" w:eastAsia="楷体_GB2312" w:cs="楷体_GB2312"/>
          <w:b/>
          <w:bCs/>
          <w:i w:val="0"/>
          <w:iCs w:val="0"/>
          <w:caps w:val="0"/>
          <w:color w:val="000000"/>
          <w:spacing w:val="0"/>
          <w:sz w:val="32"/>
          <w:szCs w:val="32"/>
          <w:shd w:val="clear" w:color="auto" w:fill="FFFFFF"/>
        </w:rPr>
        <w:t>深化系统集成，医保改革创新拓展。</w:t>
      </w:r>
      <w:r>
        <w:rPr>
          <w:rFonts w:hint="eastAsia" w:ascii="仿宋_GB2312" w:hAnsi="Times New Roman" w:eastAsia="仿宋_GB2312" w:cs="仿宋_GB2312"/>
          <w:b/>
          <w:bCs/>
          <w:i w:val="0"/>
          <w:iCs w:val="0"/>
          <w:caps w:val="0"/>
          <w:color w:val="000000"/>
          <w:spacing w:val="0"/>
          <w:sz w:val="32"/>
          <w:szCs w:val="32"/>
          <w:shd w:val="clear" w:color="auto" w:fill="FFFFFF"/>
        </w:rPr>
        <w:t>一是深化支付方式改革。</w:t>
      </w:r>
      <w:r>
        <w:rPr>
          <w:rFonts w:hint="eastAsia" w:ascii="仿宋_GB2312" w:hAnsi="Times New Roman" w:eastAsia="仿宋_GB2312" w:cs="仿宋_GB2312"/>
          <w:i w:val="0"/>
          <w:iCs w:val="0"/>
          <w:caps w:val="0"/>
          <w:color w:val="000000"/>
          <w:spacing w:val="0"/>
          <w:sz w:val="32"/>
          <w:szCs w:val="32"/>
          <w:shd w:val="clear" w:color="auto" w:fill="FFFFFF"/>
        </w:rPr>
        <w:t>完成了</w:t>
      </w:r>
      <w:r>
        <w:rPr>
          <w:rFonts w:hint="default" w:ascii="Times New Roman" w:hAnsi="Times New Roman" w:eastAsia="等线" w:cs="Times New Roman"/>
          <w:i w:val="0"/>
          <w:iCs w:val="0"/>
          <w:caps w:val="0"/>
          <w:color w:val="000000"/>
          <w:spacing w:val="0"/>
          <w:sz w:val="32"/>
          <w:szCs w:val="32"/>
          <w:shd w:val="clear" w:color="auto" w:fill="FFFFFF"/>
        </w:rPr>
        <w:t>2024</w:t>
      </w:r>
      <w:r>
        <w:rPr>
          <w:rFonts w:hint="eastAsia" w:ascii="仿宋_GB2312" w:hAnsi="Times New Roman" w:eastAsia="仿宋_GB2312" w:cs="仿宋_GB2312"/>
          <w:i w:val="0"/>
          <w:iCs w:val="0"/>
          <w:caps w:val="0"/>
          <w:color w:val="000000"/>
          <w:spacing w:val="0"/>
          <w:sz w:val="32"/>
          <w:szCs w:val="32"/>
          <w:shd w:val="clear" w:color="auto" w:fill="FFFFFF"/>
        </w:rPr>
        <w:t>年全市</w:t>
      </w:r>
      <w:r>
        <w:rPr>
          <w:rFonts w:hint="default" w:ascii="Times New Roman" w:hAnsi="Times New Roman" w:eastAsia="等线" w:cs="Times New Roman"/>
          <w:i w:val="0"/>
          <w:iCs w:val="0"/>
          <w:caps w:val="0"/>
          <w:color w:val="000000"/>
          <w:spacing w:val="0"/>
          <w:sz w:val="32"/>
          <w:szCs w:val="32"/>
          <w:shd w:val="clear" w:color="auto" w:fill="FFFFFF"/>
        </w:rPr>
        <w:t>413</w:t>
      </w:r>
      <w:r>
        <w:rPr>
          <w:rFonts w:hint="eastAsia" w:ascii="仿宋_GB2312" w:hAnsi="Times New Roman" w:eastAsia="仿宋_GB2312" w:cs="仿宋_GB2312"/>
          <w:i w:val="0"/>
          <w:iCs w:val="0"/>
          <w:caps w:val="0"/>
          <w:color w:val="000000"/>
          <w:spacing w:val="0"/>
          <w:sz w:val="32"/>
          <w:szCs w:val="32"/>
          <w:shd w:val="clear" w:color="auto" w:fill="FFFFFF"/>
        </w:rPr>
        <w:t>家</w:t>
      </w:r>
      <w:r>
        <w:rPr>
          <w:rFonts w:hint="default" w:ascii="Times New Roman" w:hAnsi="Times New Roman" w:eastAsia="等线" w:cs="Times New Roman"/>
          <w:i w:val="0"/>
          <w:iCs w:val="0"/>
          <w:caps w:val="0"/>
          <w:color w:val="000000"/>
          <w:spacing w:val="0"/>
          <w:sz w:val="32"/>
          <w:szCs w:val="32"/>
          <w:shd w:val="clear" w:color="auto" w:fill="FFFFFF"/>
        </w:rPr>
        <w:t>DIP</w:t>
      </w:r>
      <w:r>
        <w:rPr>
          <w:rFonts w:hint="eastAsia" w:ascii="仿宋_GB2312" w:hAnsi="Times New Roman" w:eastAsia="仿宋_GB2312" w:cs="仿宋_GB2312"/>
          <w:i w:val="0"/>
          <w:iCs w:val="0"/>
          <w:caps w:val="0"/>
          <w:color w:val="000000"/>
          <w:spacing w:val="0"/>
          <w:sz w:val="32"/>
          <w:szCs w:val="32"/>
          <w:shd w:val="clear" w:color="auto" w:fill="FFFFFF"/>
        </w:rPr>
        <w:t>付费医院年度清算和考核工作。组织召开全市</w:t>
      </w:r>
      <w:r>
        <w:rPr>
          <w:rFonts w:hint="default" w:ascii="Times New Roman" w:hAnsi="Times New Roman" w:eastAsia="等线" w:cs="Times New Roman"/>
          <w:i w:val="0"/>
          <w:iCs w:val="0"/>
          <w:caps w:val="0"/>
          <w:color w:val="000000"/>
          <w:spacing w:val="0"/>
          <w:sz w:val="32"/>
          <w:szCs w:val="32"/>
          <w:shd w:val="clear" w:color="auto" w:fill="FFFFFF"/>
        </w:rPr>
        <w:t>DIP</w:t>
      </w:r>
      <w:r>
        <w:rPr>
          <w:rFonts w:hint="eastAsia" w:ascii="仿宋_GB2312" w:hAnsi="Times New Roman" w:eastAsia="仿宋_GB2312" w:cs="仿宋_GB2312"/>
          <w:i w:val="0"/>
          <w:iCs w:val="0"/>
          <w:caps w:val="0"/>
          <w:color w:val="000000"/>
          <w:spacing w:val="0"/>
          <w:sz w:val="32"/>
          <w:szCs w:val="32"/>
          <w:shd w:val="clear" w:color="auto" w:fill="FFFFFF"/>
        </w:rPr>
        <w:t>病种分组分值</w:t>
      </w:r>
      <w:r>
        <w:rPr>
          <w:rFonts w:hint="default" w:ascii="Times New Roman" w:hAnsi="Times New Roman" w:eastAsia="等线" w:cs="Times New Roman"/>
          <w:i w:val="0"/>
          <w:iCs w:val="0"/>
          <w:caps w:val="0"/>
          <w:color w:val="000000"/>
          <w:spacing w:val="0"/>
          <w:sz w:val="32"/>
          <w:szCs w:val="32"/>
          <w:shd w:val="clear" w:color="auto" w:fill="FFFFFF"/>
        </w:rPr>
        <w:t>2.0</w:t>
      </w:r>
      <w:r>
        <w:rPr>
          <w:rFonts w:hint="eastAsia" w:ascii="仿宋_GB2312" w:hAnsi="Times New Roman" w:eastAsia="仿宋_GB2312" w:cs="仿宋_GB2312"/>
          <w:i w:val="0"/>
          <w:iCs w:val="0"/>
          <w:caps w:val="0"/>
          <w:color w:val="000000"/>
          <w:spacing w:val="0"/>
          <w:sz w:val="32"/>
          <w:szCs w:val="32"/>
          <w:shd w:val="clear" w:color="auto" w:fill="FFFFFF"/>
        </w:rPr>
        <w:t>版目录论证会，出台了涵盖</w:t>
      </w:r>
      <w:r>
        <w:rPr>
          <w:rFonts w:hint="default" w:ascii="Times New Roman" w:hAnsi="Times New Roman" w:eastAsia="等线" w:cs="Times New Roman"/>
          <w:i w:val="0"/>
          <w:iCs w:val="0"/>
          <w:caps w:val="0"/>
          <w:color w:val="000000"/>
          <w:spacing w:val="0"/>
          <w:sz w:val="32"/>
          <w:szCs w:val="32"/>
          <w:shd w:val="clear" w:color="auto" w:fill="FFFFFF"/>
        </w:rPr>
        <w:t>5257</w:t>
      </w:r>
      <w:r>
        <w:rPr>
          <w:rFonts w:hint="eastAsia" w:ascii="仿宋_GB2312" w:hAnsi="Times New Roman" w:eastAsia="仿宋_GB2312" w:cs="仿宋_GB2312"/>
          <w:i w:val="0"/>
          <w:iCs w:val="0"/>
          <w:caps w:val="0"/>
          <w:color w:val="000000"/>
          <w:spacing w:val="0"/>
          <w:sz w:val="32"/>
          <w:szCs w:val="32"/>
          <w:shd w:val="clear" w:color="auto" w:fill="FFFFFF"/>
        </w:rPr>
        <w:t>个核心病种的</w:t>
      </w:r>
      <w:r>
        <w:rPr>
          <w:rFonts w:hint="default" w:ascii="Times New Roman" w:hAnsi="Times New Roman" w:eastAsia="等线" w:cs="Times New Roman"/>
          <w:i w:val="0"/>
          <w:iCs w:val="0"/>
          <w:caps w:val="0"/>
          <w:color w:val="000000"/>
          <w:spacing w:val="0"/>
          <w:sz w:val="32"/>
          <w:szCs w:val="32"/>
          <w:shd w:val="clear" w:color="auto" w:fill="FFFFFF"/>
        </w:rPr>
        <w:t>DIP</w:t>
      </w:r>
      <w:r>
        <w:rPr>
          <w:rFonts w:hint="eastAsia" w:ascii="仿宋_GB2312" w:hAnsi="Times New Roman" w:eastAsia="仿宋_GB2312" w:cs="仿宋_GB2312"/>
          <w:i w:val="0"/>
          <w:iCs w:val="0"/>
          <w:caps w:val="0"/>
          <w:color w:val="000000"/>
          <w:spacing w:val="0"/>
          <w:sz w:val="32"/>
          <w:szCs w:val="32"/>
          <w:shd w:val="clear" w:color="auto" w:fill="FFFFFF"/>
        </w:rPr>
        <w:t>目录。在</w:t>
      </w:r>
      <w:r>
        <w:rPr>
          <w:rFonts w:hint="default" w:ascii="Times New Roman" w:hAnsi="Times New Roman" w:eastAsia="等线" w:cs="Times New Roman"/>
          <w:i w:val="0"/>
          <w:iCs w:val="0"/>
          <w:caps w:val="0"/>
          <w:color w:val="000000"/>
          <w:spacing w:val="0"/>
          <w:sz w:val="32"/>
          <w:szCs w:val="32"/>
          <w:shd w:val="clear" w:color="auto" w:fill="FFFFFF"/>
        </w:rPr>
        <w:t>11</w:t>
      </w:r>
      <w:r>
        <w:rPr>
          <w:rFonts w:hint="eastAsia" w:ascii="仿宋_GB2312" w:hAnsi="Times New Roman" w:eastAsia="仿宋_GB2312" w:cs="仿宋_GB2312"/>
          <w:i w:val="0"/>
          <w:iCs w:val="0"/>
          <w:caps w:val="0"/>
          <w:color w:val="000000"/>
          <w:spacing w:val="0"/>
          <w:sz w:val="32"/>
          <w:szCs w:val="32"/>
          <w:shd w:val="clear" w:color="auto" w:fill="FFFFFF"/>
        </w:rPr>
        <w:t>个县市区建成紧密型县域医共体并推行医保基金总额付费、结余留用、合理超支分担机制。</w:t>
      </w:r>
      <w:r>
        <w:rPr>
          <w:rFonts w:hint="eastAsia" w:ascii="仿宋_GB2312" w:hAnsi="Times New Roman" w:eastAsia="仿宋_GB2312" w:cs="仿宋_GB2312"/>
          <w:b/>
          <w:bCs/>
          <w:i w:val="0"/>
          <w:iCs w:val="0"/>
          <w:caps w:val="0"/>
          <w:color w:val="000000"/>
          <w:spacing w:val="0"/>
          <w:sz w:val="32"/>
          <w:szCs w:val="32"/>
          <w:shd w:val="clear" w:color="auto" w:fill="FFFFFF"/>
        </w:rPr>
        <w:t>二是深化药耗集采改革。</w:t>
      </w:r>
      <w:r>
        <w:rPr>
          <w:rFonts w:hint="eastAsia" w:ascii="仿宋_GB2312" w:hAnsi="Times New Roman" w:eastAsia="仿宋_GB2312" w:cs="仿宋_GB2312"/>
          <w:i w:val="0"/>
          <w:iCs w:val="0"/>
          <w:caps w:val="0"/>
          <w:color w:val="000000"/>
          <w:spacing w:val="0"/>
          <w:sz w:val="32"/>
          <w:szCs w:val="32"/>
          <w:shd w:val="clear" w:color="auto" w:fill="FFFFFF"/>
        </w:rPr>
        <w:t>国家医保药品目录新增</w:t>
      </w:r>
      <w:r>
        <w:rPr>
          <w:rFonts w:hint="default" w:ascii="Times New Roman" w:hAnsi="Times New Roman" w:eastAsia="等线" w:cs="Times New Roman"/>
          <w:i w:val="0"/>
          <w:iCs w:val="0"/>
          <w:caps w:val="0"/>
          <w:color w:val="000000"/>
          <w:spacing w:val="0"/>
          <w:sz w:val="32"/>
          <w:szCs w:val="32"/>
          <w:shd w:val="clear" w:color="auto" w:fill="FFFFFF"/>
        </w:rPr>
        <w:t>114</w:t>
      </w:r>
      <w:r>
        <w:rPr>
          <w:rFonts w:hint="eastAsia" w:ascii="仿宋_GB2312" w:hAnsi="Times New Roman" w:eastAsia="仿宋_GB2312" w:cs="仿宋_GB2312"/>
          <w:i w:val="0"/>
          <w:iCs w:val="0"/>
          <w:caps w:val="0"/>
          <w:color w:val="000000"/>
          <w:spacing w:val="0"/>
          <w:sz w:val="32"/>
          <w:szCs w:val="32"/>
          <w:shd w:val="clear" w:color="auto" w:fill="FFFFFF"/>
        </w:rPr>
        <w:t>种药品，总数达</w:t>
      </w:r>
      <w:r>
        <w:rPr>
          <w:rFonts w:hint="default" w:ascii="Times New Roman" w:hAnsi="Times New Roman" w:eastAsia="等线" w:cs="Times New Roman"/>
          <w:i w:val="0"/>
          <w:iCs w:val="0"/>
          <w:caps w:val="0"/>
          <w:color w:val="000000"/>
          <w:spacing w:val="0"/>
          <w:sz w:val="32"/>
          <w:szCs w:val="32"/>
          <w:shd w:val="clear" w:color="auto" w:fill="FFFFFF"/>
        </w:rPr>
        <w:t>3253</w:t>
      </w:r>
      <w:r>
        <w:rPr>
          <w:rFonts w:hint="eastAsia" w:ascii="仿宋_GB2312" w:hAnsi="Times New Roman" w:eastAsia="仿宋_GB2312" w:cs="仿宋_GB2312"/>
          <w:i w:val="0"/>
          <w:iCs w:val="0"/>
          <w:caps w:val="0"/>
          <w:color w:val="000000"/>
          <w:spacing w:val="0"/>
          <w:sz w:val="32"/>
          <w:szCs w:val="32"/>
          <w:shd w:val="clear" w:color="auto" w:fill="FFFFFF"/>
        </w:rPr>
        <w:t>种（西药</w:t>
      </w:r>
      <w:r>
        <w:rPr>
          <w:rFonts w:hint="default" w:ascii="Times New Roman" w:hAnsi="Times New Roman" w:eastAsia="等线" w:cs="Times New Roman"/>
          <w:i w:val="0"/>
          <w:iCs w:val="0"/>
          <w:caps w:val="0"/>
          <w:color w:val="000000"/>
          <w:spacing w:val="0"/>
          <w:sz w:val="32"/>
          <w:szCs w:val="32"/>
          <w:shd w:val="clear" w:color="auto" w:fill="FFFFFF"/>
        </w:rPr>
        <w:t>1857</w:t>
      </w:r>
      <w:r>
        <w:rPr>
          <w:rFonts w:hint="eastAsia" w:ascii="仿宋_GB2312" w:hAnsi="Times New Roman" w:eastAsia="仿宋_GB2312" w:cs="仿宋_GB2312"/>
          <w:i w:val="0"/>
          <w:iCs w:val="0"/>
          <w:caps w:val="0"/>
          <w:color w:val="000000"/>
          <w:spacing w:val="0"/>
          <w:sz w:val="32"/>
          <w:szCs w:val="32"/>
          <w:shd w:val="clear" w:color="auto" w:fill="FFFFFF"/>
        </w:rPr>
        <w:t>种、中成药</w:t>
      </w:r>
      <w:r>
        <w:rPr>
          <w:rFonts w:hint="default" w:ascii="Times New Roman" w:hAnsi="Times New Roman" w:eastAsia="等线" w:cs="Times New Roman"/>
          <w:i w:val="0"/>
          <w:iCs w:val="0"/>
          <w:caps w:val="0"/>
          <w:color w:val="000000"/>
          <w:spacing w:val="0"/>
          <w:sz w:val="32"/>
          <w:szCs w:val="32"/>
          <w:shd w:val="clear" w:color="auto" w:fill="FFFFFF"/>
        </w:rPr>
        <w:t>1396</w:t>
      </w:r>
      <w:r>
        <w:rPr>
          <w:rFonts w:hint="eastAsia" w:ascii="仿宋_GB2312" w:hAnsi="Times New Roman" w:eastAsia="仿宋_GB2312" w:cs="仿宋_GB2312"/>
          <w:i w:val="0"/>
          <w:iCs w:val="0"/>
          <w:caps w:val="0"/>
          <w:color w:val="000000"/>
          <w:spacing w:val="0"/>
          <w:sz w:val="32"/>
          <w:szCs w:val="32"/>
          <w:shd w:val="clear" w:color="auto" w:fill="FFFFFF"/>
        </w:rPr>
        <w:t>种），其中</w:t>
      </w:r>
      <w:r>
        <w:rPr>
          <w:rFonts w:hint="default" w:ascii="Times New Roman" w:hAnsi="Times New Roman" w:eastAsia="等线" w:cs="Times New Roman"/>
          <w:i w:val="0"/>
          <w:iCs w:val="0"/>
          <w:caps w:val="0"/>
          <w:color w:val="000000"/>
          <w:spacing w:val="0"/>
          <w:sz w:val="32"/>
          <w:szCs w:val="32"/>
          <w:shd w:val="clear" w:color="auto" w:fill="FFFFFF"/>
        </w:rPr>
        <w:t>50</w:t>
      </w:r>
      <w:r>
        <w:rPr>
          <w:rFonts w:hint="eastAsia" w:ascii="仿宋_GB2312" w:hAnsi="Times New Roman" w:eastAsia="仿宋_GB2312" w:cs="仿宋_GB2312"/>
          <w:i w:val="0"/>
          <w:iCs w:val="0"/>
          <w:caps w:val="0"/>
          <w:color w:val="000000"/>
          <w:spacing w:val="0"/>
          <w:sz w:val="32"/>
          <w:szCs w:val="32"/>
          <w:shd w:val="clear" w:color="auto" w:fill="FFFFFF"/>
        </w:rPr>
        <w:t>种是一类创新药，</w:t>
      </w:r>
      <w:r>
        <w:rPr>
          <w:rFonts w:hint="default" w:ascii="Times New Roman" w:hAnsi="Times New Roman" w:eastAsia="等线" w:cs="Times New Roman"/>
          <w:i w:val="0"/>
          <w:iCs w:val="0"/>
          <w:caps w:val="0"/>
          <w:color w:val="000000"/>
          <w:spacing w:val="0"/>
          <w:sz w:val="32"/>
          <w:szCs w:val="32"/>
          <w:shd w:val="clear" w:color="auto" w:fill="FFFFFF"/>
        </w:rPr>
        <w:t>19</w:t>
      </w:r>
      <w:r>
        <w:rPr>
          <w:rFonts w:hint="eastAsia" w:ascii="仿宋_GB2312" w:hAnsi="Times New Roman" w:eastAsia="仿宋_GB2312" w:cs="仿宋_GB2312"/>
          <w:i w:val="0"/>
          <w:iCs w:val="0"/>
          <w:caps w:val="0"/>
          <w:color w:val="000000"/>
          <w:spacing w:val="0"/>
          <w:sz w:val="32"/>
          <w:szCs w:val="32"/>
          <w:shd w:val="clear" w:color="auto" w:fill="FFFFFF"/>
        </w:rPr>
        <w:t>种药品纳入首版商保创新药目录。开展药品集中带量采购结余留用费用清算。全市定点医疗机构共结余留用</w:t>
      </w:r>
      <w:r>
        <w:rPr>
          <w:rFonts w:hint="default" w:ascii="Times New Roman" w:hAnsi="Times New Roman" w:eastAsia="等线" w:cs="Times New Roman"/>
          <w:i w:val="0"/>
          <w:iCs w:val="0"/>
          <w:caps w:val="0"/>
          <w:color w:val="000000"/>
          <w:spacing w:val="0"/>
          <w:sz w:val="32"/>
          <w:szCs w:val="32"/>
          <w:shd w:val="clear" w:color="auto" w:fill="FFFFFF"/>
        </w:rPr>
        <w:t>3464.08</w:t>
      </w:r>
      <w:r>
        <w:rPr>
          <w:rFonts w:hint="eastAsia" w:ascii="仿宋_GB2312" w:hAnsi="Times New Roman" w:eastAsia="仿宋_GB2312" w:cs="仿宋_GB2312"/>
          <w:i w:val="0"/>
          <w:iCs w:val="0"/>
          <w:caps w:val="0"/>
          <w:color w:val="000000"/>
          <w:spacing w:val="0"/>
          <w:sz w:val="32"/>
          <w:szCs w:val="32"/>
          <w:shd w:val="clear" w:color="auto" w:fill="FFFFFF"/>
        </w:rPr>
        <w:t>万元，并全部拨付返还到位。组织市本级、鹤城区、芷江县推进集采药品</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进零售药店</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试点工作。全市落地国采、省际联盟药品</w:t>
      </w:r>
      <w:r>
        <w:rPr>
          <w:rFonts w:hint="default" w:ascii="Times New Roman" w:hAnsi="Times New Roman" w:eastAsia="等线" w:cs="Times New Roman"/>
          <w:i w:val="0"/>
          <w:iCs w:val="0"/>
          <w:caps w:val="0"/>
          <w:color w:val="000000"/>
          <w:spacing w:val="0"/>
          <w:sz w:val="32"/>
          <w:szCs w:val="32"/>
          <w:shd w:val="clear" w:color="auto" w:fill="FFFFFF"/>
        </w:rPr>
        <w:t>996</w:t>
      </w:r>
      <w:r>
        <w:rPr>
          <w:rFonts w:hint="eastAsia" w:ascii="仿宋_GB2312" w:hAnsi="Times New Roman" w:eastAsia="仿宋_GB2312" w:cs="仿宋_GB2312"/>
          <w:i w:val="0"/>
          <w:iCs w:val="0"/>
          <w:caps w:val="0"/>
          <w:color w:val="000000"/>
          <w:spacing w:val="0"/>
          <w:sz w:val="32"/>
          <w:szCs w:val="32"/>
          <w:shd w:val="clear" w:color="auto" w:fill="FFFFFF"/>
        </w:rPr>
        <w:t>个品种、医用耗材</w:t>
      </w:r>
      <w:r>
        <w:rPr>
          <w:rFonts w:hint="default" w:ascii="Times New Roman" w:hAnsi="Times New Roman" w:eastAsia="等线" w:cs="Times New Roman"/>
          <w:i w:val="0"/>
          <w:iCs w:val="0"/>
          <w:caps w:val="0"/>
          <w:color w:val="000000"/>
          <w:spacing w:val="0"/>
          <w:sz w:val="32"/>
          <w:szCs w:val="32"/>
          <w:shd w:val="clear" w:color="auto" w:fill="FFFFFF"/>
        </w:rPr>
        <w:t>55</w:t>
      </w:r>
      <w:r>
        <w:rPr>
          <w:rFonts w:hint="eastAsia" w:ascii="仿宋_GB2312" w:hAnsi="Times New Roman" w:eastAsia="仿宋_GB2312" w:cs="仿宋_GB2312"/>
          <w:i w:val="0"/>
          <w:iCs w:val="0"/>
          <w:caps w:val="0"/>
          <w:color w:val="000000"/>
          <w:spacing w:val="0"/>
          <w:sz w:val="32"/>
          <w:szCs w:val="32"/>
          <w:shd w:val="clear" w:color="auto" w:fill="FFFFFF"/>
        </w:rPr>
        <w:t>种，药品平均降价</w:t>
      </w:r>
      <w:r>
        <w:rPr>
          <w:rFonts w:hint="default" w:ascii="Times New Roman" w:hAnsi="Times New Roman" w:eastAsia="等线" w:cs="Times New Roman"/>
          <w:i w:val="0"/>
          <w:iCs w:val="0"/>
          <w:caps w:val="0"/>
          <w:color w:val="000000"/>
          <w:spacing w:val="0"/>
          <w:sz w:val="32"/>
          <w:szCs w:val="32"/>
          <w:shd w:val="clear" w:color="auto" w:fill="FFFFFF"/>
        </w:rPr>
        <w:t>53%</w:t>
      </w:r>
      <w:r>
        <w:rPr>
          <w:rFonts w:hint="eastAsia" w:ascii="仿宋_GB2312" w:hAnsi="Times New Roman" w:eastAsia="仿宋_GB2312" w:cs="仿宋_GB2312"/>
          <w:i w:val="0"/>
          <w:iCs w:val="0"/>
          <w:caps w:val="0"/>
          <w:color w:val="000000"/>
          <w:spacing w:val="0"/>
          <w:sz w:val="32"/>
          <w:szCs w:val="32"/>
          <w:shd w:val="clear" w:color="auto" w:fill="FFFFFF"/>
        </w:rPr>
        <w:t>，耗材平均降价</w:t>
      </w:r>
      <w:r>
        <w:rPr>
          <w:rFonts w:hint="default" w:ascii="Times New Roman" w:hAnsi="Times New Roman" w:eastAsia="等线" w:cs="Times New Roman"/>
          <w:i w:val="0"/>
          <w:iCs w:val="0"/>
          <w:caps w:val="0"/>
          <w:color w:val="000000"/>
          <w:spacing w:val="0"/>
          <w:sz w:val="32"/>
          <w:szCs w:val="32"/>
          <w:shd w:val="clear" w:color="auto" w:fill="FFFFFF"/>
        </w:rPr>
        <w:t>69%</w:t>
      </w:r>
      <w:r>
        <w:rPr>
          <w:rFonts w:hint="eastAsia" w:ascii="仿宋_GB2312" w:hAnsi="Times New Roman" w:eastAsia="仿宋_GB2312" w:cs="仿宋_GB2312"/>
          <w:i w:val="0"/>
          <w:iCs w:val="0"/>
          <w:caps w:val="0"/>
          <w:color w:val="000000"/>
          <w:spacing w:val="0"/>
          <w:sz w:val="32"/>
          <w:szCs w:val="32"/>
          <w:shd w:val="clear" w:color="auto" w:fill="FFFFFF"/>
        </w:rPr>
        <w:t>，集采相关工作经验入选《中国医疗保障年鉴》。</w:t>
      </w:r>
      <w:r>
        <w:rPr>
          <w:rFonts w:hint="eastAsia" w:ascii="仿宋_GB2312" w:hAnsi="Times New Roman" w:eastAsia="仿宋_GB2312" w:cs="仿宋_GB2312"/>
          <w:b/>
          <w:bCs/>
          <w:i w:val="0"/>
          <w:iCs w:val="0"/>
          <w:caps w:val="0"/>
          <w:color w:val="000000"/>
          <w:spacing w:val="0"/>
          <w:sz w:val="32"/>
          <w:szCs w:val="32"/>
          <w:shd w:val="clear" w:color="auto" w:fill="FFFFFF"/>
        </w:rPr>
        <w:t>三是深化医疗服务项目价格改革。</w:t>
      </w:r>
      <w:r>
        <w:rPr>
          <w:rFonts w:hint="eastAsia" w:ascii="仿宋_GB2312" w:hAnsi="Times New Roman" w:eastAsia="仿宋_GB2312" w:cs="仿宋_GB2312"/>
          <w:i w:val="0"/>
          <w:iCs w:val="0"/>
          <w:caps w:val="0"/>
          <w:color w:val="000000"/>
          <w:spacing w:val="0"/>
          <w:sz w:val="32"/>
          <w:szCs w:val="32"/>
          <w:shd w:val="clear" w:color="auto" w:fill="FFFFFF"/>
        </w:rPr>
        <w:t>高质量完成全市医疗服务项目价格监测评估及动态调整工作，落实</w:t>
      </w:r>
      <w:r>
        <w:rPr>
          <w:rFonts w:hint="default" w:ascii="Times New Roman" w:hAnsi="Times New Roman" w:eastAsia="等线" w:cs="Times New Roman"/>
          <w:i w:val="0"/>
          <w:iCs w:val="0"/>
          <w:caps w:val="0"/>
          <w:color w:val="000000"/>
          <w:spacing w:val="0"/>
          <w:sz w:val="32"/>
          <w:szCs w:val="32"/>
          <w:shd w:val="clear" w:color="auto" w:fill="FFFFFF"/>
        </w:rPr>
        <w:t>18</w:t>
      </w:r>
      <w:r>
        <w:rPr>
          <w:rFonts w:hint="eastAsia" w:ascii="仿宋_GB2312" w:hAnsi="Times New Roman" w:eastAsia="仿宋_GB2312" w:cs="仿宋_GB2312"/>
          <w:i w:val="0"/>
          <w:iCs w:val="0"/>
          <w:caps w:val="0"/>
          <w:color w:val="000000"/>
          <w:spacing w:val="0"/>
          <w:sz w:val="32"/>
          <w:szCs w:val="32"/>
          <w:shd w:val="clear" w:color="auto" w:fill="FFFFFF"/>
        </w:rPr>
        <w:t>批国家立项指南进行系统性规范整合与修订，新增</w:t>
      </w:r>
      <w:r>
        <w:rPr>
          <w:rFonts w:hint="default" w:ascii="Times New Roman" w:hAnsi="Times New Roman" w:eastAsia="等线" w:cs="Times New Roman"/>
          <w:i w:val="0"/>
          <w:iCs w:val="0"/>
          <w:caps w:val="0"/>
          <w:color w:val="000000"/>
          <w:spacing w:val="0"/>
          <w:sz w:val="32"/>
          <w:szCs w:val="32"/>
          <w:shd w:val="clear" w:color="auto" w:fill="FFFFFF"/>
        </w:rPr>
        <w:t>7</w:t>
      </w:r>
      <w:r>
        <w:rPr>
          <w:rFonts w:hint="eastAsia" w:ascii="仿宋_GB2312" w:hAnsi="Times New Roman" w:eastAsia="仿宋_GB2312" w:cs="仿宋_GB2312"/>
          <w:i w:val="0"/>
          <w:iCs w:val="0"/>
          <w:caps w:val="0"/>
          <w:color w:val="000000"/>
          <w:spacing w:val="0"/>
          <w:sz w:val="32"/>
          <w:szCs w:val="32"/>
          <w:shd w:val="clear" w:color="auto" w:fill="FFFFFF"/>
        </w:rPr>
        <w:t>批</w:t>
      </w:r>
      <w:r>
        <w:rPr>
          <w:rFonts w:hint="default" w:ascii="Times New Roman" w:hAnsi="Times New Roman" w:eastAsia="等线" w:cs="Times New Roman"/>
          <w:i w:val="0"/>
          <w:iCs w:val="0"/>
          <w:caps w:val="0"/>
          <w:color w:val="000000"/>
          <w:spacing w:val="0"/>
          <w:sz w:val="32"/>
          <w:szCs w:val="32"/>
          <w:shd w:val="clear" w:color="auto" w:fill="FFFFFF"/>
        </w:rPr>
        <w:t>314</w:t>
      </w:r>
      <w:r>
        <w:rPr>
          <w:rFonts w:hint="eastAsia" w:ascii="仿宋_GB2312" w:hAnsi="Times New Roman" w:eastAsia="仿宋_GB2312" w:cs="仿宋_GB2312"/>
          <w:i w:val="0"/>
          <w:iCs w:val="0"/>
          <w:caps w:val="0"/>
          <w:color w:val="000000"/>
          <w:spacing w:val="0"/>
          <w:sz w:val="32"/>
          <w:szCs w:val="32"/>
          <w:shd w:val="clear" w:color="auto" w:fill="FFFFFF"/>
        </w:rPr>
        <w:t>个医疗服务价格项目，积极推进放射检查类和治疗类医疗服务价格项目规范整合。通过降低检验检查类费用，全市医疗服务价格动态调整可用空间达</w:t>
      </w:r>
      <w:r>
        <w:rPr>
          <w:rFonts w:hint="default" w:ascii="Times New Roman" w:hAnsi="Times New Roman" w:eastAsia="等线" w:cs="Times New Roman"/>
          <w:i w:val="0"/>
          <w:iCs w:val="0"/>
          <w:caps w:val="0"/>
          <w:color w:val="000000"/>
          <w:spacing w:val="0"/>
          <w:sz w:val="32"/>
          <w:szCs w:val="32"/>
          <w:shd w:val="clear" w:color="auto" w:fill="FFFFFF"/>
        </w:rPr>
        <w:t>8615.1</w:t>
      </w:r>
      <w:r>
        <w:rPr>
          <w:rFonts w:hint="eastAsia" w:ascii="仿宋_GB2312" w:hAnsi="Times New Roman" w:eastAsia="仿宋_GB2312" w:cs="仿宋_GB2312"/>
          <w:i w:val="0"/>
          <w:iCs w:val="0"/>
          <w:caps w:val="0"/>
          <w:color w:val="000000"/>
          <w:spacing w:val="0"/>
          <w:sz w:val="32"/>
          <w:szCs w:val="32"/>
          <w:shd w:val="clear" w:color="auto" w:fill="FFFFFF"/>
        </w:rPr>
        <w:t>万元。</w:t>
      </w:r>
    </w:p>
    <w:p w14:paraId="7575926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Times New Roman" w:hAnsi="Times New Roman" w:eastAsia="楷体_GB2312" w:cs="Times New Roman"/>
          <w:b/>
          <w:bCs/>
          <w:i w:val="0"/>
          <w:iCs w:val="0"/>
          <w:caps w:val="0"/>
          <w:color w:val="000000"/>
          <w:spacing w:val="0"/>
          <w:sz w:val="32"/>
          <w:szCs w:val="32"/>
          <w:shd w:val="clear" w:color="auto" w:fill="FFFFFF"/>
        </w:rPr>
        <w:t>5.</w:t>
      </w:r>
      <w:r>
        <w:rPr>
          <w:rFonts w:hint="eastAsia" w:ascii="楷体_GB2312" w:hAnsi="Times New Roman" w:eastAsia="楷体_GB2312" w:cs="楷体_GB2312"/>
          <w:b/>
          <w:bCs/>
          <w:i w:val="0"/>
          <w:iCs w:val="0"/>
          <w:caps w:val="0"/>
          <w:color w:val="000000"/>
          <w:spacing w:val="0"/>
          <w:sz w:val="32"/>
          <w:szCs w:val="32"/>
          <w:shd w:val="clear" w:color="auto" w:fill="FFFFFF"/>
        </w:rPr>
        <w:t>紧扣提质增效，服务体验优化升级。</w:t>
      </w:r>
      <w:r>
        <w:rPr>
          <w:rFonts w:hint="eastAsia" w:ascii="仿宋_GB2312" w:hAnsi="Times New Roman" w:eastAsia="仿宋_GB2312" w:cs="仿宋_GB2312"/>
          <w:b/>
          <w:bCs/>
          <w:i w:val="0"/>
          <w:iCs w:val="0"/>
          <w:caps w:val="0"/>
          <w:color w:val="000000"/>
          <w:spacing w:val="0"/>
          <w:sz w:val="32"/>
          <w:szCs w:val="32"/>
          <w:shd w:val="clear" w:color="auto" w:fill="FFFFFF"/>
        </w:rPr>
        <w:t>一是智慧医保有序推进。</w:t>
      </w:r>
      <w:r>
        <w:rPr>
          <w:rFonts w:hint="eastAsia" w:ascii="仿宋_GB2312" w:hAnsi="Times New Roman" w:eastAsia="仿宋_GB2312" w:cs="仿宋_GB2312"/>
          <w:i w:val="0"/>
          <w:iCs w:val="0"/>
          <w:caps w:val="0"/>
          <w:color w:val="000000"/>
          <w:spacing w:val="0"/>
          <w:sz w:val="32"/>
          <w:szCs w:val="32"/>
          <w:shd w:val="clear" w:color="auto" w:fill="FFFFFF"/>
        </w:rPr>
        <w:t>先后争取能建资金、医疗救助资金、城乡居民财政补助资金</w:t>
      </w:r>
      <w:r>
        <w:rPr>
          <w:rFonts w:hint="default" w:ascii="Times New Roman" w:hAnsi="Times New Roman" w:eastAsia="等线" w:cs="Times New Roman"/>
          <w:i w:val="0"/>
          <w:iCs w:val="0"/>
          <w:caps w:val="0"/>
          <w:color w:val="000000"/>
          <w:spacing w:val="0"/>
          <w:sz w:val="32"/>
          <w:szCs w:val="32"/>
          <w:shd w:val="clear" w:color="auto" w:fill="FFFFFF"/>
        </w:rPr>
        <w:t>27.31</w:t>
      </w:r>
      <w:r>
        <w:rPr>
          <w:rFonts w:hint="eastAsia" w:ascii="仿宋_GB2312" w:hAnsi="Times New Roman" w:eastAsia="仿宋_GB2312" w:cs="仿宋_GB2312"/>
          <w:i w:val="0"/>
          <w:iCs w:val="0"/>
          <w:caps w:val="0"/>
          <w:color w:val="000000"/>
          <w:spacing w:val="0"/>
          <w:sz w:val="32"/>
          <w:szCs w:val="32"/>
          <w:shd w:val="clear" w:color="auto" w:fill="FFFFFF"/>
        </w:rPr>
        <w:t>亿元，积极开展定点医药机构协议上传、基金结算清单三率工作，全面推进电子处方流转、医保码应用、数据专区和应用场景建设。全市医保码激活率达</w:t>
      </w:r>
      <w:r>
        <w:rPr>
          <w:rFonts w:hint="default" w:ascii="Times New Roman" w:hAnsi="Times New Roman" w:eastAsia="等线" w:cs="Times New Roman"/>
          <w:i w:val="0"/>
          <w:iCs w:val="0"/>
          <w:caps w:val="0"/>
          <w:color w:val="000000"/>
          <w:spacing w:val="0"/>
          <w:sz w:val="32"/>
          <w:szCs w:val="32"/>
          <w:shd w:val="clear" w:color="auto" w:fill="FFFFFF"/>
        </w:rPr>
        <w:t>85.86%</w:t>
      </w:r>
      <w:r>
        <w:rPr>
          <w:rFonts w:hint="eastAsia" w:ascii="仿宋_GB2312" w:hAnsi="Times New Roman" w:eastAsia="仿宋_GB2312" w:cs="仿宋_GB2312"/>
          <w:i w:val="0"/>
          <w:iCs w:val="0"/>
          <w:caps w:val="0"/>
          <w:color w:val="000000"/>
          <w:spacing w:val="0"/>
          <w:sz w:val="32"/>
          <w:szCs w:val="32"/>
          <w:shd w:val="clear" w:color="auto" w:fill="FFFFFF"/>
        </w:rPr>
        <w:t>，</w:t>
      </w:r>
      <w:r>
        <w:rPr>
          <w:rFonts w:hint="default" w:ascii="Times New Roman" w:hAnsi="Times New Roman" w:eastAsia="等线" w:cs="Times New Roman"/>
          <w:i w:val="0"/>
          <w:iCs w:val="0"/>
          <w:caps w:val="0"/>
          <w:color w:val="000000"/>
          <w:spacing w:val="0"/>
          <w:sz w:val="32"/>
          <w:szCs w:val="32"/>
          <w:shd w:val="clear" w:color="auto" w:fill="FFFFFF"/>
        </w:rPr>
        <w:t>127</w:t>
      </w:r>
      <w:r>
        <w:rPr>
          <w:rFonts w:hint="eastAsia" w:ascii="仿宋_GB2312" w:hAnsi="Times New Roman" w:eastAsia="仿宋_GB2312" w:cs="仿宋_GB2312"/>
          <w:i w:val="0"/>
          <w:iCs w:val="0"/>
          <w:caps w:val="0"/>
          <w:color w:val="000000"/>
          <w:spacing w:val="0"/>
          <w:sz w:val="32"/>
          <w:szCs w:val="32"/>
          <w:shd w:val="clear" w:color="auto" w:fill="FFFFFF"/>
        </w:rPr>
        <w:t>家定点医药机构接入医保电子处方，实现乡镇及以上医院医保</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刷脸</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支付以及三级医院医保移动支付全覆盖，全市</w:t>
      </w:r>
      <w:r>
        <w:rPr>
          <w:rFonts w:hint="default" w:ascii="Times New Roman" w:hAnsi="Times New Roman" w:eastAsia="等线" w:cs="Times New Roman"/>
          <w:i w:val="0"/>
          <w:iCs w:val="0"/>
          <w:caps w:val="0"/>
          <w:color w:val="000000"/>
          <w:spacing w:val="0"/>
          <w:sz w:val="32"/>
          <w:szCs w:val="32"/>
          <w:shd w:val="clear" w:color="auto" w:fill="FFFFFF"/>
        </w:rPr>
        <w:t>90%</w:t>
      </w:r>
      <w:r>
        <w:rPr>
          <w:rFonts w:hint="eastAsia" w:ascii="仿宋_GB2312" w:hAnsi="Times New Roman" w:eastAsia="仿宋_GB2312" w:cs="仿宋_GB2312"/>
          <w:i w:val="0"/>
          <w:iCs w:val="0"/>
          <w:caps w:val="0"/>
          <w:color w:val="000000"/>
          <w:spacing w:val="0"/>
          <w:sz w:val="32"/>
          <w:szCs w:val="32"/>
          <w:shd w:val="clear" w:color="auto" w:fill="FFFFFF"/>
        </w:rPr>
        <w:t>以上的</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双通道</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定点医药机构已成功接入省级电子处方流转平台。</w:t>
      </w:r>
      <w:r>
        <w:rPr>
          <w:rFonts w:hint="eastAsia" w:ascii="仿宋_GB2312" w:hAnsi="Times New Roman" w:eastAsia="仿宋_GB2312" w:cs="仿宋_GB2312"/>
          <w:b/>
          <w:bCs/>
          <w:i w:val="0"/>
          <w:iCs w:val="0"/>
          <w:caps w:val="0"/>
          <w:color w:val="000000"/>
          <w:spacing w:val="0"/>
          <w:sz w:val="32"/>
          <w:szCs w:val="32"/>
          <w:shd w:val="clear" w:color="auto" w:fill="FFFFFF"/>
        </w:rPr>
        <w:t>二是异地就医更加便捷。</w:t>
      </w:r>
      <w:r>
        <w:rPr>
          <w:rFonts w:hint="eastAsia" w:ascii="仿宋_GB2312" w:hAnsi="Times New Roman" w:eastAsia="仿宋_GB2312" w:cs="仿宋_GB2312"/>
          <w:i w:val="0"/>
          <w:iCs w:val="0"/>
          <w:caps w:val="0"/>
          <w:color w:val="000000"/>
          <w:spacing w:val="0"/>
          <w:sz w:val="32"/>
          <w:szCs w:val="32"/>
          <w:shd w:val="clear" w:color="auto" w:fill="FFFFFF"/>
        </w:rPr>
        <w:t>全市共</w:t>
      </w:r>
      <w:r>
        <w:rPr>
          <w:rFonts w:hint="default" w:ascii="Times New Roman" w:hAnsi="Times New Roman" w:eastAsia="等线" w:cs="Times New Roman"/>
          <w:i w:val="0"/>
          <w:iCs w:val="0"/>
          <w:caps w:val="0"/>
          <w:color w:val="000000"/>
          <w:spacing w:val="0"/>
          <w:sz w:val="32"/>
          <w:szCs w:val="32"/>
          <w:shd w:val="clear" w:color="auto" w:fill="FFFFFF"/>
        </w:rPr>
        <w:t>217</w:t>
      </w:r>
      <w:r>
        <w:rPr>
          <w:rFonts w:hint="eastAsia" w:ascii="仿宋_GB2312" w:hAnsi="Times New Roman" w:eastAsia="仿宋_GB2312" w:cs="仿宋_GB2312"/>
          <w:i w:val="0"/>
          <w:iCs w:val="0"/>
          <w:caps w:val="0"/>
          <w:color w:val="000000"/>
          <w:spacing w:val="0"/>
          <w:sz w:val="32"/>
          <w:szCs w:val="32"/>
          <w:shd w:val="clear" w:color="auto" w:fill="FFFFFF"/>
        </w:rPr>
        <w:t>家医疗机构开通住院、门诊费用跨省异地就医直接结算，</w:t>
      </w:r>
      <w:r>
        <w:rPr>
          <w:rFonts w:hint="default" w:ascii="Times New Roman" w:hAnsi="Times New Roman" w:eastAsia="等线" w:cs="Times New Roman"/>
          <w:i w:val="0"/>
          <w:iCs w:val="0"/>
          <w:caps w:val="0"/>
          <w:color w:val="000000"/>
          <w:spacing w:val="0"/>
          <w:sz w:val="32"/>
          <w:szCs w:val="32"/>
          <w:shd w:val="clear" w:color="auto" w:fill="FFFFFF"/>
        </w:rPr>
        <w:t>184</w:t>
      </w:r>
      <w:r>
        <w:rPr>
          <w:rFonts w:hint="eastAsia" w:ascii="仿宋_GB2312" w:hAnsi="Times New Roman" w:eastAsia="仿宋_GB2312" w:cs="仿宋_GB2312"/>
          <w:i w:val="0"/>
          <w:iCs w:val="0"/>
          <w:caps w:val="0"/>
          <w:color w:val="000000"/>
          <w:spacing w:val="0"/>
          <w:sz w:val="32"/>
          <w:szCs w:val="32"/>
          <w:shd w:val="clear" w:color="auto" w:fill="FFFFFF"/>
        </w:rPr>
        <w:t>家同步开通门诊慢特病费用异地直接结算。</w:t>
      </w:r>
      <w:r>
        <w:rPr>
          <w:rFonts w:hint="default" w:ascii="Times New Roman" w:hAnsi="Times New Roman" w:eastAsia="等线" w:cs="Times New Roman"/>
          <w:i w:val="0"/>
          <w:iCs w:val="0"/>
          <w:caps w:val="0"/>
          <w:color w:val="000000"/>
          <w:spacing w:val="0"/>
          <w:sz w:val="32"/>
          <w:szCs w:val="32"/>
          <w:shd w:val="clear" w:color="auto" w:fill="FFFFFF"/>
        </w:rPr>
        <w:t>916</w:t>
      </w:r>
      <w:r>
        <w:rPr>
          <w:rFonts w:hint="eastAsia" w:ascii="仿宋_GB2312" w:hAnsi="Times New Roman" w:eastAsia="仿宋_GB2312" w:cs="仿宋_GB2312"/>
          <w:i w:val="0"/>
          <w:iCs w:val="0"/>
          <w:caps w:val="0"/>
          <w:color w:val="000000"/>
          <w:spacing w:val="0"/>
          <w:sz w:val="32"/>
          <w:szCs w:val="32"/>
          <w:shd w:val="clear" w:color="auto" w:fill="FFFFFF"/>
        </w:rPr>
        <w:t>家零售药店开通个账购药跨省异地就医直接结算。住院费用跨省、省内异地及门诊费用省内异地直接结算率分别达</w:t>
      </w:r>
      <w:r>
        <w:rPr>
          <w:rFonts w:hint="default" w:ascii="Times New Roman" w:hAnsi="Times New Roman" w:eastAsia="等线" w:cs="Times New Roman"/>
          <w:i w:val="0"/>
          <w:iCs w:val="0"/>
          <w:caps w:val="0"/>
          <w:color w:val="000000"/>
          <w:spacing w:val="0"/>
          <w:sz w:val="32"/>
          <w:szCs w:val="32"/>
          <w:shd w:val="clear" w:color="auto" w:fill="FFFFFF"/>
        </w:rPr>
        <w:t>90.2%</w:t>
      </w:r>
      <w:r>
        <w:rPr>
          <w:rFonts w:hint="eastAsia" w:ascii="仿宋_GB2312" w:hAnsi="Times New Roman" w:eastAsia="仿宋_GB2312" w:cs="仿宋_GB2312"/>
          <w:i w:val="0"/>
          <w:iCs w:val="0"/>
          <w:caps w:val="0"/>
          <w:color w:val="000000"/>
          <w:spacing w:val="0"/>
          <w:sz w:val="32"/>
          <w:szCs w:val="32"/>
          <w:shd w:val="clear" w:color="auto" w:fill="FFFFFF"/>
        </w:rPr>
        <w:t>、</w:t>
      </w:r>
      <w:r>
        <w:rPr>
          <w:rFonts w:hint="default" w:ascii="Times New Roman" w:hAnsi="Times New Roman" w:eastAsia="等线" w:cs="Times New Roman"/>
          <w:i w:val="0"/>
          <w:iCs w:val="0"/>
          <w:caps w:val="0"/>
          <w:color w:val="000000"/>
          <w:spacing w:val="0"/>
          <w:sz w:val="32"/>
          <w:szCs w:val="32"/>
          <w:shd w:val="clear" w:color="auto" w:fill="FFFFFF"/>
        </w:rPr>
        <w:t>98.63%</w:t>
      </w:r>
      <w:r>
        <w:rPr>
          <w:rFonts w:hint="eastAsia" w:ascii="仿宋_GB2312" w:hAnsi="Times New Roman" w:eastAsia="仿宋_GB2312" w:cs="仿宋_GB2312"/>
          <w:i w:val="0"/>
          <w:iCs w:val="0"/>
          <w:caps w:val="0"/>
          <w:color w:val="000000"/>
          <w:spacing w:val="0"/>
          <w:sz w:val="32"/>
          <w:szCs w:val="32"/>
          <w:shd w:val="clear" w:color="auto" w:fill="FFFFFF"/>
        </w:rPr>
        <w:t>、</w:t>
      </w:r>
      <w:r>
        <w:rPr>
          <w:rFonts w:hint="default" w:ascii="Times New Roman" w:hAnsi="Times New Roman" w:eastAsia="等线" w:cs="Times New Roman"/>
          <w:i w:val="0"/>
          <w:iCs w:val="0"/>
          <w:caps w:val="0"/>
          <w:color w:val="000000"/>
          <w:spacing w:val="0"/>
          <w:sz w:val="32"/>
          <w:szCs w:val="32"/>
          <w:shd w:val="clear" w:color="auto" w:fill="FFFFFF"/>
        </w:rPr>
        <w:t>98.46%</w:t>
      </w:r>
      <w:r>
        <w:rPr>
          <w:rFonts w:hint="eastAsia" w:ascii="仿宋_GB2312" w:hAnsi="Times New Roman"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b/>
          <w:bCs/>
          <w:i w:val="0"/>
          <w:iCs w:val="0"/>
          <w:caps w:val="0"/>
          <w:color w:val="000000"/>
          <w:spacing w:val="0"/>
          <w:sz w:val="32"/>
          <w:szCs w:val="32"/>
          <w:shd w:val="clear" w:color="auto" w:fill="FFFFFF"/>
        </w:rPr>
        <w:t>三是服务效能稳步提升。</w:t>
      </w:r>
      <w:r>
        <w:rPr>
          <w:rFonts w:hint="eastAsia" w:ascii="仿宋_GB2312" w:hAnsi="Times New Roman" w:eastAsia="仿宋_GB2312" w:cs="仿宋_GB2312"/>
          <w:i w:val="0"/>
          <w:iCs w:val="0"/>
          <w:caps w:val="0"/>
          <w:color w:val="000000"/>
          <w:spacing w:val="0"/>
          <w:sz w:val="32"/>
          <w:szCs w:val="32"/>
          <w:shd w:val="clear" w:color="auto" w:fill="FFFFFF"/>
        </w:rPr>
        <w:t>扎实推进</w:t>
      </w:r>
      <w:r>
        <w:rPr>
          <w:rFonts w:hint="default" w:ascii="Times New Roman" w:hAnsi="Times New Roman" w:eastAsia="等线" w:cs="Times New Roman"/>
          <w:i w:val="0"/>
          <w:iCs w:val="0"/>
          <w:caps w:val="0"/>
          <w:color w:val="000000"/>
          <w:spacing w:val="0"/>
          <w:sz w:val="32"/>
          <w:szCs w:val="32"/>
          <w:shd w:val="clear" w:color="auto" w:fill="FFFFFF"/>
        </w:rPr>
        <w:t>2025</w:t>
      </w:r>
      <w:r>
        <w:rPr>
          <w:rFonts w:hint="eastAsia" w:ascii="仿宋_GB2312" w:hAnsi="Times New Roman" w:eastAsia="仿宋_GB2312" w:cs="仿宋_GB2312"/>
          <w:i w:val="0"/>
          <w:iCs w:val="0"/>
          <w:caps w:val="0"/>
          <w:color w:val="000000"/>
          <w:spacing w:val="0"/>
          <w:sz w:val="32"/>
          <w:szCs w:val="32"/>
          <w:shd w:val="clear" w:color="auto" w:fill="FFFFFF"/>
        </w:rPr>
        <w:t>年医保领域</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高效办成一件事</w:t>
      </w:r>
      <w:r>
        <w:rPr>
          <w:rFonts w:hint="default" w:ascii="Times New Roman" w:hAnsi="Times New Roman" w:eastAsia="等线" w:cs="Times New Roman"/>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重点事项落地见效</w:t>
      </w:r>
      <w:r>
        <w:rPr>
          <w:rFonts w:hint="eastAsia" w:ascii="仿宋_GB2312" w:hAnsi="仿宋" w:eastAsia="仿宋_GB2312" w:cs="仿宋_GB2312"/>
          <w:i w:val="0"/>
          <w:iCs w:val="0"/>
          <w:caps w:val="0"/>
          <w:color w:val="000000"/>
          <w:spacing w:val="0"/>
          <w:sz w:val="32"/>
          <w:szCs w:val="32"/>
          <w:shd w:val="clear" w:color="auto" w:fill="FFFFFF"/>
        </w:rPr>
        <w:t>，</w:t>
      </w:r>
      <w:r>
        <w:rPr>
          <w:rFonts w:hint="eastAsia" w:ascii="仿宋_GB2312" w:hAnsi="Times New Roman" w:eastAsia="仿宋_GB2312" w:cs="仿宋_GB2312"/>
          <w:i w:val="0"/>
          <w:iCs w:val="0"/>
          <w:caps w:val="0"/>
          <w:color w:val="000000"/>
          <w:spacing w:val="0"/>
          <w:sz w:val="32"/>
          <w:szCs w:val="32"/>
          <w:shd w:val="clear" w:color="auto" w:fill="FFFFFF"/>
        </w:rPr>
        <w:t>制定惠民提效</w:t>
      </w:r>
      <w:r>
        <w:rPr>
          <w:rFonts w:hint="default" w:ascii="Times New Roman" w:hAnsi="Times New Roman" w:eastAsia="等线" w:cs="Times New Roman"/>
          <w:i w:val="0"/>
          <w:iCs w:val="0"/>
          <w:caps w:val="0"/>
          <w:color w:val="000000"/>
          <w:spacing w:val="0"/>
          <w:sz w:val="32"/>
          <w:szCs w:val="32"/>
          <w:shd w:val="clear" w:color="auto" w:fill="FFFFFF"/>
        </w:rPr>
        <w:t>28</w:t>
      </w:r>
      <w:r>
        <w:rPr>
          <w:rFonts w:hint="eastAsia" w:ascii="仿宋_GB2312" w:hAnsi="Times New Roman" w:eastAsia="仿宋_GB2312" w:cs="仿宋_GB2312"/>
          <w:i w:val="0"/>
          <w:iCs w:val="0"/>
          <w:caps w:val="0"/>
          <w:color w:val="000000"/>
          <w:spacing w:val="0"/>
          <w:sz w:val="32"/>
          <w:szCs w:val="32"/>
          <w:shd w:val="clear" w:color="auto" w:fill="FFFFFF"/>
        </w:rPr>
        <w:t>项举措任务清单，不断提升群众医保获得感；建立健全医保数据定期发布机制，举办全省首场医保数据发布会，相关经验先后被《湖南日报》《学习强国》等媒体平台报道转载。</w:t>
      </w:r>
    </w:p>
    <w:p w14:paraId="301DB52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Times New Roman" w:hAnsi="Times New Roman" w:eastAsia="楷体_GB2312" w:cs="Times New Roman"/>
          <w:b/>
          <w:bCs/>
          <w:i w:val="0"/>
          <w:iCs w:val="0"/>
          <w:caps w:val="0"/>
          <w:color w:val="000000"/>
          <w:spacing w:val="0"/>
          <w:sz w:val="32"/>
          <w:szCs w:val="32"/>
          <w:shd w:val="clear" w:color="auto" w:fill="FFFFFF"/>
        </w:rPr>
        <w:t>6.</w:t>
      </w:r>
      <w:r>
        <w:rPr>
          <w:rFonts w:hint="eastAsia" w:ascii="楷体_GB2312" w:hAnsi="楷体_GB2312" w:eastAsia="楷体_GB2312" w:cs="楷体_GB2312"/>
          <w:b/>
          <w:bCs/>
          <w:i w:val="0"/>
          <w:iCs w:val="0"/>
          <w:caps w:val="0"/>
          <w:color w:val="000000"/>
          <w:spacing w:val="0"/>
          <w:sz w:val="32"/>
          <w:szCs w:val="32"/>
          <w:shd w:val="clear" w:color="auto" w:fill="FFFFFF"/>
        </w:rPr>
        <w:t>强化政治引领，队伍建设活力迸发。</w:t>
      </w:r>
      <w:r>
        <w:rPr>
          <w:rFonts w:hint="eastAsia" w:ascii="仿宋_GB2312" w:hAnsi="仿宋" w:eastAsia="仿宋_GB2312" w:cs="仿宋_GB2312"/>
          <w:b/>
          <w:bCs/>
          <w:i w:val="0"/>
          <w:iCs w:val="0"/>
          <w:caps w:val="0"/>
          <w:color w:val="000000"/>
          <w:spacing w:val="0"/>
          <w:sz w:val="32"/>
          <w:szCs w:val="32"/>
          <w:shd w:val="clear" w:color="auto" w:fill="FFFFFF"/>
        </w:rPr>
        <w:t>一是坚持理论武装。</w:t>
      </w:r>
      <w:r>
        <w:rPr>
          <w:rFonts w:hint="eastAsia" w:ascii="仿宋_GB2312" w:hAnsi="仿宋" w:eastAsia="仿宋_GB2312" w:cs="仿宋_GB2312"/>
          <w:i w:val="0"/>
          <w:iCs w:val="0"/>
          <w:caps w:val="0"/>
          <w:color w:val="000000"/>
          <w:spacing w:val="0"/>
          <w:sz w:val="32"/>
          <w:szCs w:val="32"/>
          <w:shd w:val="clear" w:color="auto" w:fill="FFFFFF"/>
        </w:rPr>
        <w:t>深入学习贯彻习近平新时代中国特色社会主义思想、党的二十届四中全会精神、《习近平论治国理政》第五卷。认真落实党组“第一议题”、中心组学习制度，所属支部开展“一月一课一片一实践”主题党日活动和集中学习研讨</w:t>
      </w:r>
      <w:r>
        <w:rPr>
          <w:rFonts w:hint="default" w:ascii="Times New Roman" w:hAnsi="Times New Roman" w:eastAsia="仿宋" w:cs="Times New Roman"/>
          <w:i w:val="0"/>
          <w:iCs w:val="0"/>
          <w:caps w:val="0"/>
          <w:color w:val="000000"/>
          <w:spacing w:val="0"/>
          <w:sz w:val="32"/>
          <w:szCs w:val="32"/>
          <w:shd w:val="clear" w:color="auto" w:fill="FFFFFF"/>
        </w:rPr>
        <w:t>12</w:t>
      </w:r>
      <w:r>
        <w:rPr>
          <w:rFonts w:hint="eastAsia" w:ascii="仿宋_GB2312" w:hAnsi="仿宋" w:eastAsia="仿宋_GB2312" w:cs="仿宋_GB2312"/>
          <w:i w:val="0"/>
          <w:iCs w:val="0"/>
          <w:caps w:val="0"/>
          <w:color w:val="000000"/>
          <w:spacing w:val="0"/>
          <w:sz w:val="32"/>
          <w:szCs w:val="32"/>
          <w:shd w:val="clear" w:color="auto" w:fill="FFFFFF"/>
        </w:rPr>
        <w:t>次，班子成员上党课各</w:t>
      </w:r>
      <w:r>
        <w:rPr>
          <w:rFonts w:hint="default" w:ascii="Times New Roman" w:hAnsi="Times New Roman" w:eastAsia="仿宋" w:cs="Times New Roman"/>
          <w:i w:val="0"/>
          <w:iCs w:val="0"/>
          <w:caps w:val="0"/>
          <w:color w:val="000000"/>
          <w:spacing w:val="0"/>
          <w:sz w:val="32"/>
          <w:szCs w:val="32"/>
          <w:shd w:val="clear" w:color="auto" w:fill="FFFFFF"/>
        </w:rPr>
        <w:t>1</w:t>
      </w:r>
      <w:r>
        <w:rPr>
          <w:rFonts w:hint="eastAsia" w:ascii="仿宋_GB2312" w:hAnsi="仿宋" w:eastAsia="仿宋_GB2312" w:cs="仿宋_GB2312"/>
          <w:i w:val="0"/>
          <w:iCs w:val="0"/>
          <w:caps w:val="0"/>
          <w:color w:val="000000"/>
          <w:spacing w:val="0"/>
          <w:sz w:val="32"/>
          <w:szCs w:val="32"/>
          <w:shd w:val="clear" w:color="auto" w:fill="FFFFFF"/>
        </w:rPr>
        <w:t>次。</w:t>
      </w:r>
      <w:r>
        <w:rPr>
          <w:rFonts w:hint="eastAsia" w:ascii="仿宋_GB2312" w:hAnsi="仿宋" w:eastAsia="仿宋_GB2312" w:cs="仿宋_GB2312"/>
          <w:b/>
          <w:bCs/>
          <w:i w:val="0"/>
          <w:iCs w:val="0"/>
          <w:caps w:val="0"/>
          <w:color w:val="000000"/>
          <w:spacing w:val="0"/>
          <w:sz w:val="32"/>
          <w:szCs w:val="32"/>
          <w:shd w:val="clear" w:color="auto" w:fill="FFFFFF"/>
        </w:rPr>
        <w:t>二是坚持履职尽责。</w:t>
      </w:r>
      <w:r>
        <w:rPr>
          <w:rFonts w:hint="eastAsia" w:ascii="仿宋_GB2312" w:hAnsi="仿宋" w:eastAsia="仿宋_GB2312" w:cs="仿宋_GB2312"/>
          <w:i w:val="0"/>
          <w:iCs w:val="0"/>
          <w:caps w:val="0"/>
          <w:color w:val="000000"/>
          <w:spacing w:val="0"/>
          <w:sz w:val="32"/>
          <w:szCs w:val="32"/>
          <w:shd w:val="clear" w:color="auto" w:fill="FFFFFF"/>
        </w:rPr>
        <w:t>持续推进“走找想促”“四下基层”活动，走访调研帮扶村、医药机构及企业</w:t>
      </w:r>
      <w:r>
        <w:rPr>
          <w:rFonts w:hint="default" w:ascii="Times New Roman" w:hAnsi="Times New Roman" w:eastAsia="仿宋" w:cs="Times New Roman"/>
          <w:i w:val="0"/>
          <w:iCs w:val="0"/>
          <w:caps w:val="0"/>
          <w:color w:val="000000"/>
          <w:spacing w:val="0"/>
          <w:sz w:val="32"/>
          <w:szCs w:val="32"/>
          <w:shd w:val="clear" w:color="auto" w:fill="FFFFFF"/>
        </w:rPr>
        <w:t>50</w:t>
      </w:r>
      <w:r>
        <w:rPr>
          <w:rFonts w:hint="eastAsia" w:ascii="仿宋_GB2312" w:hAnsi="仿宋" w:eastAsia="仿宋_GB2312" w:cs="仿宋_GB2312"/>
          <w:i w:val="0"/>
          <w:iCs w:val="0"/>
          <w:caps w:val="0"/>
          <w:color w:val="000000"/>
          <w:spacing w:val="0"/>
          <w:sz w:val="32"/>
          <w:szCs w:val="32"/>
          <w:shd w:val="clear" w:color="auto" w:fill="FFFFFF"/>
        </w:rPr>
        <w:t>余家次，收集并解决问题</w:t>
      </w:r>
      <w:r>
        <w:rPr>
          <w:rFonts w:hint="default" w:ascii="Times New Roman" w:hAnsi="Times New Roman" w:eastAsia="仿宋" w:cs="Times New Roman"/>
          <w:i w:val="0"/>
          <w:iCs w:val="0"/>
          <w:caps w:val="0"/>
          <w:color w:val="000000"/>
          <w:spacing w:val="0"/>
          <w:sz w:val="32"/>
          <w:szCs w:val="32"/>
          <w:shd w:val="clear" w:color="auto" w:fill="FFFFFF"/>
        </w:rPr>
        <w:t>29</w:t>
      </w:r>
      <w:r>
        <w:rPr>
          <w:rFonts w:hint="eastAsia" w:ascii="仿宋_GB2312" w:hAnsi="仿宋" w:eastAsia="仿宋_GB2312" w:cs="仿宋_GB2312"/>
          <w:i w:val="0"/>
          <w:iCs w:val="0"/>
          <w:caps w:val="0"/>
          <w:color w:val="000000"/>
          <w:spacing w:val="0"/>
          <w:sz w:val="32"/>
          <w:szCs w:val="32"/>
          <w:shd w:val="clear" w:color="auto" w:fill="FFFFFF"/>
        </w:rPr>
        <w:t>个。组织召开面向参保群众及医疗机构各类业务政策巡回培训会近</w:t>
      </w:r>
      <w:r>
        <w:rPr>
          <w:rFonts w:hint="default" w:ascii="Times New Roman" w:hAnsi="Times New Roman" w:eastAsia="仿宋" w:cs="Times New Roman"/>
          <w:i w:val="0"/>
          <w:iCs w:val="0"/>
          <w:caps w:val="0"/>
          <w:color w:val="000000"/>
          <w:spacing w:val="0"/>
          <w:sz w:val="32"/>
          <w:szCs w:val="32"/>
          <w:shd w:val="clear" w:color="auto" w:fill="FFFFFF"/>
        </w:rPr>
        <w:t>30</w:t>
      </w:r>
      <w:r>
        <w:rPr>
          <w:rFonts w:hint="eastAsia" w:ascii="仿宋_GB2312" w:hAnsi="仿宋" w:eastAsia="仿宋_GB2312" w:cs="仿宋_GB2312"/>
          <w:i w:val="0"/>
          <w:iCs w:val="0"/>
          <w:caps w:val="0"/>
          <w:color w:val="000000"/>
          <w:spacing w:val="0"/>
          <w:sz w:val="32"/>
          <w:szCs w:val="32"/>
          <w:shd w:val="clear" w:color="auto" w:fill="FFFFFF"/>
        </w:rPr>
        <w:t>场，培训近万人次。</w:t>
      </w:r>
      <w:r>
        <w:rPr>
          <w:rFonts w:hint="eastAsia" w:ascii="仿宋_GB2312" w:hAnsi="仿宋" w:eastAsia="仿宋_GB2312" w:cs="仿宋_GB2312"/>
          <w:b/>
          <w:bCs/>
          <w:i w:val="0"/>
          <w:iCs w:val="0"/>
          <w:caps w:val="0"/>
          <w:color w:val="000000"/>
          <w:spacing w:val="0"/>
          <w:sz w:val="32"/>
          <w:szCs w:val="32"/>
          <w:shd w:val="clear" w:color="auto" w:fill="FFFFFF"/>
        </w:rPr>
        <w:t>三是坚持正风肃纪。</w:t>
      </w:r>
      <w:r>
        <w:rPr>
          <w:rFonts w:hint="eastAsia" w:ascii="仿宋_GB2312" w:hAnsi="仿宋" w:eastAsia="仿宋_GB2312" w:cs="仿宋_GB2312"/>
          <w:i w:val="0"/>
          <w:iCs w:val="0"/>
          <w:caps w:val="0"/>
          <w:color w:val="000000"/>
          <w:spacing w:val="0"/>
          <w:sz w:val="32"/>
          <w:szCs w:val="32"/>
          <w:shd w:val="clear" w:color="auto" w:fill="FFFFFF"/>
        </w:rPr>
        <w:t>全市医保系统坚持全面从严治党，加强党风廉政建设，深入开展贯彻中央八项规定精神学习教育，党组班子及班子成员先后查找并落实整改问题</w:t>
      </w:r>
      <w:r>
        <w:rPr>
          <w:rFonts w:hint="default" w:ascii="Times New Roman" w:hAnsi="Times New Roman" w:eastAsia="仿宋" w:cs="Times New Roman"/>
          <w:i w:val="0"/>
          <w:iCs w:val="0"/>
          <w:caps w:val="0"/>
          <w:color w:val="000000"/>
          <w:spacing w:val="0"/>
          <w:sz w:val="32"/>
          <w:szCs w:val="32"/>
          <w:shd w:val="clear" w:color="auto" w:fill="FFFFFF"/>
        </w:rPr>
        <w:t>47</w:t>
      </w:r>
      <w:r>
        <w:rPr>
          <w:rFonts w:hint="eastAsia" w:ascii="仿宋_GB2312" w:hAnsi="仿宋" w:eastAsia="仿宋_GB2312" w:cs="仿宋_GB2312"/>
          <w:i w:val="0"/>
          <w:iCs w:val="0"/>
          <w:caps w:val="0"/>
          <w:color w:val="000000"/>
          <w:spacing w:val="0"/>
          <w:sz w:val="32"/>
          <w:szCs w:val="32"/>
          <w:shd w:val="clear" w:color="auto" w:fill="FFFFFF"/>
        </w:rPr>
        <w:t>个。集中观看警示教育片</w:t>
      </w:r>
      <w:r>
        <w:rPr>
          <w:rFonts w:hint="default" w:ascii="Times New Roman" w:hAnsi="Times New Roman" w:eastAsia="仿宋" w:cs="Times New Roman"/>
          <w:i w:val="0"/>
          <w:iCs w:val="0"/>
          <w:caps w:val="0"/>
          <w:color w:val="000000"/>
          <w:spacing w:val="0"/>
          <w:sz w:val="32"/>
          <w:szCs w:val="32"/>
          <w:shd w:val="clear" w:color="auto" w:fill="FFFFFF"/>
        </w:rPr>
        <w:t>3</w:t>
      </w:r>
      <w:r>
        <w:rPr>
          <w:rFonts w:hint="eastAsia" w:ascii="仿宋_GB2312" w:hAnsi="仿宋" w:eastAsia="仿宋_GB2312" w:cs="仿宋_GB2312"/>
          <w:i w:val="0"/>
          <w:iCs w:val="0"/>
          <w:caps w:val="0"/>
          <w:color w:val="000000"/>
          <w:spacing w:val="0"/>
          <w:sz w:val="32"/>
          <w:szCs w:val="32"/>
          <w:shd w:val="clear" w:color="auto" w:fill="FFFFFF"/>
        </w:rPr>
        <w:t>次，组织全体干部职工到怀化市监狱集中接受教育。完成了经济责任审计和医保基金专项审计发现的</w:t>
      </w:r>
      <w:r>
        <w:rPr>
          <w:rFonts w:hint="default" w:ascii="Times New Roman" w:hAnsi="Times New Roman" w:eastAsia="仿宋" w:cs="Times New Roman"/>
          <w:i w:val="0"/>
          <w:iCs w:val="0"/>
          <w:caps w:val="0"/>
          <w:color w:val="000000"/>
          <w:spacing w:val="0"/>
          <w:sz w:val="32"/>
          <w:szCs w:val="32"/>
          <w:shd w:val="clear" w:color="auto" w:fill="FFFFFF"/>
        </w:rPr>
        <w:t>15</w:t>
      </w:r>
      <w:r>
        <w:rPr>
          <w:rFonts w:hint="eastAsia" w:ascii="仿宋_GB2312" w:hAnsi="仿宋" w:eastAsia="仿宋_GB2312" w:cs="仿宋_GB2312"/>
          <w:i w:val="0"/>
          <w:iCs w:val="0"/>
          <w:caps w:val="0"/>
          <w:color w:val="000000"/>
          <w:spacing w:val="0"/>
          <w:sz w:val="32"/>
          <w:szCs w:val="32"/>
          <w:shd w:val="clear" w:color="auto" w:fill="FFFFFF"/>
        </w:rPr>
        <w:t>个问题整改工作。</w:t>
      </w:r>
    </w:p>
    <w:p w14:paraId="4D3AFDE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eastAsia" w:ascii="仿宋_GB2312" w:hAnsi="仿宋" w:eastAsia="仿宋_GB2312" w:cs="仿宋_GB2312"/>
          <w:i w:val="0"/>
          <w:iCs w:val="0"/>
          <w:caps w:val="0"/>
          <w:color w:val="000000"/>
          <w:spacing w:val="0"/>
          <w:sz w:val="32"/>
          <w:szCs w:val="32"/>
          <w:shd w:val="clear" w:color="auto" w:fill="FFFFFF"/>
        </w:rPr>
        <w:t>全市医保工作虽然取得一定成绩，但仍然存在差距。</w:t>
      </w:r>
      <w:r>
        <w:rPr>
          <w:rFonts w:hint="eastAsia" w:ascii="仿宋_GB2312" w:hAnsi="仿宋" w:eastAsia="仿宋_GB2312" w:cs="仿宋_GB2312"/>
          <w:b/>
          <w:bCs/>
          <w:i w:val="0"/>
          <w:iCs w:val="0"/>
          <w:caps w:val="0"/>
          <w:color w:val="000000"/>
          <w:spacing w:val="0"/>
          <w:sz w:val="32"/>
          <w:szCs w:val="32"/>
          <w:shd w:val="clear" w:color="auto" w:fill="FFFFFF"/>
        </w:rPr>
        <w:t>一是基金监管难度高。</w:t>
      </w:r>
      <w:r>
        <w:rPr>
          <w:rFonts w:hint="default" w:ascii="Times New Roman" w:hAnsi="Times New Roman" w:eastAsia="仿宋" w:cs="Times New Roman"/>
          <w:i w:val="0"/>
          <w:iCs w:val="0"/>
          <w:caps w:val="0"/>
          <w:color w:val="000000"/>
          <w:spacing w:val="0"/>
          <w:sz w:val="32"/>
          <w:szCs w:val="32"/>
          <w:shd w:val="clear" w:color="auto" w:fill="FFFFFF"/>
        </w:rPr>
        <w:t>DIP</w:t>
      </w:r>
      <w:r>
        <w:rPr>
          <w:rFonts w:hint="eastAsia" w:ascii="仿宋_GB2312" w:hAnsi="仿宋" w:eastAsia="仿宋_GB2312" w:cs="仿宋_GB2312"/>
          <w:i w:val="0"/>
          <w:iCs w:val="0"/>
          <w:caps w:val="0"/>
          <w:color w:val="000000"/>
          <w:spacing w:val="0"/>
          <w:sz w:val="32"/>
          <w:szCs w:val="32"/>
          <w:shd w:val="clear" w:color="auto" w:fill="FFFFFF"/>
        </w:rPr>
        <w:t>支付方式改革背景下，违规使用医保基金的行为更具隐蔽性，打击处理难度更高。</w:t>
      </w:r>
      <w:r>
        <w:rPr>
          <w:rFonts w:hint="eastAsia" w:ascii="仿宋_GB2312" w:hAnsi="仿宋" w:eastAsia="仿宋_GB2312" w:cs="仿宋_GB2312"/>
          <w:b/>
          <w:bCs/>
          <w:i w:val="0"/>
          <w:iCs w:val="0"/>
          <w:caps w:val="0"/>
          <w:color w:val="000000"/>
          <w:spacing w:val="0"/>
          <w:sz w:val="32"/>
          <w:szCs w:val="32"/>
          <w:shd w:val="clear" w:color="auto" w:fill="FFFFFF"/>
        </w:rPr>
        <w:t>二是巩固参保成果压力大。</w:t>
      </w:r>
      <w:r>
        <w:rPr>
          <w:rFonts w:hint="eastAsia" w:ascii="仿宋_GB2312" w:hAnsi="仿宋" w:eastAsia="仿宋_GB2312" w:cs="仿宋_GB2312"/>
          <w:b w:val="0"/>
          <w:bCs w:val="0"/>
          <w:i w:val="0"/>
          <w:iCs w:val="0"/>
          <w:caps w:val="0"/>
          <w:color w:val="000000"/>
          <w:spacing w:val="0"/>
          <w:sz w:val="32"/>
          <w:szCs w:val="32"/>
          <w:shd w:val="clear" w:color="auto" w:fill="FFFFFF"/>
        </w:rPr>
        <w:t>受</w:t>
      </w:r>
      <w:r>
        <w:rPr>
          <w:rFonts w:hint="eastAsia" w:ascii="仿宋_GB2312" w:hAnsi="仿宋" w:eastAsia="仿宋_GB2312" w:cs="仿宋_GB2312"/>
          <w:i w:val="0"/>
          <w:iCs w:val="0"/>
          <w:caps w:val="0"/>
          <w:color w:val="000000"/>
          <w:spacing w:val="0"/>
          <w:sz w:val="32"/>
          <w:szCs w:val="32"/>
          <w:shd w:val="clear" w:color="auto" w:fill="FFFFFF"/>
        </w:rPr>
        <w:t>经济下行、个人缴费上涨等客观因素影响，农村地区部分中低收入家庭仍难以承担多人口的医保缴费压力。</w:t>
      </w:r>
      <w:r>
        <w:rPr>
          <w:rFonts w:hint="eastAsia" w:ascii="仿宋_GB2312" w:hAnsi="仿宋" w:eastAsia="仿宋_GB2312" w:cs="仿宋_GB2312"/>
          <w:b/>
          <w:bCs/>
          <w:i w:val="0"/>
          <w:iCs w:val="0"/>
          <w:caps w:val="0"/>
          <w:color w:val="000000"/>
          <w:spacing w:val="0"/>
          <w:sz w:val="32"/>
          <w:szCs w:val="32"/>
          <w:shd w:val="clear" w:color="auto" w:fill="FFFFFF"/>
        </w:rPr>
        <w:t>三是医保改革任务重。“三</w:t>
      </w:r>
      <w:r>
        <w:rPr>
          <w:rFonts w:hint="eastAsia" w:ascii="仿宋_GB2312" w:hAnsi="仿宋" w:eastAsia="仿宋_GB2312" w:cs="仿宋_GB2312"/>
          <w:i w:val="0"/>
          <w:iCs w:val="0"/>
          <w:caps w:val="0"/>
          <w:color w:val="000000"/>
          <w:spacing w:val="0"/>
          <w:sz w:val="32"/>
          <w:szCs w:val="32"/>
          <w:shd w:val="clear" w:color="auto" w:fill="FFFFFF"/>
        </w:rPr>
        <w:t>医联动”涉及部门多、政策壁垒厚，跨部门定期协商联动机制不够成熟，数据贯通不足，信息互联互通不及时。</w:t>
      </w:r>
    </w:p>
    <w:p w14:paraId="76732B9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Calibri" w:hAnsi="Calibri" w:cs="Calibri"/>
          <w:i w:val="0"/>
          <w:iCs w:val="0"/>
          <w:caps w:val="0"/>
          <w:color w:val="3D3D3D"/>
          <w:spacing w:val="0"/>
          <w:sz w:val="28"/>
          <w:szCs w:val="28"/>
        </w:rPr>
      </w:pPr>
      <w:r>
        <w:rPr>
          <w:rFonts w:hint="default" w:ascii="黑体" w:hAnsi="宋体" w:eastAsia="黑体" w:cs="黑体"/>
          <w:i w:val="0"/>
          <w:iCs w:val="0"/>
          <w:caps w:val="0"/>
          <w:color w:val="000000"/>
          <w:spacing w:val="0"/>
          <w:sz w:val="32"/>
          <w:szCs w:val="32"/>
          <w:shd w:val="clear" w:color="auto" w:fill="FFFFFF"/>
        </w:rPr>
        <w:t>九、存在的问题及原因分析</w:t>
      </w:r>
    </w:p>
    <w:p w14:paraId="0E4573B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1.</w:t>
      </w:r>
      <w:r>
        <w:rPr>
          <w:rFonts w:hint="eastAsia" w:ascii="仿宋_GB2312" w:hAnsi="仿宋" w:eastAsia="仿宋_GB2312" w:cs="仿宋_GB2312"/>
          <w:i w:val="0"/>
          <w:iCs w:val="0"/>
          <w:caps w:val="0"/>
          <w:color w:val="000000"/>
          <w:spacing w:val="0"/>
          <w:sz w:val="32"/>
          <w:szCs w:val="32"/>
          <w:shd w:val="clear" w:color="auto" w:fill="FFFFFF"/>
        </w:rPr>
        <w:t>是近年来虽然财政资金绩效评价工作推行得越来越广泛和深入，单位领导也越来越重视，但是绩效管理意识还未在单位形成浓厚氛围，仅限于财务管理人员，且对于绩效管理方面的知识和技能掌握也较欠缺。</w:t>
      </w:r>
    </w:p>
    <w:p w14:paraId="61A24C7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w:t>
      </w:r>
      <w:r>
        <w:rPr>
          <w:rFonts w:hint="eastAsia" w:ascii="仿宋_GB2312" w:hAnsi="仿宋" w:eastAsia="仿宋_GB2312" w:cs="仿宋_GB2312"/>
          <w:i w:val="0"/>
          <w:iCs w:val="0"/>
          <w:caps w:val="0"/>
          <w:color w:val="000000"/>
          <w:spacing w:val="0"/>
          <w:sz w:val="32"/>
          <w:szCs w:val="32"/>
          <w:shd w:val="clear" w:color="auto" w:fill="FFFFFF"/>
        </w:rPr>
        <w:t>是项目管理，单位对项目资金绩效评价工作的具体要求了解不够全面，对项目绩效目标的设定和各项指标的理解、认识不够全面，绩效评价的意识还有待加强。</w:t>
      </w:r>
    </w:p>
    <w:p w14:paraId="7B60BBD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黑体" w:hAnsi="宋体" w:eastAsia="黑体" w:cs="黑体"/>
          <w:i w:val="0"/>
          <w:iCs w:val="0"/>
          <w:caps w:val="0"/>
          <w:color w:val="000000"/>
          <w:spacing w:val="0"/>
          <w:sz w:val="32"/>
          <w:szCs w:val="32"/>
          <w:shd w:val="clear" w:color="auto" w:fill="FFFFFF"/>
        </w:rPr>
        <w:t>十、下一步改进措施</w:t>
      </w:r>
    </w:p>
    <w:p w14:paraId="661D1B8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1.</w:t>
      </w:r>
      <w:r>
        <w:rPr>
          <w:rFonts w:hint="eastAsia" w:ascii="仿宋_GB2312" w:hAnsi="仿宋" w:eastAsia="仿宋_GB2312" w:cs="仿宋_GB2312"/>
          <w:i w:val="0"/>
          <w:iCs w:val="0"/>
          <w:caps w:val="0"/>
          <w:color w:val="000000"/>
          <w:spacing w:val="0"/>
          <w:sz w:val="32"/>
          <w:szCs w:val="32"/>
          <w:shd w:val="clear" w:color="auto" w:fill="FFFFFF"/>
        </w:rPr>
        <w:t>是加大部门支出整体绩效评价工作管理宣传培训力度。我局应该进一步结合国家治理体系和治理能力现代化的建设需求，突出宣传预算绩效管理在促进单位提高绩效工作效率方面的重要作用，形成强化绩效管理的氛围。</w:t>
      </w:r>
    </w:p>
    <w:p w14:paraId="199B35A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default" w:ascii="Times New Roman" w:hAnsi="Times New Roman" w:eastAsia="仿宋" w:cs="Times New Roman"/>
          <w:i w:val="0"/>
          <w:iCs w:val="0"/>
          <w:caps w:val="0"/>
          <w:color w:val="000000"/>
          <w:spacing w:val="0"/>
          <w:sz w:val="32"/>
          <w:szCs w:val="32"/>
          <w:shd w:val="clear" w:color="auto" w:fill="FFFFFF"/>
        </w:rPr>
        <w:t>2.</w:t>
      </w:r>
      <w:r>
        <w:rPr>
          <w:rFonts w:hint="eastAsia" w:ascii="仿宋_GB2312" w:hAnsi="仿宋" w:eastAsia="仿宋_GB2312" w:cs="仿宋_GB2312"/>
          <w:i w:val="0"/>
          <w:iCs w:val="0"/>
          <w:caps w:val="0"/>
          <w:color w:val="000000"/>
          <w:spacing w:val="0"/>
          <w:sz w:val="32"/>
          <w:szCs w:val="32"/>
          <w:shd w:val="clear" w:color="auto" w:fill="FFFFFF"/>
        </w:rPr>
        <w:t>是增强财务人员的绩效管理意识和专业水平，提高对预算绩效目标管理的认识，充分理解财政绩效评价指标体系，注重绩效目标、评价指标的关联性，依据部门职责和年度工作重点，更加科学合理地确定部门绩效目标和评价目标。</w:t>
      </w:r>
    </w:p>
    <w:p w14:paraId="7AD46D4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黑体" w:hAnsi="宋体" w:eastAsia="黑体" w:cs="黑体"/>
          <w:i w:val="0"/>
          <w:iCs w:val="0"/>
          <w:caps w:val="0"/>
          <w:color w:val="000000"/>
          <w:spacing w:val="0"/>
          <w:sz w:val="32"/>
          <w:szCs w:val="32"/>
          <w:shd w:val="clear" w:color="auto" w:fill="FFFFFF"/>
        </w:rPr>
        <w:t>十一、部门整体支出绩效自评结果拟应用和公开情况</w:t>
      </w:r>
    </w:p>
    <w:p w14:paraId="73E1EEE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宋体" w:hAnsi="宋体" w:eastAsia="宋体" w:cs="宋体"/>
          <w:i w:val="0"/>
          <w:iCs w:val="0"/>
          <w:caps w:val="0"/>
          <w:color w:val="3D3D3D"/>
          <w:spacing w:val="0"/>
          <w:sz w:val="24"/>
          <w:szCs w:val="24"/>
        </w:rPr>
      </w:pPr>
      <w:r>
        <w:rPr>
          <w:rFonts w:hint="eastAsia" w:ascii="仿宋_GB2312" w:hAnsi="仿宋" w:eastAsia="仿宋_GB2312" w:cs="仿宋_GB2312"/>
          <w:i w:val="0"/>
          <w:iCs w:val="0"/>
          <w:caps w:val="0"/>
          <w:color w:val="000000"/>
          <w:spacing w:val="0"/>
          <w:sz w:val="32"/>
          <w:szCs w:val="32"/>
          <w:shd w:val="clear" w:color="auto" w:fill="FFFFFF"/>
        </w:rPr>
        <w:t>根据财政相关部门统一部署，我局</w:t>
      </w:r>
      <w:r>
        <w:rPr>
          <w:rFonts w:hint="default" w:ascii="Times New Roman" w:hAnsi="Times New Roman" w:eastAsia="仿宋" w:cs="Times New Roman"/>
          <w:i w:val="0"/>
          <w:iCs w:val="0"/>
          <w:caps w:val="0"/>
          <w:color w:val="000000"/>
          <w:spacing w:val="0"/>
          <w:sz w:val="32"/>
          <w:szCs w:val="32"/>
          <w:shd w:val="clear" w:color="auto" w:fill="FFFFFF"/>
        </w:rPr>
        <w:t>2025</w:t>
      </w:r>
      <w:r>
        <w:rPr>
          <w:rFonts w:hint="eastAsia" w:ascii="仿宋_GB2312" w:hAnsi="仿宋" w:eastAsia="仿宋_GB2312" w:cs="仿宋_GB2312"/>
          <w:i w:val="0"/>
          <w:iCs w:val="0"/>
          <w:caps w:val="0"/>
          <w:color w:val="000000"/>
          <w:spacing w:val="0"/>
          <w:sz w:val="32"/>
          <w:szCs w:val="32"/>
          <w:shd w:val="clear" w:color="auto" w:fill="FFFFFF"/>
        </w:rPr>
        <w:t>年部门整体支出绩效自评情况将在政府门户网站公开，接受社会监督。对绩效自评工作中发现的问题及时整改，解决好绩效评价管理中存在的问题，提高工作效能。</w:t>
      </w:r>
    </w:p>
    <w:p w14:paraId="33A55DD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等线" w:hAnsi="等线" w:eastAsia="等线" w:cs="等线"/>
          <w:i w:val="0"/>
          <w:iCs w:val="0"/>
          <w:caps w:val="0"/>
          <w:color w:val="3D3D3D"/>
          <w:spacing w:val="0"/>
          <w:sz w:val="21"/>
          <w:szCs w:val="21"/>
        </w:rPr>
      </w:pPr>
      <w:r>
        <w:rPr>
          <w:rFonts w:hint="default" w:ascii="黑体" w:hAnsi="宋体" w:eastAsia="黑体" w:cs="黑体"/>
          <w:i w:val="0"/>
          <w:iCs w:val="0"/>
          <w:caps w:val="0"/>
          <w:color w:val="000000"/>
          <w:spacing w:val="0"/>
          <w:sz w:val="32"/>
          <w:szCs w:val="32"/>
          <w:shd w:val="clear" w:color="auto" w:fill="FFFFFF"/>
        </w:rPr>
        <w:t>十二、其他需要说明的情况</w:t>
      </w:r>
    </w:p>
    <w:p w14:paraId="0EAF435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仿宋_GB2312" w:hAnsi="仿宋" w:eastAsia="仿宋_GB2312" w:cs="仿宋_GB2312"/>
          <w:i w:val="0"/>
          <w:iCs w:val="0"/>
          <w:caps w:val="0"/>
          <w:color w:val="000000"/>
          <w:spacing w:val="0"/>
          <w:sz w:val="32"/>
          <w:szCs w:val="32"/>
          <w:shd w:val="clear" w:color="auto" w:fill="FFFFFF"/>
        </w:rPr>
      </w:pPr>
      <w:r>
        <w:rPr>
          <w:rFonts w:hint="eastAsia" w:ascii="仿宋_GB2312" w:hAnsi="仿宋" w:eastAsia="仿宋_GB2312" w:cs="仿宋_GB2312"/>
          <w:i w:val="0"/>
          <w:iCs w:val="0"/>
          <w:caps w:val="0"/>
          <w:color w:val="000000"/>
          <w:spacing w:val="0"/>
          <w:sz w:val="32"/>
          <w:szCs w:val="32"/>
          <w:shd w:val="clear" w:color="auto" w:fill="FFFFFF"/>
        </w:rPr>
        <w:t>无。</w:t>
      </w:r>
    </w:p>
    <w:p w14:paraId="3F89DFD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仿宋_GB2312" w:hAnsi="仿宋" w:eastAsia="仿宋_GB2312" w:cs="仿宋_GB2312"/>
          <w:i w:val="0"/>
          <w:iCs w:val="0"/>
          <w:caps w:val="0"/>
          <w:color w:val="000000"/>
          <w:spacing w:val="0"/>
          <w:sz w:val="32"/>
          <w:szCs w:val="32"/>
          <w:shd w:val="clear" w:color="auto" w:fill="FFFFFF"/>
        </w:rPr>
      </w:pPr>
    </w:p>
    <w:p w14:paraId="1E5B5B3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40" w:lineRule="exact"/>
        <w:ind w:left="1598" w:leftChars="304" w:right="0" w:hanging="960" w:hangingChars="300"/>
        <w:jc w:val="left"/>
        <w:textAlignment w:val="auto"/>
        <w:rPr>
          <w:rFonts w:hint="eastAsia" w:ascii="Times New Roman" w:hAnsi="Times New Roman" w:eastAsia="仿宋_GB2312" w:cs="仿宋_GB2312"/>
          <w:i w:val="0"/>
          <w:iCs w:val="0"/>
          <w:caps w:val="0"/>
          <w:color w:val="000000"/>
          <w:spacing w:val="0"/>
          <w:sz w:val="32"/>
          <w:szCs w:val="32"/>
          <w:shd w:val="clear" w:color="auto" w:fill="FFFFFF"/>
          <w:lang w:eastAsia="zh-CN"/>
        </w:rPr>
      </w:pPr>
      <w:r>
        <w:rPr>
          <w:rFonts w:hint="eastAsia" w:ascii="Times New Roman" w:hAnsi="Times New Roman" w:eastAsia="仿宋_GB2312" w:cs="仿宋_GB2312"/>
          <w:i w:val="0"/>
          <w:iCs w:val="0"/>
          <w:caps w:val="0"/>
          <w:color w:val="000000"/>
          <w:spacing w:val="0"/>
          <w:sz w:val="32"/>
          <w:szCs w:val="32"/>
          <w:shd w:val="clear" w:color="auto" w:fill="FFFFFF"/>
          <w:lang w:eastAsia="zh-CN"/>
        </w:rPr>
        <w:t>附件：</w:t>
      </w:r>
      <w:r>
        <w:rPr>
          <w:rFonts w:hint="eastAsia" w:ascii="Times New Roman" w:hAnsi="Times New Roman" w:eastAsia="仿宋_GB2312" w:cs="仿宋_GB2312"/>
          <w:i w:val="0"/>
          <w:iCs w:val="0"/>
          <w:caps w:val="0"/>
          <w:color w:val="000000"/>
          <w:spacing w:val="0"/>
          <w:sz w:val="32"/>
          <w:szCs w:val="32"/>
          <w:shd w:val="clear" w:color="auto" w:fill="FFFFFF"/>
          <w:lang w:val="en-US" w:eastAsia="zh-CN"/>
        </w:rPr>
        <w:t>1.</w:t>
      </w:r>
      <w:r>
        <w:rPr>
          <w:rFonts w:hint="eastAsia" w:ascii="Times New Roman" w:hAnsi="Times New Roman" w:eastAsia="仿宋_GB2312" w:cs="仿宋_GB2312"/>
          <w:i w:val="0"/>
          <w:iCs w:val="0"/>
          <w:caps w:val="0"/>
          <w:color w:val="000000"/>
          <w:spacing w:val="0"/>
          <w:sz w:val="32"/>
          <w:szCs w:val="32"/>
          <w:shd w:val="clear" w:color="auto" w:fill="FFFFFF"/>
          <w:lang w:eastAsia="zh-CN"/>
        </w:rPr>
        <w:t>2025年度部门（单位）整体支出绩效评价基础数据表</w:t>
      </w:r>
    </w:p>
    <w:p w14:paraId="2457D61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40" w:lineRule="exact"/>
        <w:ind w:right="0"/>
        <w:jc w:val="center"/>
        <w:textAlignment w:val="auto"/>
        <w:rPr>
          <w:rFonts w:hint="default" w:ascii="Times New Roman" w:hAnsi="Times New Roman" w:eastAsia="仿宋_GB2312" w:cs="仿宋_GB2312"/>
          <w:i w:val="0"/>
          <w:iCs w:val="0"/>
          <w:caps w:val="0"/>
          <w:color w:val="000000"/>
          <w:spacing w:val="0"/>
          <w:sz w:val="32"/>
          <w:szCs w:val="32"/>
          <w:shd w:val="clear" w:color="auto" w:fill="FFFFFF"/>
          <w:lang w:val="en-US" w:eastAsia="zh-CN"/>
        </w:rPr>
      </w:pPr>
      <w:r>
        <w:rPr>
          <w:rFonts w:hint="eastAsia" w:ascii="Times New Roman" w:hAnsi="Times New Roman" w:eastAsia="仿宋_GB2312" w:cs="仿宋_GB2312"/>
          <w:i w:val="0"/>
          <w:iCs w:val="0"/>
          <w:caps w:val="0"/>
          <w:color w:val="000000"/>
          <w:spacing w:val="0"/>
          <w:sz w:val="32"/>
          <w:szCs w:val="32"/>
          <w:shd w:val="clear" w:color="auto" w:fill="FFFFFF"/>
          <w:lang w:val="en-US" w:eastAsia="zh-CN"/>
        </w:rPr>
        <w:t xml:space="preserve">      2.</w:t>
      </w:r>
      <w:r>
        <w:rPr>
          <w:rFonts w:hint="eastAsia" w:ascii="Times New Roman" w:hAnsi="Times New Roman" w:eastAsia="仿宋_GB2312" w:cs="仿宋_GB2312"/>
          <w:i w:val="0"/>
          <w:iCs w:val="0"/>
          <w:caps w:val="0"/>
          <w:color w:val="000000"/>
          <w:spacing w:val="0"/>
          <w:sz w:val="32"/>
          <w:szCs w:val="32"/>
          <w:shd w:val="clear" w:color="auto" w:fill="FFFFFF"/>
          <w:lang w:eastAsia="zh-CN"/>
        </w:rPr>
        <w:t>2025年度部门（单位）整体支出绩效自评表</w:t>
      </w:r>
    </w:p>
    <w:p w14:paraId="40CB470C">
      <w:pPr>
        <w:rPr>
          <w:rFonts w:hint="eastAsia" w:ascii="仿宋_GB2312" w:hAnsi="仿宋" w:eastAsia="仿宋_GB2312" w:cs="仿宋_GB2312"/>
          <w:i w:val="0"/>
          <w:iCs w:val="0"/>
          <w:caps w:val="0"/>
          <w:color w:val="000000"/>
          <w:spacing w:val="0"/>
          <w:sz w:val="32"/>
          <w:szCs w:val="32"/>
          <w:shd w:val="clear" w:color="auto" w:fill="FFFFFF"/>
        </w:rPr>
      </w:pPr>
      <w:r>
        <w:rPr>
          <w:rFonts w:hint="eastAsia" w:ascii="仿宋_GB2312" w:hAnsi="仿宋" w:eastAsia="仿宋_GB2312" w:cs="仿宋_GB2312"/>
          <w:i w:val="0"/>
          <w:iCs w:val="0"/>
          <w:caps w:val="0"/>
          <w:color w:val="000000"/>
          <w:spacing w:val="0"/>
          <w:sz w:val="32"/>
          <w:szCs w:val="32"/>
          <w:shd w:val="clear" w:color="auto" w:fill="FFFFFF"/>
        </w:rPr>
        <w:br w:type="page"/>
      </w:r>
    </w:p>
    <w:p w14:paraId="7B51060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40" w:lineRule="exact"/>
        <w:ind w:right="0"/>
        <w:jc w:val="center"/>
        <w:textAlignment w:val="auto"/>
        <w:rPr>
          <w:rFonts w:hint="eastAsia" w:ascii="方正小标宋简体" w:hAnsi="方正小标宋简体" w:eastAsia="方正小标宋简体" w:cs="方正小标宋简体"/>
          <w:i w:val="0"/>
          <w:iCs w:val="0"/>
          <w:caps w:val="0"/>
          <w:color w:val="000000"/>
          <w:spacing w:val="0"/>
          <w:sz w:val="36"/>
          <w:szCs w:val="36"/>
          <w:shd w:val="clear" w:color="auto" w:fill="FFFFFF"/>
        </w:rPr>
      </w:pPr>
      <w:r>
        <w:rPr>
          <w:rFonts w:hint="eastAsia" w:ascii="方正小标宋简体" w:hAnsi="方正小标宋简体" w:eastAsia="方正小标宋简体" w:cs="方正小标宋简体"/>
          <w:i w:val="0"/>
          <w:iCs w:val="0"/>
          <w:caps w:val="0"/>
          <w:color w:val="000000"/>
          <w:spacing w:val="0"/>
          <w:sz w:val="36"/>
          <w:szCs w:val="36"/>
          <w:shd w:val="clear" w:color="auto" w:fill="FFFFFF"/>
        </w:rPr>
        <w:t>2025年度部门（单位）整体支出绩效评价基础数据表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33"/>
        <w:gridCol w:w="855"/>
        <w:gridCol w:w="885"/>
        <w:gridCol w:w="840"/>
        <w:gridCol w:w="1215"/>
        <w:gridCol w:w="1050"/>
        <w:gridCol w:w="1039"/>
      </w:tblGrid>
      <w:tr w14:paraId="44B5F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38F0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财政供养人员情况（人）</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C334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编制数</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D384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仿宋_GB2312" w:hAnsi="宋体" w:eastAsia="仿宋_GB2312" w:cs="仿宋_GB2312"/>
                <w:b/>
                <w:bCs/>
                <w:i w:val="0"/>
                <w:iCs w:val="0"/>
                <w:color w:val="000000"/>
                <w:sz w:val="20"/>
                <w:szCs w:val="20"/>
                <w:u w:val="none"/>
              </w:rPr>
            </w:pPr>
            <w:r>
              <w:rPr>
                <w:rStyle w:val="19"/>
                <w:rFonts w:hAnsi="宋体"/>
                <w:sz w:val="20"/>
                <w:szCs w:val="20"/>
                <w:lang w:val="en-US" w:eastAsia="zh-CN" w:bidi="ar"/>
              </w:rPr>
              <w:t>2025年实际在职人数</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5E8E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控制率</w:t>
            </w:r>
          </w:p>
        </w:tc>
      </w:tr>
      <w:tr w14:paraId="07578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75F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20"/>
                <w:szCs w:val="20"/>
                <w:u w:val="none"/>
              </w:rPr>
            </w:pP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B502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4A8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FEB4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6E1A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D61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经费控制情况（万元）</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1E6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2024年决算数</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12DF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2025年预算数</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FB88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2025年决算数</w:t>
            </w:r>
          </w:p>
        </w:tc>
      </w:tr>
      <w:tr w14:paraId="5CE33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5DA7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5F7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8.11</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5FB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ECD0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r>
      <w:tr w14:paraId="18A62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5F4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1、公务用车购置和维护经费</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8C06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5.96</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779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01D1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r>
      <w:tr w14:paraId="157AB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BD7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Style w:val="20"/>
                <w:rFonts w:hAnsi="宋体"/>
                <w:sz w:val="20"/>
                <w:szCs w:val="20"/>
                <w:lang w:val="en-US" w:eastAsia="zh-CN" w:bidi="ar"/>
              </w:rPr>
              <w:t>其中：公车购置</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9C6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C36F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251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14:paraId="717CC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59D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Style w:val="20"/>
                <w:rFonts w:hAnsi="宋体"/>
                <w:sz w:val="20"/>
                <w:szCs w:val="20"/>
                <w:lang w:val="en-US" w:eastAsia="zh-CN" w:bidi="ar"/>
              </w:rPr>
              <w:t>公车运行维护</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35A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5.96</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D6AB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0B3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r>
      <w:tr w14:paraId="46102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21B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2、出国经费</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D2FC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963F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48AE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14:paraId="30624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6BC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3、公务接待</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3FBC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2.15</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7F0B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31CC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0.98</w:t>
            </w:r>
          </w:p>
        </w:tc>
      </w:tr>
      <w:tr w14:paraId="47099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4734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69A5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501.77</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F41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1FDB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550.79</w:t>
            </w:r>
          </w:p>
        </w:tc>
      </w:tr>
      <w:tr w14:paraId="15410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BB2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1、业务工作经费</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26B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501.52</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A8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DD1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506.52</w:t>
            </w:r>
          </w:p>
        </w:tc>
      </w:tr>
      <w:tr w14:paraId="7FA1D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98E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2、运行维护经费</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873C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0.15</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5EED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CE35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44.27</w:t>
            </w:r>
          </w:p>
        </w:tc>
      </w:tr>
      <w:tr w14:paraId="77B28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F267C">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ind w:firstLine="600" w:firstLineChars="30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3、</w:t>
            </w:r>
            <w:r>
              <w:rPr>
                <w:rFonts w:hint="eastAsia" w:ascii="宋体" w:hAnsi="宋体" w:eastAsia="宋体" w:cs="宋体"/>
                <w:i w:val="0"/>
                <w:iCs w:val="0"/>
                <w:color w:val="000000"/>
                <w:kern w:val="0"/>
                <w:sz w:val="20"/>
                <w:szCs w:val="20"/>
                <w:u w:val="none"/>
                <w:lang w:val="en-US" w:eastAsia="zh-CN" w:bidi="ar"/>
              </w:rPr>
              <w:t>省级专项资金</w:t>
            </w:r>
          </w:p>
          <w:p w14:paraId="612990AA">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ind w:left="858"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（一个专项一行）</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07A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B6CF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04E3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14:paraId="4335E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6302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5698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38.98</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BC4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49C0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46.54</w:t>
            </w:r>
          </w:p>
        </w:tc>
      </w:tr>
      <w:tr w14:paraId="24A24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6A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其中：1.办公费</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D88B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CCF0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8B31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w:t>
            </w:r>
          </w:p>
        </w:tc>
      </w:tr>
      <w:tr w14:paraId="20547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6772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2.水费、电费、差旅费</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B93B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CF6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1D06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w:t>
            </w:r>
          </w:p>
        </w:tc>
      </w:tr>
      <w:tr w14:paraId="4CD0E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C79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3.会议费、培训费</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2864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23B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9C45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14:paraId="3C14F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711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 xml:space="preserve">       政府采购金额</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F93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4.52</w:t>
            </w:r>
          </w:p>
        </w:tc>
        <w:tc>
          <w:tcPr>
            <w:tcW w:w="11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452B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3A6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w:t>
            </w:r>
          </w:p>
        </w:tc>
      </w:tr>
      <w:tr w14:paraId="4015C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1CCA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 xml:space="preserve">   部门基本支出预算调整</w:t>
            </w:r>
          </w:p>
        </w:tc>
        <w:tc>
          <w:tcPr>
            <w:tcW w:w="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DEC1">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768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9470">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59F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493D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13650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5189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楼堂馆所控制情况                            （2025年完工项目）</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024C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Style w:val="21"/>
                <w:rFonts w:hAnsi="宋体"/>
                <w:sz w:val="20"/>
                <w:szCs w:val="20"/>
                <w:lang w:val="en-US" w:eastAsia="zh-CN" w:bidi="ar"/>
              </w:rPr>
              <w:t>批复规模（</w:t>
            </w:r>
            <w:r>
              <w:rPr>
                <w:rStyle w:val="22"/>
                <w:sz w:val="20"/>
                <w:szCs w:val="20"/>
                <w:lang w:val="en-US" w:eastAsia="zh-CN" w:bidi="ar"/>
              </w:rPr>
              <w:t>㎡</w:t>
            </w:r>
            <w:r>
              <w:rPr>
                <w:rStyle w:val="21"/>
                <w:rFonts w:hAnsi="宋体"/>
                <w:sz w:val="20"/>
                <w:szCs w:val="20"/>
                <w:lang w:val="en-US" w:eastAsia="zh-CN" w:bidi="ar"/>
              </w:rPr>
              <w:t>）</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C5BC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Style w:val="21"/>
                <w:rFonts w:hAnsi="宋体"/>
                <w:sz w:val="20"/>
                <w:szCs w:val="20"/>
                <w:lang w:val="en-US" w:eastAsia="zh-CN" w:bidi="ar"/>
              </w:rPr>
              <w:t>实际规模（</w:t>
            </w:r>
            <w:r>
              <w:rPr>
                <w:rStyle w:val="22"/>
                <w:sz w:val="20"/>
                <w:szCs w:val="20"/>
                <w:lang w:val="en-US" w:eastAsia="zh-CN" w:bidi="ar"/>
              </w:rPr>
              <w:t>㎡</w:t>
            </w:r>
            <w:r>
              <w:rPr>
                <w:rStyle w:val="21"/>
                <w:rFonts w:hAnsi="宋体"/>
                <w:sz w:val="20"/>
                <w:szCs w:val="20"/>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2DBF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规模控制率</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2EF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预算投资（万元）</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9E36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实际投资（万元）</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C33A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投资概算控制率</w:t>
            </w:r>
          </w:p>
        </w:tc>
      </w:tr>
      <w:tr w14:paraId="0AD6F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trPr>
        <w:tc>
          <w:tcPr>
            <w:tcW w:w="1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E3025">
            <w:pPr>
              <w:keepNext w:val="0"/>
              <w:keepLines w:val="0"/>
              <w:pageBreakBefore w:val="0"/>
              <w:widowControl/>
              <w:kinsoku/>
              <w:wordWrap/>
              <w:overflowPunct/>
              <w:topLinePunct w:val="0"/>
              <w:autoSpaceDE/>
              <w:autoSpaceDN/>
              <w:bidi w:val="0"/>
              <w:adjustRightInd/>
              <w:snapToGrid/>
              <w:spacing w:line="220" w:lineRule="exact"/>
              <w:jc w:val="center"/>
              <w:rPr>
                <w:rFonts w:hint="eastAsia" w:ascii="仿宋_GB2312" w:hAnsi="宋体" w:eastAsia="仿宋_GB2312" w:cs="仿宋_GB2312"/>
                <w:i w:val="0"/>
                <w:iCs w:val="0"/>
                <w:color w:val="000000"/>
                <w:sz w:val="20"/>
                <w:szCs w:val="20"/>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1CF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7B68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F75B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D009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C109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DBD0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r>
      <w:tr w14:paraId="4BA62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0" w:hRule="atLeast"/>
        </w:trPr>
        <w:tc>
          <w:tcPr>
            <w:tcW w:w="1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9E77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厉行节约保障措施</w:t>
            </w:r>
          </w:p>
        </w:tc>
        <w:tc>
          <w:tcPr>
            <w:tcW w:w="337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D4610F">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一、强化组织领导，构建责任体系</w:t>
            </w:r>
          </w:p>
          <w:p w14:paraId="18979682">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成立专项领导小组：成立以单位主要负责人为组长，分管领导为副组长，各部门负责人为成员的厉行节约工作领导小组。领导小组全面统筹协调单位节约工作，定期召开专题会议，研究部署节约任务，解决工作中遇到的重大问题。</w:t>
            </w:r>
          </w:p>
          <w:p w14:paraId="384EEE19">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明确责任分工：单位主要负责人对本单位厉行节约工作负总责，分管领导按照职责分工抓好具体工作的落实。各部门负责人为本部门节约工作的第一责任人，负责组织本部门人员严格执行</w:t>
            </w:r>
            <w:r>
              <w:rPr>
                <w:rFonts w:hint="eastAsia" w:ascii="仿宋_GB2312" w:hAnsi="宋体" w:eastAsia="仿宋_GB2312" w:cs="仿宋_GB2312"/>
                <w:i w:val="0"/>
                <w:iCs w:val="0"/>
                <w:color w:val="000000"/>
                <w:spacing w:val="-6"/>
                <w:kern w:val="0"/>
                <w:sz w:val="20"/>
                <w:szCs w:val="20"/>
                <w:u w:val="none"/>
                <w:lang w:val="en-US" w:eastAsia="zh-CN" w:bidi="ar"/>
              </w:rPr>
              <w:t>节约措施，加强对本部门资源使用的日常管理和监督。同时，设立节约工作联络员，负责本部门节约工作的信息收集、整理和上报。</w:t>
            </w:r>
          </w:p>
          <w:p w14:paraId="5998A8D6">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二、加强宣传教育，培育节约意识</w:t>
            </w:r>
          </w:p>
          <w:p w14:paraId="576BB5DB">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开展专题培训活动：定期组织全体干部职工参加厉行节约专题培训，邀请专家或业务骨干讲解国家节约政策法规、节约方法</w:t>
            </w:r>
            <w:r>
              <w:rPr>
                <w:rFonts w:hint="eastAsia" w:ascii="仿宋_GB2312" w:hAnsi="宋体" w:eastAsia="仿宋_GB2312" w:cs="仿宋_GB2312"/>
                <w:i w:val="0"/>
                <w:iCs w:val="0"/>
                <w:color w:val="000000"/>
                <w:spacing w:val="-6"/>
                <w:kern w:val="0"/>
                <w:sz w:val="20"/>
                <w:szCs w:val="20"/>
                <w:u w:val="none"/>
                <w:lang w:val="en-US" w:eastAsia="zh-CN" w:bidi="ar"/>
              </w:rPr>
              <w:t>和技巧，以及本单位的具体节约措施和要求。通过培训，使干部职工深刻认识节约工作的重要性和紧迫性，增强节约意识和责任感。</w:t>
            </w:r>
          </w:p>
          <w:p w14:paraId="755439F4">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黑体" w:hAnsi="黑体" w:eastAsia="黑体" w:cs="黑体"/>
                <w:i w:val="0"/>
                <w:iCs w:val="0"/>
                <w:color w:val="000000"/>
                <w:kern w:val="0"/>
                <w:sz w:val="20"/>
                <w:szCs w:val="20"/>
                <w:u w:val="none"/>
                <w:lang w:val="en-US" w:eastAsia="zh-CN" w:bidi="ar"/>
              </w:rPr>
            </w:pPr>
            <w:r>
              <w:rPr>
                <w:rFonts w:hint="eastAsia" w:ascii="黑体" w:hAnsi="黑体" w:eastAsia="黑体" w:cs="黑体"/>
                <w:i w:val="0"/>
                <w:iCs w:val="0"/>
                <w:color w:val="000000"/>
                <w:kern w:val="0"/>
                <w:sz w:val="20"/>
                <w:szCs w:val="20"/>
                <w:u w:val="none"/>
                <w:lang w:val="en-US" w:eastAsia="zh-CN" w:bidi="ar"/>
              </w:rPr>
              <w:t>三、严格预算管理，严控经费支出</w:t>
            </w:r>
          </w:p>
          <w:p w14:paraId="5D33CB59">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科学编制预算：坚持“量入为出、收支平衡、保证重点、统筹兼顾”的原则，结合单位年度工作计划和实际需求，科学合理地编制部门预算。在预算编制过程中，充分考虑各项支出的必要性和合理性，严格控制一般性支出，优先保障重点工作和民生项目的资金需求。对非必要、非紧急的支出项目，一律不予安排。</w:t>
            </w:r>
          </w:p>
          <w:p w14:paraId="2F5BFB0E">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强化预算执行监控：严格执行预算，不得随意调整和变更预算项目和金额。建立健全预算执行动态监控机制，加强对预算执行情况的实时跟踪和分析。定期对预算执行进度和资金使用效益进行评估，对预算执行进度缓慢、资金使用效益不高的项目，要及时查找原因，采取有效措施加以整改。同时，加强对预算外支出的管理，严禁超预算、无预算支出。</w:t>
            </w:r>
          </w:p>
        </w:tc>
      </w:tr>
    </w:tbl>
    <w:p w14:paraId="69184CA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220" w:lineRule="exact"/>
        <w:ind w:left="600" w:right="0" w:hanging="600" w:hangingChars="300"/>
        <w:jc w:val="left"/>
        <w:textAlignment w:val="auto"/>
        <w:rPr>
          <w:rFonts w:hint="eastAsia" w:ascii="仿宋_GB2312" w:hAnsi="仿宋" w:eastAsia="仿宋_GB2312" w:cs="仿宋_GB2312"/>
          <w:i w:val="0"/>
          <w:iCs w:val="0"/>
          <w:caps w:val="0"/>
          <w:color w:val="000000"/>
          <w:spacing w:val="0"/>
          <w:sz w:val="20"/>
          <w:szCs w:val="20"/>
          <w:shd w:val="clear" w:color="auto" w:fill="FFFFFF"/>
        </w:rPr>
      </w:pPr>
      <w:r>
        <w:rPr>
          <w:rFonts w:hint="eastAsia" w:ascii="仿宋_GB2312" w:hAnsi="仿宋" w:eastAsia="仿宋_GB2312" w:cs="仿宋_GB2312"/>
          <w:i w:val="0"/>
          <w:iCs w:val="0"/>
          <w:caps w:val="0"/>
          <w:color w:val="000000"/>
          <w:spacing w:val="0"/>
          <w:sz w:val="20"/>
          <w:szCs w:val="20"/>
          <w:shd w:val="clear" w:color="auto" w:fill="FFFFFF"/>
        </w:rPr>
        <w:t>说明：“项目支出”需要填报基本支出以外的所有项目支出情况，“公用经费”填报基本支出中的一般商品和服务支出。</w:t>
      </w:r>
    </w:p>
    <w:p w14:paraId="22E0034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220" w:lineRule="exact"/>
        <w:ind w:right="0"/>
        <w:jc w:val="left"/>
        <w:textAlignment w:val="auto"/>
        <w:rPr>
          <w:rFonts w:hint="eastAsia" w:ascii="仿宋_GB2312" w:hAnsi="仿宋" w:eastAsia="仿宋_GB2312" w:cs="仿宋_GB2312"/>
          <w:i w:val="0"/>
          <w:iCs w:val="0"/>
          <w:caps w:val="0"/>
          <w:color w:val="000000"/>
          <w:spacing w:val="0"/>
          <w:sz w:val="20"/>
          <w:szCs w:val="20"/>
          <w:shd w:val="clear" w:color="auto" w:fill="FFFFFF"/>
        </w:rPr>
      </w:pPr>
    </w:p>
    <w:p w14:paraId="0034288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220" w:lineRule="exact"/>
        <w:ind w:right="0"/>
        <w:jc w:val="left"/>
        <w:textAlignment w:val="auto"/>
        <w:rPr>
          <w:rFonts w:hint="eastAsia" w:ascii="Times New Roman" w:hAnsi="Times New Roman" w:eastAsia="仿宋_GB2312" w:cs="仿宋_GB2312"/>
          <w:i w:val="0"/>
          <w:iCs w:val="0"/>
          <w:caps w:val="0"/>
          <w:color w:val="000000"/>
          <w:spacing w:val="0"/>
          <w:sz w:val="20"/>
          <w:szCs w:val="20"/>
          <w:shd w:val="clear" w:color="auto" w:fill="FFFFFF"/>
        </w:rPr>
      </w:pPr>
      <w:r>
        <w:rPr>
          <w:rFonts w:hint="eastAsia" w:ascii="Times New Roman" w:hAnsi="Times New Roman" w:eastAsia="仿宋_GB2312" w:cs="仿宋_GB2312"/>
          <w:i w:val="0"/>
          <w:iCs w:val="0"/>
          <w:caps w:val="0"/>
          <w:color w:val="000000"/>
          <w:spacing w:val="0"/>
          <w:sz w:val="20"/>
          <w:szCs w:val="20"/>
          <w:shd w:val="clear" w:color="auto" w:fill="FFFFFF"/>
        </w:rPr>
        <w:t xml:space="preserve">填表人：唐嘉敏      </w:t>
      </w:r>
      <w:r>
        <w:rPr>
          <w:rFonts w:hint="eastAsia" w:ascii="Times New Roman" w:hAnsi="Times New Roman" w:eastAsia="仿宋_GB2312" w:cs="仿宋_GB2312"/>
          <w:i w:val="0"/>
          <w:iCs w:val="0"/>
          <w:caps w:val="0"/>
          <w:color w:val="000000"/>
          <w:spacing w:val="0"/>
          <w:sz w:val="20"/>
          <w:szCs w:val="20"/>
          <w:shd w:val="clear" w:color="auto" w:fill="FFFFFF"/>
          <w:lang w:val="en-US" w:eastAsia="zh-CN"/>
        </w:rPr>
        <w:t xml:space="preserve">  </w:t>
      </w:r>
      <w:r>
        <w:rPr>
          <w:rFonts w:hint="eastAsia" w:ascii="Times New Roman" w:hAnsi="Times New Roman" w:eastAsia="仿宋_GB2312" w:cs="仿宋_GB2312"/>
          <w:i w:val="0"/>
          <w:iCs w:val="0"/>
          <w:caps w:val="0"/>
          <w:color w:val="000000"/>
          <w:spacing w:val="0"/>
          <w:sz w:val="20"/>
          <w:szCs w:val="20"/>
          <w:shd w:val="clear" w:color="auto" w:fill="FFFFFF"/>
        </w:rPr>
        <w:t xml:space="preserve">   填报日期：2026年6月15日           联系电话：15727400239</w:t>
      </w:r>
      <w:r>
        <w:rPr>
          <w:rFonts w:hint="eastAsia" w:ascii="Times New Roman" w:hAnsi="Times New Roman" w:eastAsia="仿宋_GB2312" w:cs="仿宋_GB2312"/>
          <w:i w:val="0"/>
          <w:iCs w:val="0"/>
          <w:caps w:val="0"/>
          <w:color w:val="000000"/>
          <w:spacing w:val="0"/>
          <w:sz w:val="20"/>
          <w:szCs w:val="20"/>
          <w:shd w:val="clear" w:color="auto" w:fill="FFFFFF"/>
        </w:rPr>
        <w:br w:type="page"/>
      </w:r>
    </w:p>
    <w:p w14:paraId="3618330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40" w:lineRule="exact"/>
        <w:ind w:right="0"/>
        <w:jc w:val="center"/>
        <w:textAlignment w:val="auto"/>
        <w:rPr>
          <w:rFonts w:hint="eastAsia" w:ascii="方正小标宋简体" w:hAnsi="方正小标宋简体" w:eastAsia="方正小标宋简体" w:cs="方正小标宋简体"/>
          <w:i w:val="0"/>
          <w:iCs w:val="0"/>
          <w:caps w:val="0"/>
          <w:color w:val="000000"/>
          <w:spacing w:val="0"/>
          <w:sz w:val="36"/>
          <w:szCs w:val="36"/>
          <w:shd w:val="clear" w:color="auto" w:fill="FFFFFF"/>
        </w:rPr>
        <w:sectPr>
          <w:pgSz w:w="11906" w:h="16838"/>
          <w:pgMar w:top="1701" w:right="1701" w:bottom="1701" w:left="1701" w:header="851" w:footer="992" w:gutter="0"/>
          <w:cols w:space="0" w:num="1"/>
          <w:rtlGutter w:val="0"/>
          <w:docGrid w:type="linesAndChars" w:linePitch="312" w:charSpace="0"/>
        </w:sectPr>
      </w:pPr>
    </w:p>
    <w:p w14:paraId="11AA72E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40" w:lineRule="exact"/>
        <w:ind w:right="0"/>
        <w:jc w:val="center"/>
        <w:textAlignment w:val="auto"/>
        <w:rPr>
          <w:rFonts w:hint="eastAsia" w:ascii="Times New Roman" w:hAnsi="Times New Roman" w:eastAsia="仿宋_GB2312" w:cs="仿宋_GB2312"/>
          <w:i w:val="0"/>
          <w:iCs w:val="0"/>
          <w:caps w:val="0"/>
          <w:color w:val="000000"/>
          <w:spacing w:val="0"/>
          <w:sz w:val="20"/>
          <w:szCs w:val="20"/>
          <w:shd w:val="clear" w:color="auto" w:fill="FFFFFF"/>
        </w:rPr>
      </w:pPr>
      <w:r>
        <w:rPr>
          <w:rFonts w:hint="eastAsia" w:ascii="方正小标宋简体" w:hAnsi="方正小标宋简体" w:eastAsia="方正小标宋简体" w:cs="方正小标宋简体"/>
          <w:i w:val="0"/>
          <w:iCs w:val="0"/>
          <w:caps w:val="0"/>
          <w:color w:val="000000"/>
          <w:spacing w:val="0"/>
          <w:sz w:val="36"/>
          <w:szCs w:val="36"/>
          <w:shd w:val="clear" w:color="auto" w:fill="FFFFFF"/>
        </w:rPr>
        <w:t>2025年度部门（单位）整体支出绩效自评表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4"/>
        <w:gridCol w:w="1091"/>
        <w:gridCol w:w="1890"/>
        <w:gridCol w:w="1875"/>
        <w:gridCol w:w="1313"/>
        <w:gridCol w:w="1312"/>
        <w:gridCol w:w="2007"/>
        <w:gridCol w:w="1542"/>
        <w:gridCol w:w="1763"/>
      </w:tblGrid>
      <w:tr w14:paraId="31033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8DD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预算部门</w:t>
            </w:r>
          </w:p>
          <w:p w14:paraId="460BC4E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（单位）名称</w:t>
            </w:r>
          </w:p>
        </w:tc>
        <w:tc>
          <w:tcPr>
            <w:tcW w:w="4287"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EF4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怀化市医疗保障局</w:t>
            </w:r>
          </w:p>
        </w:tc>
      </w:tr>
      <w:tr w14:paraId="3E53E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DF94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年度预算申请(万元)</w:t>
            </w:r>
          </w:p>
        </w:tc>
        <w:tc>
          <w:tcPr>
            <w:tcW w:w="1092" w:type="pct"/>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BF5EA28">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6EA1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年初预算数(万元)</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BCA0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全年预算数(万元) </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EAC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全年执行数(万元) </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681A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0976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6F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14:paraId="6274B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D5A14">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1092" w:type="pct"/>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D52A68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44A5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495.46</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CD36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1,040.97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3A16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CB9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61EC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95.12%</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0C0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9.51 </w:t>
            </w:r>
          </w:p>
        </w:tc>
      </w:tr>
      <w:tr w14:paraId="4B4F2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35D2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27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874F3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8DEBC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按支出性质分：</w:t>
            </w:r>
          </w:p>
        </w:tc>
      </w:tr>
      <w:tr w14:paraId="5C85E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5F70F">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10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D3F1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w:t>
            </w:r>
          </w:p>
        </w:tc>
        <w:tc>
          <w:tcPr>
            <w:tcW w:w="16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E0ADB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990.15</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A7BA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基本支出： </w:t>
            </w:r>
          </w:p>
        </w:tc>
        <w:tc>
          <w:tcPr>
            <w:tcW w:w="12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D854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394.41</w:t>
            </w:r>
          </w:p>
        </w:tc>
      </w:tr>
      <w:tr w14:paraId="5FAEE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03249">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10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5E37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政府性基金拨款：</w:t>
            </w:r>
          </w:p>
        </w:tc>
        <w:tc>
          <w:tcPr>
            <w:tcW w:w="16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1BE4D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9D59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项目支出： </w:t>
            </w:r>
          </w:p>
        </w:tc>
        <w:tc>
          <w:tcPr>
            <w:tcW w:w="12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8B89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595.74</w:t>
            </w:r>
          </w:p>
        </w:tc>
      </w:tr>
      <w:tr w14:paraId="73175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2C66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10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4445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纳入专户管理的非税收入拨款：</w:t>
            </w:r>
          </w:p>
        </w:tc>
        <w:tc>
          <w:tcPr>
            <w:tcW w:w="16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953B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8ED2D6">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r>
      <w:tr w14:paraId="230B4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BFAD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1092" w:type="pct"/>
            <w:gridSpan w:val="2"/>
            <w:tcBorders>
              <w:top w:val="nil"/>
              <w:left w:val="single" w:color="000000" w:sz="4" w:space="0"/>
              <w:bottom w:val="nil"/>
              <w:right w:val="single" w:color="000000" w:sz="4" w:space="0"/>
            </w:tcBorders>
            <w:shd w:val="clear" w:color="auto" w:fill="auto"/>
            <w:vAlign w:val="center"/>
          </w:tcPr>
          <w:p w14:paraId="09D424E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其他资金: </w:t>
            </w:r>
          </w:p>
        </w:tc>
        <w:tc>
          <w:tcPr>
            <w:tcW w:w="16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C8C26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57690D">
            <w:pPr>
              <w:keepNext w:val="0"/>
              <w:keepLines w:val="0"/>
              <w:pageBreakBefore w:val="0"/>
              <w:widowControl/>
              <w:kinsoku/>
              <w:wordWrap/>
              <w:overflowPunct/>
              <w:topLinePunct w:val="0"/>
              <w:autoSpaceDE/>
              <w:autoSpaceDN/>
              <w:bidi w:val="0"/>
              <w:adjustRightInd/>
              <w:snapToGrid/>
              <w:spacing w:line="220" w:lineRule="exact"/>
              <w:jc w:val="left"/>
              <w:rPr>
                <w:rFonts w:hint="eastAsia" w:ascii="宋体" w:hAnsi="宋体" w:eastAsia="宋体" w:cs="宋体"/>
                <w:i w:val="0"/>
                <w:iCs w:val="0"/>
                <w:color w:val="000000"/>
                <w:sz w:val="20"/>
                <w:szCs w:val="20"/>
                <w:u w:val="none"/>
              </w:rPr>
            </w:pPr>
          </w:p>
        </w:tc>
      </w:tr>
      <w:tr w14:paraId="71234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7CFD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7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BC058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C4313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D9EF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9"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5573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B6C63">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宋体" w:cs="宋体"/>
                <w:i w:val="0"/>
                <w:iCs w:val="0"/>
                <w:color w:val="000000"/>
                <w:sz w:val="20"/>
                <w:szCs w:val="20"/>
                <w:u w:val="none"/>
              </w:rPr>
            </w:pPr>
          </w:p>
        </w:tc>
        <w:tc>
          <w:tcPr>
            <w:tcW w:w="23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67E3CC">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推进三个重点，即配合推进药品耗材采购，推进服务价格调整，推进DIP支付方式改革。突破四个难点，即突破基金监管难点，突破市本级统筹难点，突破系统上线难点，突破争先创优难点</w:t>
            </w:r>
          </w:p>
        </w:tc>
        <w:tc>
          <w:tcPr>
            <w:tcW w:w="19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69D879">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是基金运行向稳向好。2025年全市医保基金总收入65.48亿元，总支出58.57亿元，当期结余6.91亿元，累计结余76.05亿元。全市职工医保统筹基金账面累计结余24.8亿元，可支付月数为21.68个月；城乡居民医保基金账面累计结余35.55亿元，可支付月数为10.41个月。</w:t>
            </w:r>
          </w:p>
          <w:p w14:paraId="1E87EE9D">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是服务大局有力有效。深化医保支付方式改革，助力区域医疗中心、中医药改革示范区建设。市域外来怀就诊人次、基层医疗机构使用医保基金占比逐年提高，市域内住院量占比91.39%，居全省第二。中药制剂纳入医保目录184个，居全省第一。</w:t>
            </w:r>
          </w:p>
          <w:p w14:paraId="12CF96AD">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是基金监管精准精细。以深入开展医保基金管理专项整治为抓手，推动药品追溯码采集应用、医保支付资格“驾照式”记分管理，共追罚医保基金8121.99万元，基金监管工作综合评估全省第一。全市住院率降幅1.83%，居全省第三。全市医保基金管理专项整治获中纪委、国家监委群众身边不正之风和腐败问题整治工作先进集体嘉奖。</w:t>
            </w:r>
          </w:p>
          <w:p w14:paraId="6A7D3ADB">
            <w:pPr>
              <w:keepNext w:val="0"/>
              <w:keepLines w:val="0"/>
              <w:pageBreakBefore w:val="0"/>
              <w:widowControl/>
              <w:suppressLineNumbers w:val="0"/>
              <w:kinsoku/>
              <w:wordWrap/>
              <w:overflowPunct/>
              <w:topLinePunct w:val="0"/>
              <w:autoSpaceDE/>
              <w:autoSpaceDN/>
              <w:bidi w:val="0"/>
              <w:adjustRightInd/>
              <w:snapToGrid/>
              <w:spacing w:line="220" w:lineRule="exact"/>
              <w:ind w:firstLine="400" w:firstLineChars="2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是医保惠民可感可及。2025年度医保参保覆盖率达97.95%，居全省第三。全市职工、居民住院实际报销比分别为74.46%、60.96%，集采药耗平均降价分别达53%、69%，在全省率先实现医保数据发布、完成乡镇及以上医院医保“刷脸”支付全覆盖和村卫生室医保定点结算。药耗集采、政策宣讲相关经验获国家局推介。</w:t>
            </w:r>
          </w:p>
        </w:tc>
      </w:tr>
      <w:tr w14:paraId="69411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8785A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r>
      <w:tr w14:paraId="357B6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A5CA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绩</w:t>
            </w:r>
          </w:p>
          <w:p w14:paraId="6E7C5A3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效</w:t>
            </w:r>
          </w:p>
          <w:p w14:paraId="544F6E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指</w:t>
            </w:r>
          </w:p>
          <w:p w14:paraId="584495B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FEE0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3249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04D4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0275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4087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0164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42C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F31C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偏差原因分析</w:t>
            </w:r>
          </w:p>
          <w:p w14:paraId="7E78FDB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及改进措施</w:t>
            </w:r>
          </w:p>
        </w:tc>
      </w:tr>
      <w:tr w14:paraId="269CD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B3681">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60E0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产出指标（40分）</w:t>
            </w:r>
          </w:p>
        </w:tc>
        <w:tc>
          <w:tcPr>
            <w:tcW w:w="692" w:type="pct"/>
            <w:vMerge w:val="restart"/>
            <w:tcBorders>
              <w:top w:val="nil"/>
              <w:left w:val="single" w:color="000000" w:sz="4" w:space="0"/>
              <w:bottom w:val="nil"/>
              <w:right w:val="single" w:color="000000" w:sz="4" w:space="0"/>
            </w:tcBorders>
            <w:shd w:val="clear" w:color="auto" w:fill="auto"/>
            <w:vAlign w:val="center"/>
          </w:tcPr>
          <w:p w14:paraId="2CBC8AA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4B27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医保参保人数覆盖情况</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B5B6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6039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12BB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9D9F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5D8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74D0E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A099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23392">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vMerge w:val="continue"/>
            <w:tcBorders>
              <w:top w:val="nil"/>
              <w:left w:val="single" w:color="000000" w:sz="4" w:space="0"/>
              <w:bottom w:val="nil"/>
              <w:right w:val="single" w:color="000000" w:sz="4" w:space="0"/>
            </w:tcBorders>
            <w:shd w:val="clear" w:color="auto" w:fill="auto"/>
            <w:vAlign w:val="center"/>
          </w:tcPr>
          <w:p w14:paraId="7CF85329">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AB04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基金稽查次数</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6A76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≥30次</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CCCB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≥30次</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A05D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B25B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3AAC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4E56A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23BA9">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5857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vMerge w:val="restart"/>
            <w:tcBorders>
              <w:top w:val="single" w:color="000000" w:sz="4" w:space="0"/>
              <w:left w:val="single" w:color="000000" w:sz="4" w:space="0"/>
              <w:bottom w:val="nil"/>
              <w:right w:val="single" w:color="000000" w:sz="4" w:space="0"/>
            </w:tcBorders>
            <w:shd w:val="clear" w:color="auto" w:fill="auto"/>
            <w:vAlign w:val="center"/>
          </w:tcPr>
          <w:p w14:paraId="239B276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80C5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基金稽查问题处置率</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5D3D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60F4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B48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7CD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A5B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70C53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78EE4">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1336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vMerge w:val="continue"/>
            <w:tcBorders>
              <w:top w:val="single" w:color="000000" w:sz="4" w:space="0"/>
              <w:left w:val="single" w:color="000000" w:sz="4" w:space="0"/>
              <w:bottom w:val="nil"/>
              <w:right w:val="single" w:color="000000" w:sz="4" w:space="0"/>
            </w:tcBorders>
            <w:shd w:val="clear" w:color="auto" w:fill="auto"/>
            <w:vAlign w:val="center"/>
          </w:tcPr>
          <w:p w14:paraId="04BC2910">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E37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经费使用准确性</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E409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5D4F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8522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175E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CE2D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0383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A0FC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E2B4A">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31AE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B481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履职目标完成工作时限</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F987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在规定时间内完成</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C9AB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在规定时间内完成</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BE29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7333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2015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1D85A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AF91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A30C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效益指标（20分）</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145B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FDFC8">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7B1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28EE8">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CC45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72BB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7528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1507D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0A963">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16C2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6A1A1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0666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保障单位正常运转</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5B3D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有效保障</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6E12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有效保障</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E1C0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5D03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D5D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4A771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1DAB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E561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96D32">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EE02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提高医疗保障事务管理水平</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3EDA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不断提升</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56BC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不断提升</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F7B3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7C13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3678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70349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20D54">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6DE4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9E8C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AA9C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管理制度健全性</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DB6F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效果明显</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0914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效果明显</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6B28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27C7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3341">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22F41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FD653">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1BAC1">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2202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67CA0">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82DD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74A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B528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C1D2A">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845F">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78AB1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F1238">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1C43A">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1CF3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30FE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促进医疗保障事业发展</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9B2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持续影响</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8F9C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持续影响</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91E5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681E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EB30">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25C6F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47B50">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tcBorders>
              <w:top w:val="nil"/>
              <w:left w:val="single" w:color="000000" w:sz="4" w:space="0"/>
              <w:bottom w:val="single" w:color="000000" w:sz="4" w:space="0"/>
              <w:right w:val="single" w:color="000000" w:sz="4" w:space="0"/>
            </w:tcBorders>
            <w:shd w:val="clear" w:color="auto" w:fill="auto"/>
            <w:vAlign w:val="center"/>
          </w:tcPr>
          <w:p w14:paraId="329C672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满意度指标（10分）</w:t>
            </w:r>
          </w:p>
        </w:tc>
        <w:tc>
          <w:tcPr>
            <w:tcW w:w="692" w:type="pct"/>
            <w:tcBorders>
              <w:top w:val="nil"/>
              <w:left w:val="single" w:color="000000" w:sz="4" w:space="0"/>
              <w:bottom w:val="single" w:color="000000" w:sz="4" w:space="0"/>
              <w:right w:val="single" w:color="000000" w:sz="4" w:space="0"/>
            </w:tcBorders>
            <w:shd w:val="clear" w:color="auto" w:fill="auto"/>
            <w:vAlign w:val="center"/>
          </w:tcPr>
          <w:p w14:paraId="6648BFC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AD8E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4A60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5C6A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639C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BC60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EEFD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07257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C634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0568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成本指标（20分）</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F181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经济成本指标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C224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预决算偏离度</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0A7B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控制在10%以内</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181A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控制在10%以内</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79C7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84D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5556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78712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1E1CA">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63B32">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762F1">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1552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支出合理合规率</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A96C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8F48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C1B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F388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A32E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4F7F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9EE89">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757C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044B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社会成本指标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D848">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2D43">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F5D4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4305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ED14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2AFEF">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1B505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1159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FB02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11C7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生态环境成本指标</w:t>
            </w: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2F45F">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782ED">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0CBD3">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2EDE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A5DD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c>
          <w:tcPr>
            <w:tcW w:w="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6366">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r w14:paraId="28A3C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106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总分</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DF87">
            <w:pPr>
              <w:keepNext w:val="0"/>
              <w:keepLines w:val="0"/>
              <w:pageBreakBefore w:val="0"/>
              <w:widowControl/>
              <w:kinsoku/>
              <w:wordWrap/>
              <w:overflowPunct/>
              <w:topLinePunct w:val="0"/>
              <w:autoSpaceDE/>
              <w:autoSpaceDN/>
              <w:bidi w:val="0"/>
              <w:adjustRightInd/>
              <w:snapToGrid/>
              <w:spacing w:line="220" w:lineRule="exact"/>
              <w:jc w:val="center"/>
              <w:rPr>
                <w:rFonts w:hint="eastAsia" w:ascii="仿宋_GB2312" w:hAnsi="宋体" w:eastAsia="仿宋_GB2312" w:cs="仿宋_GB2312"/>
                <w:i w:val="0"/>
                <w:iCs w:val="0"/>
                <w:color w:val="000000"/>
                <w:sz w:val="20"/>
                <w:szCs w:val="20"/>
                <w:u w:val="none"/>
              </w:rPr>
            </w:pP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7435E">
            <w:pPr>
              <w:keepNext w:val="0"/>
              <w:keepLines w:val="0"/>
              <w:pageBreakBefore w:val="0"/>
              <w:widowControl/>
              <w:kinsoku/>
              <w:wordWrap/>
              <w:overflowPunct/>
              <w:topLinePunct w:val="0"/>
              <w:autoSpaceDE/>
              <w:autoSpaceDN/>
              <w:bidi w:val="0"/>
              <w:adjustRightInd/>
              <w:snapToGrid/>
              <w:spacing w:line="220" w:lineRule="exact"/>
              <w:jc w:val="center"/>
              <w:rPr>
                <w:rFonts w:hint="eastAsia" w:ascii="仿宋_GB2312" w:hAnsi="宋体" w:eastAsia="仿宋_GB2312" w:cs="仿宋_GB2312"/>
                <w:i w:val="0"/>
                <w:iCs w:val="0"/>
                <w:color w:val="000000"/>
                <w:sz w:val="20"/>
                <w:szCs w:val="20"/>
                <w:u w:val="none"/>
              </w:rPr>
            </w:pPr>
          </w:p>
        </w:tc>
        <w:tc>
          <w:tcPr>
            <w:tcW w:w="6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D740">
            <w:pPr>
              <w:keepNext w:val="0"/>
              <w:keepLines w:val="0"/>
              <w:pageBreakBefore w:val="0"/>
              <w:widowControl/>
              <w:kinsoku/>
              <w:wordWrap/>
              <w:overflowPunct/>
              <w:topLinePunct w:val="0"/>
              <w:autoSpaceDE/>
              <w:autoSpaceDN/>
              <w:bidi w:val="0"/>
              <w:adjustRightInd/>
              <w:snapToGrid/>
              <w:spacing w:line="220" w:lineRule="exact"/>
              <w:jc w:val="center"/>
              <w:rPr>
                <w:rFonts w:hint="eastAsia" w:ascii="仿宋_GB2312" w:hAnsi="宋体" w:eastAsia="仿宋_GB2312" w:cs="仿宋_GB2312"/>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89C3B">
            <w:pPr>
              <w:keepNext w:val="0"/>
              <w:keepLines w:val="0"/>
              <w:pageBreakBefore w:val="0"/>
              <w:widowControl/>
              <w:kinsoku/>
              <w:wordWrap/>
              <w:overflowPunct/>
              <w:topLinePunct w:val="0"/>
              <w:autoSpaceDE/>
              <w:autoSpaceDN/>
              <w:bidi w:val="0"/>
              <w:adjustRightInd/>
              <w:snapToGrid/>
              <w:spacing w:line="220" w:lineRule="exact"/>
              <w:jc w:val="center"/>
              <w:rPr>
                <w:rFonts w:hint="eastAsia" w:ascii="仿宋_GB2312" w:hAnsi="宋体" w:eastAsia="仿宋_GB2312" w:cs="仿宋_GB2312"/>
                <w:i w:val="0"/>
                <w:iCs w:val="0"/>
                <w:color w:val="000000"/>
                <w:sz w:val="20"/>
                <w:szCs w:val="20"/>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A7B8D">
            <w:pPr>
              <w:keepNext w:val="0"/>
              <w:keepLines w:val="0"/>
              <w:pageBreakBefore w:val="0"/>
              <w:widowControl/>
              <w:kinsoku/>
              <w:wordWrap/>
              <w:overflowPunct/>
              <w:topLinePunct w:val="0"/>
              <w:autoSpaceDE/>
              <w:autoSpaceDN/>
              <w:bidi w:val="0"/>
              <w:adjustRightInd/>
              <w:snapToGrid/>
              <w:spacing w:line="220" w:lineRule="exact"/>
              <w:jc w:val="center"/>
              <w:rPr>
                <w:rFonts w:hint="eastAsia" w:ascii="仿宋_GB2312" w:hAnsi="宋体" w:eastAsia="仿宋_GB2312" w:cs="仿宋_GB2312"/>
                <w:i w:val="0"/>
                <w:iCs w:val="0"/>
                <w:color w:val="000000"/>
                <w:sz w:val="20"/>
                <w:szCs w:val="20"/>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6F1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CE93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99.51</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EA9D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20"/>
                <w:szCs w:val="20"/>
                <w:u w:val="none"/>
              </w:rPr>
            </w:pPr>
          </w:p>
        </w:tc>
      </w:tr>
    </w:tbl>
    <w:p w14:paraId="6FA3A69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220" w:lineRule="exact"/>
        <w:ind w:right="0"/>
        <w:jc w:val="left"/>
        <w:textAlignment w:val="auto"/>
        <w:rPr>
          <w:rFonts w:hint="eastAsia" w:ascii="Times New Roman" w:hAnsi="Times New Roman" w:eastAsia="仿宋_GB2312" w:cs="仿宋_GB2312"/>
          <w:i w:val="0"/>
          <w:iCs w:val="0"/>
          <w:caps w:val="0"/>
          <w:color w:val="000000"/>
          <w:spacing w:val="0"/>
          <w:sz w:val="20"/>
          <w:szCs w:val="20"/>
          <w:shd w:val="clear" w:color="auto" w:fill="FFFFFF"/>
        </w:rPr>
      </w:pPr>
    </w:p>
    <w:p w14:paraId="168E59D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220" w:lineRule="exact"/>
        <w:ind w:right="0"/>
        <w:jc w:val="left"/>
        <w:textAlignment w:val="auto"/>
        <w:rPr>
          <w:rFonts w:hint="eastAsia" w:ascii="Times New Roman" w:hAnsi="Times New Roman" w:eastAsia="仿宋_GB2312" w:cs="仿宋_GB2312"/>
          <w:i w:val="0"/>
          <w:iCs w:val="0"/>
          <w:caps w:val="0"/>
          <w:color w:val="000000"/>
          <w:spacing w:val="0"/>
          <w:sz w:val="20"/>
          <w:szCs w:val="20"/>
          <w:shd w:val="clear" w:color="auto" w:fill="FFFFFF"/>
        </w:rPr>
      </w:pPr>
      <w:r>
        <w:rPr>
          <w:rFonts w:hint="eastAsia" w:ascii="Times New Roman" w:hAnsi="Times New Roman" w:eastAsia="仿宋_GB2312" w:cs="仿宋_GB2312"/>
          <w:i w:val="0"/>
          <w:iCs w:val="0"/>
          <w:caps w:val="0"/>
          <w:color w:val="000000"/>
          <w:spacing w:val="0"/>
          <w:sz w:val="20"/>
          <w:szCs w:val="20"/>
          <w:shd w:val="clear" w:color="auto" w:fill="FFFFFF"/>
        </w:rPr>
        <w:t xml:space="preserve">填表人：唐嘉敏      </w:t>
      </w:r>
      <w:r>
        <w:rPr>
          <w:rFonts w:hint="eastAsia" w:ascii="Times New Roman" w:hAnsi="Times New Roman" w:eastAsia="仿宋_GB2312" w:cs="仿宋_GB2312"/>
          <w:i w:val="0"/>
          <w:iCs w:val="0"/>
          <w:caps w:val="0"/>
          <w:color w:val="000000"/>
          <w:spacing w:val="0"/>
          <w:sz w:val="20"/>
          <w:szCs w:val="20"/>
          <w:shd w:val="clear" w:color="auto" w:fill="FFFFFF"/>
          <w:lang w:val="en-US" w:eastAsia="zh-CN"/>
        </w:rPr>
        <w:t xml:space="preserve">  </w:t>
      </w:r>
      <w:r>
        <w:rPr>
          <w:rFonts w:hint="eastAsia" w:ascii="Times New Roman" w:hAnsi="Times New Roman" w:eastAsia="仿宋_GB2312" w:cs="仿宋_GB2312"/>
          <w:i w:val="0"/>
          <w:iCs w:val="0"/>
          <w:caps w:val="0"/>
          <w:color w:val="000000"/>
          <w:spacing w:val="0"/>
          <w:sz w:val="20"/>
          <w:szCs w:val="20"/>
          <w:shd w:val="clear" w:color="auto" w:fill="FFFFFF"/>
        </w:rPr>
        <w:t xml:space="preserve"> </w:t>
      </w:r>
      <w:r>
        <w:rPr>
          <w:rFonts w:hint="eastAsia" w:ascii="Times New Roman" w:hAnsi="Times New Roman" w:eastAsia="仿宋_GB2312" w:cs="仿宋_GB2312"/>
          <w:i w:val="0"/>
          <w:iCs w:val="0"/>
          <w:caps w:val="0"/>
          <w:color w:val="000000"/>
          <w:spacing w:val="0"/>
          <w:sz w:val="20"/>
          <w:szCs w:val="20"/>
          <w:shd w:val="clear" w:color="auto" w:fill="FFFFFF"/>
          <w:lang w:val="en-US" w:eastAsia="zh-CN"/>
        </w:rPr>
        <w:t xml:space="preserve">                       </w:t>
      </w:r>
      <w:r>
        <w:rPr>
          <w:rFonts w:hint="eastAsia" w:ascii="Times New Roman" w:hAnsi="Times New Roman" w:eastAsia="仿宋_GB2312" w:cs="仿宋_GB2312"/>
          <w:i w:val="0"/>
          <w:iCs w:val="0"/>
          <w:caps w:val="0"/>
          <w:color w:val="000000"/>
          <w:spacing w:val="0"/>
          <w:sz w:val="20"/>
          <w:szCs w:val="20"/>
          <w:shd w:val="clear" w:color="auto" w:fill="FFFFFF"/>
        </w:rPr>
        <w:t xml:space="preserve">  填报日期：2026年6月15日        </w:t>
      </w:r>
      <w:r>
        <w:rPr>
          <w:rFonts w:hint="eastAsia" w:ascii="Times New Roman" w:hAnsi="Times New Roman" w:eastAsia="仿宋_GB2312" w:cs="仿宋_GB2312"/>
          <w:i w:val="0"/>
          <w:iCs w:val="0"/>
          <w:caps w:val="0"/>
          <w:color w:val="000000"/>
          <w:spacing w:val="0"/>
          <w:sz w:val="20"/>
          <w:szCs w:val="20"/>
          <w:shd w:val="clear" w:color="auto" w:fill="FFFFFF"/>
          <w:lang w:val="en-US" w:eastAsia="zh-CN"/>
        </w:rPr>
        <w:t xml:space="preserve">            </w:t>
      </w:r>
      <w:r>
        <w:rPr>
          <w:rFonts w:hint="eastAsia" w:ascii="Times New Roman" w:hAnsi="Times New Roman" w:eastAsia="仿宋_GB2312" w:cs="仿宋_GB2312"/>
          <w:i w:val="0"/>
          <w:iCs w:val="0"/>
          <w:caps w:val="0"/>
          <w:color w:val="000000"/>
          <w:spacing w:val="0"/>
          <w:sz w:val="20"/>
          <w:szCs w:val="20"/>
          <w:shd w:val="clear" w:color="auto" w:fill="FFFFFF"/>
        </w:rPr>
        <w:t xml:space="preserve">   联系电话：15727400239</w:t>
      </w:r>
    </w:p>
    <w:sectPr>
      <w:pgSz w:w="16838" w:h="11906" w:orient="landscape"/>
      <w:pgMar w:top="1701" w:right="1701" w:bottom="1701" w:left="1701" w:header="851" w:footer="992" w:gutter="0"/>
      <w:cols w:space="0" w:num="1"/>
      <w:rtlGutter w:val="0"/>
      <w:docGrid w:type="linesAndChar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D392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FE2F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B4C35">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A28C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1BB47D">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B1BB47D">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HorizontalSpacing w:val="105"/>
  <w:drawingGridVerticalSpacing w:val="157"/>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70254A0"/>
    <w:rsid w:val="1D97DEFF"/>
    <w:rsid w:val="1DFF72E5"/>
    <w:rsid w:val="1EAE9095"/>
    <w:rsid w:val="1EFC6F07"/>
    <w:rsid w:val="2FDF85B8"/>
    <w:rsid w:val="2FE7C9F1"/>
    <w:rsid w:val="2FFFEE04"/>
    <w:rsid w:val="34DF85B0"/>
    <w:rsid w:val="3B8F36BC"/>
    <w:rsid w:val="3FDF7AB5"/>
    <w:rsid w:val="491FF225"/>
    <w:rsid w:val="4FFD214C"/>
    <w:rsid w:val="4FFEEC74"/>
    <w:rsid w:val="51717B75"/>
    <w:rsid w:val="576F6DDF"/>
    <w:rsid w:val="5777D4F5"/>
    <w:rsid w:val="59DD8326"/>
    <w:rsid w:val="5BBB46C3"/>
    <w:rsid w:val="5DEF592A"/>
    <w:rsid w:val="5F5FB65C"/>
    <w:rsid w:val="5FC6BB1E"/>
    <w:rsid w:val="5FF720F1"/>
    <w:rsid w:val="67FF5C0B"/>
    <w:rsid w:val="6A5E29D5"/>
    <w:rsid w:val="6EFC0924"/>
    <w:rsid w:val="6FB74722"/>
    <w:rsid w:val="6FEF8B7E"/>
    <w:rsid w:val="71A6591B"/>
    <w:rsid w:val="737D59BA"/>
    <w:rsid w:val="77BFDC67"/>
    <w:rsid w:val="77C37683"/>
    <w:rsid w:val="79D19834"/>
    <w:rsid w:val="79FF515B"/>
    <w:rsid w:val="7BF549BF"/>
    <w:rsid w:val="7D3FEAC6"/>
    <w:rsid w:val="7E9E1962"/>
    <w:rsid w:val="7E9F11B4"/>
    <w:rsid w:val="7F37EC1E"/>
    <w:rsid w:val="7F5B45DC"/>
    <w:rsid w:val="7F7DCD9D"/>
    <w:rsid w:val="7F970A6F"/>
    <w:rsid w:val="7F9C3603"/>
    <w:rsid w:val="7FC1FFF3"/>
    <w:rsid w:val="7FC69637"/>
    <w:rsid w:val="7FDF8620"/>
    <w:rsid w:val="7FE8C8F7"/>
    <w:rsid w:val="7FFB242F"/>
    <w:rsid w:val="7FFDB408"/>
    <w:rsid w:val="7FFE4EEB"/>
    <w:rsid w:val="95FB2B98"/>
    <w:rsid w:val="9A639BC2"/>
    <w:rsid w:val="9BFA491D"/>
    <w:rsid w:val="9DFF699C"/>
    <w:rsid w:val="9FF7D786"/>
    <w:rsid w:val="ABBFB23D"/>
    <w:rsid w:val="B6AFFE39"/>
    <w:rsid w:val="C3B4DA5A"/>
    <w:rsid w:val="CBFF70E0"/>
    <w:rsid w:val="CFF50B82"/>
    <w:rsid w:val="CFFFAD89"/>
    <w:rsid w:val="DBCBF12D"/>
    <w:rsid w:val="DDEAC825"/>
    <w:rsid w:val="DFFE359E"/>
    <w:rsid w:val="DFFE4FFD"/>
    <w:rsid w:val="EDF7E29D"/>
    <w:rsid w:val="EEABED75"/>
    <w:rsid w:val="F4F7F890"/>
    <w:rsid w:val="F56FDF51"/>
    <w:rsid w:val="F6B69F17"/>
    <w:rsid w:val="F77F1D61"/>
    <w:rsid w:val="F7FED3A9"/>
    <w:rsid w:val="F8C9DB26"/>
    <w:rsid w:val="F97E8EAE"/>
    <w:rsid w:val="FB36E1A6"/>
    <w:rsid w:val="FB3BE134"/>
    <w:rsid w:val="FCFF4275"/>
    <w:rsid w:val="FD7FEEEA"/>
    <w:rsid w:val="FDFFB577"/>
    <w:rsid w:val="FEEA50FE"/>
    <w:rsid w:val="FEEF326E"/>
    <w:rsid w:val="FF7D47A9"/>
    <w:rsid w:val="FF7F1441"/>
    <w:rsid w:val="FF7F4EBD"/>
    <w:rsid w:val="FF7F63BE"/>
    <w:rsid w:val="FFCF21CB"/>
    <w:rsid w:val="FFFD9680"/>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font31"/>
    <w:basedOn w:val="10"/>
    <w:uiPriority w:val="0"/>
    <w:rPr>
      <w:rFonts w:hint="eastAsia" w:ascii="仿宋_GB2312" w:eastAsia="仿宋_GB2312" w:cs="仿宋_GB2312"/>
      <w:b/>
      <w:bCs/>
      <w:color w:val="000000"/>
      <w:sz w:val="20"/>
      <w:szCs w:val="20"/>
      <w:u w:val="none"/>
    </w:rPr>
  </w:style>
  <w:style w:type="character" w:customStyle="1" w:styleId="20">
    <w:name w:val="font61"/>
    <w:basedOn w:val="10"/>
    <w:uiPriority w:val="0"/>
    <w:rPr>
      <w:rFonts w:hint="eastAsia" w:ascii="仿宋_GB2312" w:eastAsia="仿宋_GB2312" w:cs="仿宋_GB2312"/>
      <w:color w:val="000000"/>
      <w:sz w:val="20"/>
      <w:szCs w:val="20"/>
      <w:u w:val="none"/>
    </w:rPr>
  </w:style>
  <w:style w:type="character" w:customStyle="1" w:styleId="21">
    <w:name w:val="font51"/>
    <w:basedOn w:val="10"/>
    <w:uiPriority w:val="0"/>
    <w:rPr>
      <w:rFonts w:hint="eastAsia" w:ascii="仿宋_GB2312" w:eastAsia="仿宋_GB2312" w:cs="仿宋_GB2312"/>
      <w:color w:val="000000"/>
      <w:sz w:val="20"/>
      <w:szCs w:val="20"/>
      <w:u w:val="none"/>
    </w:rPr>
  </w:style>
  <w:style w:type="character" w:customStyle="1" w:styleId="22">
    <w:name w:val="font71"/>
    <w:basedOn w:val="10"/>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55</Pages>
  <Words>2922</Words>
  <Characters>3474</Characters>
  <Lines>69</Lines>
  <Paragraphs>19</Paragraphs>
  <TotalTime>2</TotalTime>
  <ScaleCrop>false</ScaleCrop>
  <LinksUpToDate>false</LinksUpToDate>
  <CharactersWithSpaces>3907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Whisper</cp:lastModifiedBy>
  <cp:lastPrinted>2026-09-21T09:32:40Z</cp:lastPrinted>
  <dcterms:modified xsi:type="dcterms:W3CDTF">2026-09-21T09:32:45Z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6A86AEDC46024739A8416C1114D96CCE_13</vt:lpwstr>
  </property>
  <property fmtid="{D5CDD505-2E9C-101B-9397-08002B2CF9AE}" pid="4" name="KSOTemplateDocerSaveRecord">
    <vt:lpwstr>eyJoZGlkIjoiNGM0OTRmMTQ5NmEyOTRmMGEyMjJjZGU3ZTU0OWUwMmUiLCJ1c2VySWQiOiI3MzgwMzU5OTcifQ==</vt:lpwstr>
  </property>
</Properties>
</file>