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b/>
          <w:bCs/>
          <w:sz w:val="48"/>
          <w:szCs w:val="48"/>
        </w:rPr>
      </w:pPr>
      <w:r>
        <w:rPr>
          <w:rFonts w:ascii="仿宋" w:hAnsi="仿宋" w:eastAsia="仿宋"/>
          <w:b/>
          <w:bCs/>
          <w:sz w:val="48"/>
          <w:szCs w:val="48"/>
        </w:rPr>
        <w:t>2021年度</w:t>
      </w:r>
      <w:r>
        <w:rPr>
          <w:rFonts w:hint="eastAsia" w:ascii="仿宋" w:hAnsi="仿宋" w:eastAsia="仿宋"/>
          <w:b/>
          <w:bCs/>
          <w:sz w:val="48"/>
          <w:szCs w:val="48"/>
        </w:rPr>
        <w:t>怀化市医疗保障局部门决算</w:t>
      </w:r>
    </w:p>
    <w:p>
      <w:pPr>
        <w:spacing w:line="600" w:lineRule="exact"/>
        <w:rPr>
          <w:rFonts w:ascii="仿宋" w:hAnsi="仿宋" w:eastAsia="仿宋"/>
          <w:sz w:val="32"/>
          <w:szCs w:val="32"/>
        </w:rPr>
      </w:pPr>
    </w:p>
    <w:p>
      <w:pPr>
        <w:spacing w:line="600" w:lineRule="exact"/>
        <w:jc w:val="center"/>
        <w:rPr>
          <w:rFonts w:ascii="黑体" w:hAnsi="黑体" w:eastAsia="黑体"/>
          <w:b/>
          <w:bCs/>
          <w:sz w:val="32"/>
          <w:szCs w:val="32"/>
        </w:rPr>
      </w:pPr>
      <w:r>
        <w:rPr>
          <w:rFonts w:hint="eastAsia" w:ascii="黑体" w:hAnsi="黑体" w:eastAsia="黑体"/>
          <w:b/>
          <w:bCs/>
          <w:sz w:val="32"/>
          <w:szCs w:val="32"/>
        </w:rPr>
        <w:t>目 录</w:t>
      </w:r>
    </w:p>
    <w:p>
      <w:pPr>
        <w:spacing w:line="600" w:lineRule="exact"/>
        <w:ind w:firstLine="643" w:firstLineChars="200"/>
        <w:rPr>
          <w:rFonts w:ascii="黑体" w:hAnsi="黑体" w:eastAsia="黑体"/>
          <w:b/>
          <w:bCs/>
          <w:sz w:val="32"/>
          <w:szCs w:val="32"/>
        </w:rPr>
      </w:pPr>
      <w:r>
        <w:rPr>
          <w:rFonts w:hint="eastAsia" w:ascii="黑体" w:hAnsi="黑体" w:eastAsia="黑体"/>
          <w:b/>
          <w:bCs/>
          <w:sz w:val="32"/>
          <w:szCs w:val="32"/>
        </w:rPr>
        <w:t>第一部分 怀化市医疗保障局单位概况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一、部门职责</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二、机构设置</w:t>
      </w:r>
    </w:p>
    <w:p>
      <w:pPr>
        <w:spacing w:line="600" w:lineRule="exact"/>
        <w:ind w:firstLine="643" w:firstLineChars="200"/>
        <w:rPr>
          <w:rFonts w:ascii="黑体" w:hAnsi="黑体" w:eastAsia="黑体"/>
          <w:b/>
          <w:bCs/>
          <w:sz w:val="32"/>
          <w:szCs w:val="32"/>
        </w:rPr>
      </w:pPr>
      <w:r>
        <w:rPr>
          <w:rFonts w:hint="eastAsia" w:ascii="黑体" w:hAnsi="黑体" w:eastAsia="黑体"/>
          <w:b/>
          <w:bCs/>
          <w:sz w:val="32"/>
          <w:szCs w:val="32"/>
        </w:rPr>
        <w:t xml:space="preserve">第二部分 </w:t>
      </w:r>
      <w:r>
        <w:rPr>
          <w:rFonts w:ascii="黑体" w:hAnsi="黑体" w:eastAsia="黑体"/>
          <w:b/>
          <w:bCs/>
          <w:sz w:val="32"/>
          <w:szCs w:val="32"/>
        </w:rPr>
        <w:t>2021年度部门决算表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一、收入支出决算总表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二、收入决算表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三、支出决算表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四、财政拨款收入支出决算总表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五、一般公共预算财政拨款支出决算表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六、一般公共预算财政拨款基本支出决算明细表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七、一般公共预算财政拨款“三公”经费支出决算表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八、政府性基金预算财政拨款收入支出决算表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九、国有资本经营预算财政拨款支出决算表</w:t>
      </w:r>
    </w:p>
    <w:p>
      <w:pPr>
        <w:spacing w:line="600" w:lineRule="exact"/>
        <w:ind w:firstLine="643" w:firstLineChars="200"/>
        <w:rPr>
          <w:rFonts w:ascii="黑体" w:hAnsi="黑体" w:eastAsia="黑体"/>
          <w:b/>
          <w:bCs/>
          <w:sz w:val="32"/>
          <w:szCs w:val="32"/>
        </w:rPr>
      </w:pPr>
      <w:r>
        <w:rPr>
          <w:rFonts w:hint="eastAsia" w:ascii="黑体" w:hAnsi="黑体" w:eastAsia="黑体"/>
          <w:b/>
          <w:bCs/>
          <w:sz w:val="32"/>
          <w:szCs w:val="32"/>
        </w:rPr>
        <w:t xml:space="preserve">第三部分 </w:t>
      </w:r>
      <w:r>
        <w:rPr>
          <w:rFonts w:ascii="黑体" w:hAnsi="黑体" w:eastAsia="黑体"/>
          <w:b/>
          <w:bCs/>
          <w:sz w:val="32"/>
          <w:szCs w:val="32"/>
        </w:rPr>
        <w:t>2021年度部门决算情况说明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一、收入支出决算总体情况说明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二、收入决算情况说明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三、支出决算情况说明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四、财政拨款收入支出决算总体情况说明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五、一般公共预算财政拨款支出决算情况说明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六、一般公共预算财政拨款基本支出决算情况说明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七、一般公共预算财政拨款“三公”经费支出决算情况说明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八、政府性基金预算收入支出决算情况</w:t>
      </w:r>
    </w:p>
    <w:p>
      <w:pPr>
        <w:spacing w:line="600" w:lineRule="exact"/>
        <w:ind w:firstLine="640" w:firstLineChars="200"/>
        <w:rPr>
          <w:rFonts w:ascii="仿宋" w:hAnsi="仿宋" w:eastAsia="仿宋"/>
          <w:sz w:val="32"/>
          <w:szCs w:val="32"/>
        </w:rPr>
      </w:pPr>
      <w:r>
        <w:rPr>
          <w:rFonts w:ascii="仿宋" w:hAnsi="仿宋" w:eastAsia="仿宋"/>
          <w:sz w:val="32"/>
          <w:szCs w:val="32"/>
        </w:rPr>
        <w:t>九、国有资本经营预算财政拨款支出决算情况说明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十、机关运行经费支出说明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十一、一般性支出情况说明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十二、政府采购支出说明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十三、国有资产占用情况说明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十四、</w:t>
      </w:r>
      <w:r>
        <w:rPr>
          <w:rFonts w:ascii="仿宋" w:hAnsi="仿宋" w:eastAsia="仿宋"/>
          <w:sz w:val="32"/>
          <w:szCs w:val="32"/>
        </w:rPr>
        <w:t>2021年度预算绩效情况说明</w:t>
      </w:r>
    </w:p>
    <w:p>
      <w:pPr>
        <w:spacing w:line="600" w:lineRule="exact"/>
        <w:ind w:firstLine="643" w:firstLineChars="200"/>
        <w:rPr>
          <w:rFonts w:ascii="黑体" w:hAnsi="黑体" w:eastAsia="黑体"/>
          <w:b/>
          <w:bCs/>
          <w:sz w:val="32"/>
          <w:szCs w:val="32"/>
        </w:rPr>
      </w:pPr>
      <w:r>
        <w:rPr>
          <w:rFonts w:hint="eastAsia" w:ascii="黑体" w:hAnsi="黑体" w:eastAsia="黑体"/>
          <w:b/>
          <w:bCs/>
          <w:sz w:val="32"/>
          <w:szCs w:val="32"/>
        </w:rPr>
        <w:t>第四部分名词解释</w:t>
      </w:r>
    </w:p>
    <w:p>
      <w:pPr>
        <w:spacing w:line="600" w:lineRule="exact"/>
        <w:ind w:firstLine="643" w:firstLineChars="200"/>
        <w:rPr>
          <w:rFonts w:ascii="黑体" w:hAnsi="黑体" w:eastAsia="黑体"/>
          <w:b/>
          <w:bCs/>
          <w:sz w:val="32"/>
          <w:szCs w:val="32"/>
        </w:rPr>
      </w:pPr>
      <w:r>
        <w:rPr>
          <w:rFonts w:hint="eastAsia" w:ascii="黑体" w:hAnsi="黑体" w:eastAsia="黑体"/>
          <w:b/>
          <w:bCs/>
          <w:sz w:val="32"/>
          <w:szCs w:val="32"/>
        </w:rPr>
        <w:t>第五部分附件</w:t>
      </w:r>
    </w:p>
    <w:p>
      <w:pPr>
        <w:spacing w:line="600" w:lineRule="exact"/>
        <w:ind w:firstLine="640" w:firstLineChars="200"/>
        <w:rPr>
          <w:rFonts w:ascii="仿宋" w:hAnsi="仿宋" w:eastAsia="仿宋"/>
          <w:sz w:val="32"/>
          <w:szCs w:val="32"/>
        </w:rPr>
      </w:pPr>
    </w:p>
    <w:p>
      <w:pPr>
        <w:spacing w:line="600" w:lineRule="exact"/>
        <w:ind w:firstLine="883" w:firstLineChars="200"/>
        <w:jc w:val="center"/>
        <w:rPr>
          <w:rFonts w:ascii="黑体" w:hAnsi="黑体" w:eastAsia="黑体"/>
          <w:b/>
          <w:bCs/>
          <w:sz w:val="44"/>
          <w:szCs w:val="44"/>
        </w:rPr>
      </w:pPr>
      <w:r>
        <w:rPr>
          <w:rFonts w:hint="eastAsia" w:ascii="黑体" w:hAnsi="黑体" w:eastAsia="黑体"/>
          <w:b/>
          <w:bCs/>
          <w:sz w:val="44"/>
          <w:szCs w:val="44"/>
        </w:rPr>
        <w:t>第一部分</w:t>
      </w:r>
      <w:r>
        <w:rPr>
          <w:rFonts w:ascii="黑体" w:hAnsi="黑体" w:eastAsia="黑体"/>
          <w:b/>
          <w:bCs/>
          <w:sz w:val="44"/>
          <w:szCs w:val="44"/>
        </w:rPr>
        <w:t xml:space="preserve"> </w:t>
      </w:r>
      <w:r>
        <w:rPr>
          <w:rFonts w:hint="eastAsia" w:ascii="黑体" w:hAnsi="黑体" w:eastAsia="黑体"/>
          <w:b/>
          <w:bCs/>
          <w:sz w:val="44"/>
          <w:szCs w:val="44"/>
        </w:rPr>
        <w:t>怀化市医疗保障局单位概况</w:t>
      </w:r>
    </w:p>
    <w:p>
      <w:pPr>
        <w:spacing w:line="600" w:lineRule="exact"/>
        <w:ind w:firstLine="640" w:firstLineChars="200"/>
        <w:rPr>
          <w:rFonts w:ascii="仿宋" w:hAnsi="仿宋" w:eastAsia="仿宋"/>
          <w:sz w:val="32"/>
          <w:szCs w:val="32"/>
        </w:rPr>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部门职责</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怀化市医疗保障局贯彻落实党中央关于医疗保障工作的方针政策和决策部署，全面落实省委、市委关于医疗保障工作的部署要求，在履行职责过程中坚持和加强党对医疗保障工作的集中统一领导。主要职责是：</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（一）拟订全市医疗保险、生育保险、医疗救助等医疗保障制度的规范性文件、规划和标准，并组织实施。</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（二）组织制定并实施全市医疗保障基金监督管理办法，监督管理相关医疗保障基金，建立健全医疗保障基金安全防控机制，推进医疗保障基金支付方式改革。</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（三）组织制定全市医疗保障筹资和待遇实施办法，完善动态调整和区域调剂平衡机制，统筹城乡医疗保障待遇标准，建立健全与筹资水平相适应的待遇调整机制，组织拟订并实施长期护理保险制度改革方案。</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（四）组织制定全市城乡统一的药品、医用耗材、医疗服务项目、医疗服务设施等医保目录和支付标准，建立动态调整机制，制定医保目录准入谈判规则并组织实施。</w:t>
      </w:r>
    </w:p>
    <w:p>
      <w:pPr>
        <w:spacing w:line="600" w:lineRule="exact"/>
        <w:ind w:firstLine="640" w:firstLineChars="200"/>
        <w:rPr>
          <w:rFonts w:ascii="仿宋" w:hAnsi="仿宋" w:eastAsia="仿宋"/>
          <w:sz w:val="32"/>
          <w:szCs w:val="32"/>
        </w:rPr>
      </w:pPr>
      <w:r>
        <w:rPr>
          <w:rFonts w:ascii="仿宋" w:hAnsi="仿宋" w:eastAsia="仿宋"/>
          <w:sz w:val="32"/>
          <w:szCs w:val="32"/>
        </w:rPr>
        <w:t>（五）组织制定全市药品、医用耗材价格和医疗服务项目、医疗服务设施收费等实施办法，建立医保支付医药服务价格合理确定和动态调整机制，推动建立市场主导的社会医药服务价格形成机制，建立价格信息监测和信息发布制度。</w:t>
      </w:r>
    </w:p>
    <w:p>
      <w:pPr>
        <w:spacing w:line="600" w:lineRule="exact"/>
        <w:ind w:firstLine="640" w:firstLineChars="200"/>
        <w:rPr>
          <w:rFonts w:ascii="仿宋" w:hAnsi="仿宋" w:eastAsia="仿宋"/>
          <w:sz w:val="32"/>
          <w:szCs w:val="32"/>
        </w:rPr>
      </w:pPr>
      <w:r>
        <w:rPr>
          <w:rFonts w:ascii="仿宋" w:hAnsi="仿宋" w:eastAsia="仿宋"/>
          <w:sz w:val="32"/>
          <w:szCs w:val="32"/>
        </w:rPr>
        <w:t>（六）制定全市药品、医用耗材的招标采购办法并监督实施，指导药品、医用耗材招标采购平台建设。</w:t>
      </w:r>
    </w:p>
    <w:p>
      <w:pPr>
        <w:spacing w:line="600" w:lineRule="exact"/>
        <w:ind w:firstLine="640" w:firstLineChars="200"/>
        <w:rPr>
          <w:rFonts w:ascii="仿宋" w:hAnsi="仿宋" w:eastAsia="仿宋"/>
          <w:sz w:val="32"/>
          <w:szCs w:val="32"/>
        </w:rPr>
      </w:pPr>
      <w:r>
        <w:rPr>
          <w:rFonts w:ascii="仿宋" w:hAnsi="仿宋" w:eastAsia="仿宋"/>
          <w:sz w:val="32"/>
          <w:szCs w:val="32"/>
        </w:rPr>
        <w:t>（七）制定全市定点医药机构协议和支付管理办法并组织实施，建立健全医疗保障信用评价体系和信息披露制度，监督管理纳入医保范围内的医疗服务行为和医疗费用，依法查处医疗保障领域违法违规行为。</w:t>
      </w:r>
    </w:p>
    <w:p>
      <w:pPr>
        <w:spacing w:line="600" w:lineRule="exact"/>
        <w:ind w:firstLine="640" w:firstLineChars="200"/>
        <w:rPr>
          <w:rFonts w:ascii="仿宋" w:hAnsi="仿宋" w:eastAsia="仿宋"/>
          <w:sz w:val="32"/>
          <w:szCs w:val="32"/>
        </w:rPr>
      </w:pPr>
      <w:r>
        <w:rPr>
          <w:rFonts w:ascii="仿宋" w:hAnsi="仿宋" w:eastAsia="仿宋"/>
          <w:sz w:val="32"/>
          <w:szCs w:val="32"/>
        </w:rPr>
        <w:t>（八）负责全市医疗保障经办管理、公共服务体系和信息化建设。指导、监督全市医疗保险、大病保险(含职工大病互助)、生育保险、医疗救助等医疗保障经办业务工作。组织制定和完善异地就医管理和费用结算办法。建立健全医疗保障关系转移接续制度。开展医疗保障领域国内外合作交流。</w:t>
      </w:r>
    </w:p>
    <w:p>
      <w:pPr>
        <w:spacing w:line="600" w:lineRule="exact"/>
        <w:ind w:firstLine="640" w:firstLineChars="200"/>
        <w:rPr>
          <w:rFonts w:ascii="仿宋" w:hAnsi="仿宋" w:eastAsia="仿宋"/>
          <w:sz w:val="32"/>
          <w:szCs w:val="32"/>
        </w:rPr>
      </w:pPr>
      <w:r>
        <w:rPr>
          <w:rFonts w:ascii="仿宋" w:hAnsi="仿宋" w:eastAsia="仿宋"/>
          <w:sz w:val="32"/>
          <w:szCs w:val="32"/>
        </w:rPr>
        <w:t>（九）职能转变。市医保局应完善统一的城乡居民基本医疗保险制度和大病保险制度，巩固完善城乡居民医疗救助制度，建立健全覆盖全民、城乡统筹的多层次医疗保障体系，不断提高医疗保障水平，确保医保资金合理使用、安全可控，推进医疗、医保、医药“三医联动”改革，更好保障人民群众就医需求、减轻医药费用负担。</w:t>
      </w:r>
    </w:p>
    <w:p>
      <w:pPr>
        <w:spacing w:line="600" w:lineRule="exact"/>
        <w:ind w:firstLine="640" w:firstLineChars="200"/>
        <w:rPr>
          <w:rFonts w:ascii="仿宋" w:hAnsi="仿宋" w:eastAsia="仿宋"/>
          <w:sz w:val="32"/>
          <w:szCs w:val="32"/>
        </w:rPr>
      </w:pPr>
      <w:r>
        <w:rPr>
          <w:rFonts w:ascii="仿宋" w:hAnsi="仿宋" w:eastAsia="仿宋"/>
          <w:sz w:val="32"/>
          <w:szCs w:val="32"/>
        </w:rPr>
        <w:t>（十）与市卫生健康委等部门在医疗、医保、医药等方面加强制度、政策衔接，建立沟通协商机制，协同推进改革，提高医疗资源使用效率和医疗保障水平。</w:t>
      </w:r>
    </w:p>
    <w:p>
      <w:pPr>
        <w:spacing w:line="600" w:lineRule="exact"/>
        <w:ind w:firstLine="640" w:firstLineChars="200"/>
        <w:rPr>
          <w:rFonts w:ascii="仿宋" w:hAnsi="仿宋" w:eastAsia="仿宋"/>
          <w:sz w:val="32"/>
          <w:szCs w:val="32"/>
        </w:rPr>
      </w:pPr>
      <w:r>
        <w:rPr>
          <w:rFonts w:ascii="仿宋" w:hAnsi="仿宋" w:eastAsia="仿宋"/>
          <w:sz w:val="32"/>
          <w:szCs w:val="32"/>
        </w:rPr>
        <w:t>（十一）完成市委、市政府交办的其他任务。</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二、机构设置及决算单位构成</w:t>
      </w:r>
    </w:p>
    <w:p>
      <w:pPr>
        <w:spacing w:line="600" w:lineRule="exact"/>
        <w:ind w:firstLine="643" w:firstLineChars="200"/>
        <w:rPr>
          <w:rFonts w:ascii="仿宋" w:hAnsi="仿宋" w:eastAsia="仿宋"/>
          <w:sz w:val="32"/>
          <w:szCs w:val="32"/>
        </w:rPr>
      </w:pPr>
      <w:r>
        <w:rPr>
          <w:rFonts w:hint="eastAsia" w:ascii="仿宋" w:hAnsi="仿宋" w:eastAsia="仿宋"/>
          <w:b/>
          <w:bCs/>
          <w:sz w:val="32"/>
          <w:szCs w:val="32"/>
        </w:rPr>
        <w:t>（一）内设机构设置。</w:t>
      </w:r>
      <w:r>
        <w:rPr>
          <w:rFonts w:hint="eastAsia" w:ascii="仿宋" w:hAnsi="仿宋" w:eastAsia="仿宋"/>
          <w:sz w:val="32"/>
          <w:szCs w:val="32"/>
        </w:rPr>
        <w:t>怀化市医疗保障局作为一级部门预算单位，内设科室为：办公室、规划财务和法规科、待遇保障科、医药服务和定价采购科、基金监管科。怀化市医疗保障事务中心作为二级部门预算单位，内设科室为：综合部、财务审核部、待遇保障服务部、异地结算和稽核事务部、医药招采事务部、协议管理和价格监测部。</w:t>
      </w:r>
    </w:p>
    <w:p>
      <w:pPr>
        <w:spacing w:line="600" w:lineRule="exact"/>
        <w:ind w:firstLine="643" w:firstLineChars="200"/>
        <w:rPr>
          <w:rFonts w:ascii="仿宋" w:hAnsi="仿宋" w:eastAsia="仿宋"/>
          <w:sz w:val="32"/>
          <w:szCs w:val="32"/>
        </w:rPr>
      </w:pPr>
      <w:r>
        <w:rPr>
          <w:rFonts w:hint="eastAsia" w:ascii="仿宋" w:hAnsi="仿宋" w:eastAsia="仿宋"/>
          <w:b/>
          <w:bCs/>
          <w:sz w:val="32"/>
          <w:szCs w:val="32"/>
        </w:rPr>
        <w:t>（二）决算单位构成。</w:t>
      </w:r>
      <w:r>
        <w:rPr>
          <w:rFonts w:hint="eastAsia" w:ascii="仿宋" w:hAnsi="仿宋" w:eastAsia="仿宋"/>
          <w:sz w:val="32"/>
          <w:szCs w:val="32"/>
        </w:rPr>
        <w:t>本报告中纳入</w:t>
      </w:r>
      <w:r>
        <w:rPr>
          <w:rFonts w:ascii="仿宋" w:hAnsi="仿宋" w:eastAsia="仿宋"/>
          <w:sz w:val="32"/>
          <w:szCs w:val="32"/>
        </w:rPr>
        <w:t>2021年部门决算编制范围的只有怀化市医疗保障局本级。</w:t>
      </w:r>
    </w:p>
    <w:p>
      <w:pPr>
        <w:spacing w:line="600" w:lineRule="exact"/>
        <w:rPr>
          <w:rFonts w:ascii="仿宋" w:hAnsi="仿宋" w:eastAsia="仿宋"/>
          <w:sz w:val="32"/>
          <w:szCs w:val="32"/>
        </w:rPr>
      </w:pPr>
    </w:p>
    <w:p>
      <w:pPr>
        <w:spacing w:line="600" w:lineRule="exact"/>
        <w:ind w:firstLine="880" w:firstLineChars="200"/>
        <w:jc w:val="center"/>
        <w:rPr>
          <w:rFonts w:ascii="黑体" w:hAnsi="黑体" w:eastAsia="黑体"/>
          <w:sz w:val="44"/>
          <w:szCs w:val="44"/>
        </w:rPr>
      </w:pPr>
      <w:r>
        <w:rPr>
          <w:rFonts w:hint="eastAsia" w:ascii="黑体" w:hAnsi="黑体" w:eastAsia="黑体"/>
          <w:sz w:val="44"/>
          <w:szCs w:val="44"/>
        </w:rPr>
        <w:t>第二部分 部门决算表</w:t>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（详情见附件）</w:t>
      </w:r>
    </w:p>
    <w:p>
      <w:pPr>
        <w:spacing w:line="600" w:lineRule="exact"/>
        <w:ind w:firstLine="640" w:firstLineChars="200"/>
        <w:jc w:val="center"/>
        <w:rPr>
          <w:rFonts w:ascii="仿宋" w:hAnsi="仿宋" w:eastAsia="仿宋"/>
          <w:sz w:val="32"/>
          <w:szCs w:val="32"/>
        </w:rPr>
      </w:pPr>
    </w:p>
    <w:p>
      <w:pPr>
        <w:spacing w:line="600" w:lineRule="exact"/>
        <w:jc w:val="center"/>
        <w:rPr>
          <w:rFonts w:ascii="黑体" w:hAnsi="黑体" w:eastAsia="黑体"/>
          <w:b/>
          <w:bCs/>
          <w:sz w:val="44"/>
          <w:szCs w:val="44"/>
        </w:rPr>
      </w:pPr>
      <w:r>
        <w:rPr>
          <w:rFonts w:hint="eastAsia" w:ascii="黑体" w:hAnsi="黑体" w:eastAsia="黑体"/>
          <w:b/>
          <w:bCs/>
          <w:sz w:val="44"/>
          <w:szCs w:val="44"/>
        </w:rPr>
        <w:t xml:space="preserve">第三部分 </w:t>
      </w:r>
      <w:r>
        <w:rPr>
          <w:rFonts w:ascii="黑体" w:hAnsi="黑体" w:eastAsia="黑体"/>
          <w:b/>
          <w:bCs/>
          <w:sz w:val="44"/>
          <w:szCs w:val="44"/>
        </w:rPr>
        <w:t>2021年度部门决算情况说明</w:t>
      </w:r>
    </w:p>
    <w:p>
      <w:pPr>
        <w:spacing w:line="600" w:lineRule="exact"/>
        <w:ind w:firstLine="640" w:firstLineChars="200"/>
        <w:rPr>
          <w:rFonts w:hint="eastAsia" w:ascii="仿宋" w:hAnsi="仿宋" w:eastAsia="仿宋"/>
          <w:sz w:val="32"/>
          <w:szCs w:val="32"/>
        </w:rPr>
      </w:pPr>
      <w:r>
        <w:rPr>
          <w:rFonts w:ascii="仿宋" w:hAnsi="仿宋" w:eastAsia="仿宋"/>
          <w:sz w:val="32"/>
          <w:szCs w:val="32"/>
        </w:rPr>
        <w:t> </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一、收入支出决算总体情况说明</w:t>
      </w:r>
    </w:p>
    <w:p>
      <w:pPr>
        <w:spacing w:line="600" w:lineRule="exact"/>
        <w:ind w:firstLine="640" w:firstLineChars="200"/>
        <w:rPr>
          <w:rFonts w:ascii="仿宋" w:hAnsi="仿宋" w:eastAsia="仿宋"/>
          <w:sz w:val="32"/>
          <w:szCs w:val="32"/>
        </w:rPr>
      </w:pPr>
      <w:r>
        <w:rPr>
          <w:rFonts w:ascii="仿宋" w:hAnsi="仿宋" w:eastAsia="仿宋"/>
          <w:sz w:val="32"/>
          <w:szCs w:val="32"/>
        </w:rPr>
        <w:t>2021年度收入总计</w:t>
      </w:r>
      <w:r>
        <w:rPr>
          <w:rFonts w:hint="eastAsia" w:ascii="仿宋" w:hAnsi="仿宋" w:eastAsia="仿宋"/>
          <w:sz w:val="32"/>
          <w:szCs w:val="32"/>
        </w:rPr>
        <w:t>各</w:t>
      </w:r>
      <w:r>
        <w:rPr>
          <w:rFonts w:ascii="仿宋" w:hAnsi="仿宋" w:eastAsia="仿宋"/>
          <w:sz w:val="32"/>
          <w:szCs w:val="32"/>
        </w:rPr>
        <w:t>535.01万元，支出总计535.01万元。与上年相比，减少169.09万元，增长（减少）24.02%，主要是因为我单位2020年度和二级机构财务合并，2021年度财务分开各自独立核算，故本年度比上年度收入总计减少。</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二、收入决算情况说明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本年收入合计</w:t>
      </w:r>
      <w:r>
        <w:rPr>
          <w:rFonts w:ascii="仿宋" w:hAnsi="仿宋" w:eastAsia="仿宋"/>
          <w:sz w:val="32"/>
          <w:szCs w:val="32"/>
        </w:rPr>
        <w:t>528.01万元，其中：财政拨款收入528.01万元，占100%；上级补助收入0.00万元，占0%；事业收入0.00万元，占0%；经营收入0.00万元，占0%；附属单位上缴收入0.00万元，占0%；其他收入0.00万元，占0%。</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三、支出决算情况说明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本年支出合计</w:t>
      </w:r>
      <w:r>
        <w:rPr>
          <w:rFonts w:ascii="仿宋" w:hAnsi="仿宋" w:eastAsia="仿宋"/>
          <w:sz w:val="32"/>
          <w:szCs w:val="32"/>
        </w:rPr>
        <w:t>535.01万元，其中：基本支出535.01万元，占100%；项目支出0.00万元，占0%；上缴上级支出0.00万元，占0%；经营支出0.00万元，占0%；对附属单位补助支出0.00万元，占0%。</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四、财政拨款收入支出决算总体情况说明</w:t>
      </w:r>
    </w:p>
    <w:p>
      <w:pPr>
        <w:spacing w:line="600" w:lineRule="exact"/>
        <w:ind w:firstLine="640" w:firstLineChars="200"/>
        <w:rPr>
          <w:rFonts w:ascii="仿宋" w:hAnsi="仿宋" w:eastAsia="仿宋"/>
          <w:sz w:val="32"/>
          <w:szCs w:val="32"/>
        </w:rPr>
      </w:pPr>
      <w:r>
        <w:rPr>
          <w:rFonts w:ascii="仿宋" w:hAnsi="仿宋" w:eastAsia="仿宋"/>
          <w:sz w:val="32"/>
          <w:szCs w:val="32"/>
        </w:rPr>
        <w:t>2021年度财政拨款收入总计</w:t>
      </w:r>
      <w:r>
        <w:rPr>
          <w:rFonts w:hint="eastAsia" w:ascii="仿宋" w:hAnsi="仿宋" w:eastAsia="仿宋"/>
          <w:sz w:val="32"/>
          <w:szCs w:val="32"/>
        </w:rPr>
        <w:t>各</w:t>
      </w:r>
      <w:r>
        <w:rPr>
          <w:rFonts w:ascii="仿宋" w:hAnsi="仿宋" w:eastAsia="仿宋"/>
          <w:sz w:val="32"/>
          <w:szCs w:val="32"/>
        </w:rPr>
        <w:t>528.01万元，支出总计535.01万元。与上年相比，收入减少171.03万元,减少24.47%，支出减少164.03万元，减少23.47%。主要是因为我单位2020年度和二级机构财务合并，2021年度财务分开各自独立核算，故本年度比上年度收入及支出减少。</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五、一般公共预算财政拨款支出决算情况说明</w:t>
      </w:r>
    </w:p>
    <w:p>
      <w:pPr>
        <w:spacing w:line="600" w:lineRule="exact"/>
        <w:ind w:firstLine="643" w:firstLineChars="200"/>
        <w:rPr>
          <w:rFonts w:ascii="仿宋" w:hAnsi="仿宋" w:eastAsia="仿宋"/>
          <w:b/>
          <w:bCs/>
          <w:sz w:val="32"/>
          <w:szCs w:val="32"/>
        </w:rPr>
      </w:pPr>
      <w:r>
        <w:rPr>
          <w:rFonts w:hint="eastAsia" w:ascii="仿宋" w:hAnsi="仿宋" w:eastAsia="仿宋"/>
          <w:b/>
          <w:bCs/>
          <w:sz w:val="32"/>
          <w:szCs w:val="32"/>
        </w:rPr>
        <w:t>（一）财政拨款支出决算总体情况</w:t>
      </w:r>
    </w:p>
    <w:p>
      <w:pPr>
        <w:spacing w:line="600" w:lineRule="exact"/>
        <w:ind w:firstLine="640" w:firstLineChars="200"/>
        <w:rPr>
          <w:rFonts w:ascii="仿宋" w:hAnsi="仿宋" w:eastAsia="仿宋"/>
          <w:sz w:val="32"/>
          <w:szCs w:val="32"/>
        </w:rPr>
      </w:pPr>
      <w:r>
        <w:rPr>
          <w:rFonts w:ascii="仿宋" w:hAnsi="仿宋" w:eastAsia="仿宋"/>
          <w:sz w:val="32"/>
          <w:szCs w:val="32"/>
        </w:rPr>
        <w:t>2021年度财政拨款支出535.01万元，占本年支出合计的100%，与上年相比，财政拨款支出减少166.77万元，减少23.76%，主要是我单位2020年度和二级机构财务合并，2021年度财务分开各自独立核算，故本年度比上年度财政拨款支出减少。</w:t>
      </w:r>
    </w:p>
    <w:p>
      <w:pPr>
        <w:spacing w:line="600" w:lineRule="exact"/>
        <w:ind w:firstLine="643" w:firstLineChars="200"/>
        <w:rPr>
          <w:rFonts w:ascii="仿宋" w:hAnsi="仿宋" w:eastAsia="仿宋"/>
          <w:b/>
          <w:bCs/>
          <w:sz w:val="32"/>
          <w:szCs w:val="32"/>
        </w:rPr>
      </w:pPr>
      <w:r>
        <w:rPr>
          <w:rFonts w:hint="eastAsia" w:ascii="仿宋" w:hAnsi="仿宋" w:eastAsia="仿宋"/>
          <w:b/>
          <w:bCs/>
          <w:sz w:val="32"/>
          <w:szCs w:val="32"/>
        </w:rPr>
        <w:t>（二）财政拨款支出决算结构情况</w:t>
      </w:r>
    </w:p>
    <w:p>
      <w:pPr>
        <w:spacing w:line="600" w:lineRule="exact"/>
        <w:ind w:firstLine="640" w:firstLineChars="200"/>
        <w:rPr>
          <w:rFonts w:ascii="仿宋" w:hAnsi="仿宋" w:eastAsia="仿宋"/>
          <w:sz w:val="32"/>
          <w:szCs w:val="32"/>
        </w:rPr>
      </w:pPr>
      <w:r>
        <w:rPr>
          <w:rFonts w:ascii="仿宋" w:hAnsi="仿宋" w:eastAsia="仿宋"/>
          <w:sz w:val="32"/>
          <w:szCs w:val="32"/>
        </w:rPr>
        <w:t>2021年度财政拨款支出535.01万元，主要用于以下方面：一般公共服务（类）支出6万元，占1.12%；社会保障和就业（类）支出121.37万元，占比22.69%；卫生健康（类）支出407.64万元，占76.19%;其他（类）支出0.00万元，占比0%。</w:t>
      </w:r>
    </w:p>
    <w:p>
      <w:pPr>
        <w:spacing w:line="600" w:lineRule="exact"/>
        <w:ind w:firstLine="643" w:firstLineChars="200"/>
        <w:rPr>
          <w:rFonts w:ascii="仿宋" w:hAnsi="仿宋" w:eastAsia="仿宋"/>
          <w:b/>
          <w:bCs/>
          <w:sz w:val="32"/>
          <w:szCs w:val="32"/>
        </w:rPr>
      </w:pPr>
      <w:r>
        <w:rPr>
          <w:rFonts w:hint="eastAsia" w:ascii="仿宋" w:hAnsi="仿宋" w:eastAsia="仿宋"/>
          <w:b/>
          <w:bCs/>
          <w:sz w:val="32"/>
          <w:szCs w:val="32"/>
        </w:rPr>
        <w:t>（三）财政拨款支出决算具体情况</w:t>
      </w:r>
    </w:p>
    <w:p>
      <w:pPr>
        <w:spacing w:line="600" w:lineRule="exact"/>
        <w:ind w:firstLine="640" w:firstLineChars="200"/>
        <w:rPr>
          <w:rFonts w:ascii="仿宋" w:hAnsi="仿宋" w:eastAsia="仿宋"/>
          <w:sz w:val="32"/>
          <w:szCs w:val="32"/>
        </w:rPr>
      </w:pPr>
      <w:r>
        <w:rPr>
          <w:rFonts w:ascii="仿宋" w:hAnsi="仿宋" w:eastAsia="仿宋"/>
          <w:sz w:val="32"/>
          <w:szCs w:val="32"/>
        </w:rPr>
        <w:t>2021年度财政拨款支出年初预算数为535.01万元，支出决算数为535.01万元，完成年初预算的100%，其中：</w:t>
      </w:r>
    </w:p>
    <w:p>
      <w:pPr>
        <w:spacing w:line="600" w:lineRule="exact"/>
        <w:ind w:firstLine="643" w:firstLineChars="200"/>
        <w:rPr>
          <w:rFonts w:ascii="仿宋" w:hAnsi="仿宋" w:eastAsia="仿宋"/>
          <w:b/>
          <w:bCs/>
          <w:sz w:val="32"/>
          <w:szCs w:val="32"/>
        </w:rPr>
      </w:pPr>
      <w:r>
        <w:rPr>
          <w:rFonts w:ascii="仿宋" w:hAnsi="仿宋" w:eastAsia="仿宋"/>
          <w:b/>
          <w:bCs/>
          <w:sz w:val="32"/>
          <w:szCs w:val="32"/>
        </w:rPr>
        <w:t>1、一般公共服务（类）人力资源事务（款）行政运行（项）。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年初预算为</w:t>
      </w:r>
      <w:r>
        <w:rPr>
          <w:rFonts w:ascii="仿宋" w:hAnsi="仿宋" w:eastAsia="仿宋"/>
          <w:sz w:val="32"/>
          <w:szCs w:val="32"/>
        </w:rPr>
        <w:t>6万元，支出决算为6万元，完成年初预算的100%</w:t>
      </w:r>
      <w:r>
        <w:rPr>
          <w:rFonts w:hint="eastAsia" w:ascii="仿宋" w:hAnsi="仿宋" w:eastAsia="仿宋"/>
          <w:sz w:val="32"/>
          <w:szCs w:val="32"/>
        </w:rPr>
        <w:t>，决算数等于年初预算，主要原因是按预算执行，厉行节约</w:t>
      </w:r>
      <w:r>
        <w:rPr>
          <w:rFonts w:ascii="仿宋" w:hAnsi="仿宋" w:eastAsia="仿宋"/>
          <w:sz w:val="32"/>
          <w:szCs w:val="32"/>
        </w:rPr>
        <w:t>。</w:t>
      </w:r>
    </w:p>
    <w:p>
      <w:pPr>
        <w:spacing w:line="600" w:lineRule="exact"/>
        <w:ind w:firstLine="643" w:firstLineChars="200"/>
        <w:rPr>
          <w:rFonts w:ascii="仿宋" w:hAnsi="仿宋" w:eastAsia="仿宋"/>
          <w:b/>
          <w:bCs/>
          <w:sz w:val="32"/>
          <w:szCs w:val="32"/>
        </w:rPr>
      </w:pPr>
      <w:r>
        <w:rPr>
          <w:rFonts w:ascii="仿宋" w:hAnsi="仿宋" w:eastAsia="仿宋"/>
          <w:b/>
          <w:bCs/>
          <w:sz w:val="32"/>
          <w:szCs w:val="32"/>
        </w:rPr>
        <w:t>2、社会保障和就业支出（类）人力资源和社会保障管理事务（款）社会保险经办机构（项）。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年初预算为</w:t>
      </w:r>
      <w:r>
        <w:rPr>
          <w:rFonts w:ascii="仿宋" w:hAnsi="仿宋" w:eastAsia="仿宋"/>
          <w:sz w:val="32"/>
          <w:szCs w:val="32"/>
        </w:rPr>
        <w:t>106.4万元，支出决算为106.4万元，完成年初预算的100%</w:t>
      </w:r>
      <w:r>
        <w:rPr>
          <w:rFonts w:hint="eastAsia" w:ascii="仿宋" w:hAnsi="仿宋" w:eastAsia="仿宋"/>
          <w:sz w:val="32"/>
          <w:szCs w:val="32"/>
        </w:rPr>
        <w:t>，主要原因是按预算执行，厉行节约</w:t>
      </w:r>
      <w:r>
        <w:rPr>
          <w:rFonts w:ascii="仿宋" w:hAnsi="仿宋" w:eastAsia="仿宋"/>
          <w:sz w:val="32"/>
          <w:szCs w:val="32"/>
        </w:rPr>
        <w:t>。</w:t>
      </w:r>
    </w:p>
    <w:p>
      <w:pPr>
        <w:spacing w:line="600" w:lineRule="exact"/>
        <w:ind w:firstLine="643" w:firstLineChars="200"/>
        <w:rPr>
          <w:rFonts w:ascii="仿宋" w:hAnsi="仿宋" w:eastAsia="仿宋"/>
          <w:b/>
          <w:bCs/>
          <w:sz w:val="32"/>
          <w:szCs w:val="32"/>
        </w:rPr>
      </w:pPr>
      <w:r>
        <w:rPr>
          <w:rFonts w:ascii="仿宋" w:hAnsi="仿宋" w:eastAsia="仿宋"/>
          <w:b/>
          <w:bCs/>
          <w:sz w:val="32"/>
          <w:szCs w:val="32"/>
        </w:rPr>
        <w:t>3、社会保障和就业支出（类）行政事业单位养老支出（款）机关事业单位基本养老保险缴费支出（项）。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年初预算为</w:t>
      </w:r>
      <w:r>
        <w:rPr>
          <w:rFonts w:ascii="仿宋" w:hAnsi="仿宋" w:eastAsia="仿宋"/>
          <w:sz w:val="32"/>
          <w:szCs w:val="32"/>
        </w:rPr>
        <w:t>14.96万元，支出决算为14.96万元，完成年初预算的100%</w:t>
      </w:r>
      <w:r>
        <w:rPr>
          <w:rFonts w:hint="eastAsia" w:ascii="仿宋" w:hAnsi="仿宋" w:eastAsia="仿宋"/>
          <w:sz w:val="32"/>
          <w:szCs w:val="32"/>
        </w:rPr>
        <w:t>，主要原因是按预算执行，厉行节约</w:t>
      </w:r>
      <w:r>
        <w:rPr>
          <w:rFonts w:ascii="仿宋" w:hAnsi="仿宋" w:eastAsia="仿宋"/>
          <w:sz w:val="32"/>
          <w:szCs w:val="32"/>
        </w:rPr>
        <w:t>。</w:t>
      </w:r>
    </w:p>
    <w:p>
      <w:pPr>
        <w:spacing w:line="600" w:lineRule="exact"/>
        <w:ind w:firstLine="643" w:firstLineChars="200"/>
        <w:rPr>
          <w:rFonts w:ascii="仿宋" w:hAnsi="仿宋" w:eastAsia="仿宋"/>
          <w:b/>
          <w:bCs/>
          <w:sz w:val="32"/>
          <w:szCs w:val="32"/>
        </w:rPr>
      </w:pPr>
      <w:r>
        <w:rPr>
          <w:rFonts w:ascii="仿宋" w:hAnsi="仿宋" w:eastAsia="仿宋"/>
          <w:b/>
          <w:bCs/>
          <w:sz w:val="32"/>
          <w:szCs w:val="32"/>
        </w:rPr>
        <w:t>5、卫生健康支出（类）行政事业单位医疗（款）行政单位医疗（项）。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年初预算为</w:t>
      </w:r>
      <w:r>
        <w:rPr>
          <w:rFonts w:ascii="仿宋" w:hAnsi="仿宋" w:eastAsia="仿宋"/>
          <w:sz w:val="32"/>
          <w:szCs w:val="32"/>
        </w:rPr>
        <w:t>6.86万元，支出决算为6.86万元，完成年初预算的100%</w:t>
      </w:r>
      <w:r>
        <w:rPr>
          <w:rFonts w:hint="eastAsia" w:ascii="仿宋" w:hAnsi="仿宋" w:eastAsia="仿宋"/>
          <w:sz w:val="32"/>
          <w:szCs w:val="32"/>
        </w:rPr>
        <w:t>，主要原因是按预算执行，厉行节约</w:t>
      </w:r>
      <w:r>
        <w:rPr>
          <w:rFonts w:ascii="仿宋" w:hAnsi="仿宋" w:eastAsia="仿宋"/>
          <w:sz w:val="32"/>
          <w:szCs w:val="32"/>
        </w:rPr>
        <w:t>。</w:t>
      </w:r>
    </w:p>
    <w:p>
      <w:pPr>
        <w:spacing w:line="600" w:lineRule="exact"/>
        <w:ind w:firstLine="643" w:firstLineChars="200"/>
        <w:rPr>
          <w:rFonts w:ascii="仿宋" w:hAnsi="仿宋" w:eastAsia="仿宋"/>
          <w:b/>
          <w:bCs/>
          <w:sz w:val="32"/>
          <w:szCs w:val="32"/>
        </w:rPr>
      </w:pPr>
      <w:r>
        <w:rPr>
          <w:rFonts w:ascii="仿宋" w:hAnsi="仿宋" w:eastAsia="仿宋"/>
          <w:b/>
          <w:bCs/>
          <w:sz w:val="32"/>
          <w:szCs w:val="32"/>
        </w:rPr>
        <w:t>6、卫生健康支出（类）行政事业单位医疗（款）其他行政事业单位医疗支出（项）。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年初预算为</w:t>
      </w:r>
      <w:r>
        <w:rPr>
          <w:rFonts w:ascii="仿宋" w:hAnsi="仿宋" w:eastAsia="仿宋"/>
          <w:sz w:val="32"/>
          <w:szCs w:val="32"/>
        </w:rPr>
        <w:t>0.62万元，支出决算为0.62万元，完成年初预算的100%</w:t>
      </w:r>
      <w:r>
        <w:rPr>
          <w:rFonts w:hint="eastAsia" w:ascii="仿宋" w:hAnsi="仿宋" w:eastAsia="仿宋"/>
          <w:sz w:val="32"/>
          <w:szCs w:val="32"/>
        </w:rPr>
        <w:t>，主要原因是按预算执行，厉行节约</w:t>
      </w:r>
      <w:r>
        <w:rPr>
          <w:rFonts w:ascii="仿宋" w:hAnsi="仿宋" w:eastAsia="仿宋"/>
          <w:sz w:val="32"/>
          <w:szCs w:val="32"/>
        </w:rPr>
        <w:t>。</w:t>
      </w:r>
    </w:p>
    <w:p>
      <w:pPr>
        <w:spacing w:line="600" w:lineRule="exact"/>
        <w:ind w:firstLine="643" w:firstLineChars="200"/>
        <w:rPr>
          <w:rFonts w:ascii="仿宋" w:hAnsi="仿宋" w:eastAsia="仿宋"/>
          <w:b/>
          <w:bCs/>
          <w:sz w:val="32"/>
          <w:szCs w:val="32"/>
        </w:rPr>
      </w:pPr>
      <w:r>
        <w:rPr>
          <w:rFonts w:ascii="仿宋" w:hAnsi="仿宋" w:eastAsia="仿宋"/>
          <w:b/>
          <w:bCs/>
          <w:sz w:val="32"/>
          <w:szCs w:val="32"/>
        </w:rPr>
        <w:t>8、卫生健康支出（类）医疗保障管理事务（款）行政运行（项）。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年初预算为</w:t>
      </w:r>
      <w:r>
        <w:rPr>
          <w:rFonts w:ascii="仿宋" w:hAnsi="仿宋" w:eastAsia="仿宋"/>
          <w:sz w:val="32"/>
          <w:szCs w:val="32"/>
        </w:rPr>
        <w:t>98.83万元，支出决算为98.83万元，完成年初预算的100%</w:t>
      </w:r>
      <w:r>
        <w:rPr>
          <w:rFonts w:hint="eastAsia" w:ascii="仿宋" w:hAnsi="仿宋" w:eastAsia="仿宋"/>
          <w:sz w:val="32"/>
          <w:szCs w:val="32"/>
        </w:rPr>
        <w:t>，主要原因是按预算执行，厉行节约</w:t>
      </w:r>
      <w:r>
        <w:rPr>
          <w:rFonts w:ascii="仿宋" w:hAnsi="仿宋" w:eastAsia="仿宋"/>
          <w:sz w:val="32"/>
          <w:szCs w:val="32"/>
        </w:rPr>
        <w:t>。</w:t>
      </w:r>
    </w:p>
    <w:p>
      <w:pPr>
        <w:spacing w:line="600" w:lineRule="exact"/>
        <w:ind w:firstLine="643" w:firstLineChars="200"/>
        <w:rPr>
          <w:rFonts w:ascii="仿宋" w:hAnsi="仿宋" w:eastAsia="仿宋"/>
          <w:b/>
          <w:bCs/>
          <w:sz w:val="32"/>
          <w:szCs w:val="32"/>
        </w:rPr>
      </w:pPr>
      <w:r>
        <w:rPr>
          <w:rFonts w:ascii="仿宋" w:hAnsi="仿宋" w:eastAsia="仿宋"/>
          <w:b/>
          <w:bCs/>
          <w:sz w:val="32"/>
          <w:szCs w:val="32"/>
        </w:rPr>
        <w:t>9、卫生健康支出（类）医疗保障管理事务（款）医疗保障政策管理（项）。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年初预算为</w:t>
      </w:r>
      <w:r>
        <w:rPr>
          <w:rFonts w:ascii="仿宋" w:hAnsi="仿宋" w:eastAsia="仿宋"/>
          <w:sz w:val="32"/>
          <w:szCs w:val="32"/>
        </w:rPr>
        <w:t>72.2万元，支出决算为72.2万元，完成年初预算的100%</w:t>
      </w:r>
      <w:r>
        <w:rPr>
          <w:rFonts w:hint="eastAsia" w:ascii="仿宋" w:hAnsi="仿宋" w:eastAsia="仿宋"/>
          <w:sz w:val="32"/>
          <w:szCs w:val="32"/>
        </w:rPr>
        <w:t>，主要原因是按预算执行，厉行节约</w:t>
      </w:r>
      <w:r>
        <w:rPr>
          <w:rFonts w:ascii="仿宋" w:hAnsi="仿宋" w:eastAsia="仿宋"/>
          <w:sz w:val="32"/>
          <w:szCs w:val="32"/>
        </w:rPr>
        <w:t>。</w:t>
      </w:r>
    </w:p>
    <w:p>
      <w:pPr>
        <w:spacing w:line="600" w:lineRule="exact"/>
        <w:ind w:firstLine="643" w:firstLineChars="200"/>
        <w:rPr>
          <w:rFonts w:ascii="仿宋" w:hAnsi="仿宋" w:eastAsia="仿宋"/>
          <w:b/>
          <w:bCs/>
          <w:sz w:val="32"/>
          <w:szCs w:val="32"/>
        </w:rPr>
      </w:pPr>
      <w:r>
        <w:rPr>
          <w:rFonts w:ascii="仿宋" w:hAnsi="仿宋" w:eastAsia="仿宋"/>
          <w:b/>
          <w:bCs/>
          <w:sz w:val="32"/>
          <w:szCs w:val="32"/>
        </w:rPr>
        <w:t>10、卫生健康支出（类）医疗保障管理事务（款）其他医疗保障管理事务支出（项）。</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年初预算为</w:t>
      </w:r>
      <w:r>
        <w:rPr>
          <w:rFonts w:ascii="仿宋" w:hAnsi="仿宋" w:eastAsia="仿宋"/>
          <w:sz w:val="32"/>
          <w:szCs w:val="32"/>
        </w:rPr>
        <w:t>229.14万元，支出决算为229.14万元，完成年初预算的100%</w:t>
      </w:r>
      <w:r>
        <w:rPr>
          <w:rFonts w:hint="eastAsia" w:ascii="仿宋" w:hAnsi="仿宋" w:eastAsia="仿宋"/>
          <w:sz w:val="32"/>
          <w:szCs w:val="32"/>
        </w:rPr>
        <w:t>，主要原因是按预算执行，厉行节约。</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六、一般公共预算财政拨款基本支出决算情况说明</w:t>
      </w:r>
    </w:p>
    <w:p>
      <w:pPr>
        <w:spacing w:line="600" w:lineRule="exact"/>
        <w:ind w:firstLine="640" w:firstLineChars="200"/>
        <w:rPr>
          <w:rFonts w:ascii="仿宋" w:hAnsi="仿宋" w:eastAsia="仿宋"/>
          <w:sz w:val="32"/>
          <w:szCs w:val="32"/>
        </w:rPr>
      </w:pPr>
      <w:r>
        <w:rPr>
          <w:rFonts w:ascii="仿宋" w:hAnsi="仿宋" w:eastAsia="仿宋"/>
          <w:sz w:val="32"/>
          <w:szCs w:val="32"/>
        </w:rPr>
        <w:t>2021年度财政拨款基本支出535.01万元，其中：人员经费156.42万元，占基本支出的29.24%,主要包括基本工资、津贴补贴、奖金、伙食补助费等；公用经费378.59万元，占基本支出的70.76%，主要包括办公费、印刷费、咨询费、差旅费、维修费等。</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七、一般公共预算财政拨款“三公”经费支出决算情况说明</w:t>
      </w:r>
    </w:p>
    <w:p>
      <w:pPr>
        <w:spacing w:line="600" w:lineRule="exact"/>
        <w:ind w:firstLine="643" w:firstLineChars="200"/>
        <w:rPr>
          <w:rFonts w:ascii="仿宋" w:hAnsi="仿宋" w:eastAsia="仿宋"/>
          <w:b/>
          <w:bCs/>
          <w:sz w:val="32"/>
          <w:szCs w:val="32"/>
        </w:rPr>
      </w:pPr>
      <w:r>
        <w:rPr>
          <w:rFonts w:hint="eastAsia" w:ascii="仿宋" w:hAnsi="仿宋" w:eastAsia="仿宋"/>
          <w:b/>
          <w:bCs/>
          <w:sz w:val="32"/>
          <w:szCs w:val="32"/>
        </w:rPr>
        <w:t>（一）“三公”经费财政拨款支出决算总体情况说明</w:t>
      </w:r>
    </w:p>
    <w:p>
      <w:pPr>
        <w:spacing w:line="600" w:lineRule="exact"/>
        <w:ind w:firstLine="640" w:firstLineChars="200"/>
        <w:rPr>
          <w:rFonts w:ascii="仿宋" w:hAnsi="仿宋" w:eastAsia="仿宋"/>
          <w:sz w:val="32"/>
          <w:szCs w:val="32"/>
        </w:rPr>
      </w:pPr>
      <w:r>
        <w:rPr>
          <w:rFonts w:ascii="仿宋" w:hAnsi="仿宋" w:eastAsia="仿宋"/>
          <w:sz w:val="32"/>
          <w:szCs w:val="32"/>
        </w:rPr>
        <w:t>2021年度“三公”经费财政拨款支出预算为33.57万元，支出决算为28.48万元，完成预算的84.84%，其中：</w:t>
      </w:r>
    </w:p>
    <w:p>
      <w:pPr>
        <w:spacing w:line="600" w:lineRule="exact"/>
        <w:ind w:firstLine="640" w:firstLineChars="200"/>
        <w:rPr>
          <w:rFonts w:ascii="仿宋" w:hAnsi="仿宋" w:eastAsia="仿宋"/>
          <w:sz w:val="32"/>
          <w:szCs w:val="32"/>
        </w:rPr>
      </w:pP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、因公出国（境）费支出预算为</w:t>
      </w:r>
      <w:r>
        <w:rPr>
          <w:rFonts w:ascii="仿宋" w:hAnsi="仿宋" w:eastAsia="仿宋"/>
          <w:color w:val="000000" w:themeColor="text1"/>
          <w:sz w:val="32"/>
          <w:szCs w:val="32"/>
          <w14:textFill>
            <w14:solidFill>
              <w14:schemeClr w14:val="tx1"/>
            </w14:solidFill>
          </w14:textFill>
        </w:rPr>
        <w:t>0.00万元，支出决算为0.00万元</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决算数与年初预算数持平，主要原因按预算执行，与上年数持平，主要原因本年度未安排因公出国（境）</w:t>
      </w:r>
      <w:r>
        <w:rPr>
          <w:rFonts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2、公务接待费支出预算为</w:t>
      </w:r>
      <w:r>
        <w:rPr>
          <w:rFonts w:ascii="仿宋" w:hAnsi="仿宋" w:eastAsia="仿宋"/>
          <w:sz w:val="32"/>
          <w:szCs w:val="32"/>
        </w:rPr>
        <w:t>8万元，支出决算为3.84万元，完成预算的48%，决算数小于预算数的主要原因是我单位本着厉行节约的原则，严格控制公务接待的次数与费用。与上年相比减少1.22万元，减少24.11%,减少的主要原因是我单位本着厉行节约的原则，严格控制公务接待的次数与费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3、公务用车购置费支出预算为</w:t>
      </w:r>
      <w:r>
        <w:rPr>
          <w:rFonts w:ascii="仿宋" w:hAnsi="仿宋" w:eastAsia="仿宋"/>
          <w:sz w:val="32"/>
          <w:szCs w:val="32"/>
        </w:rPr>
        <w:t>19.57万元，支出决算为19.57万元，完成预算的100%，与上年相比增加19.57万元，增长的主要原因是我单位一直无公车，首次申请到公车购置编制及额度，购置公车。</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4、公务用车运行维护费支出预算为</w:t>
      </w:r>
      <w:r>
        <w:rPr>
          <w:rFonts w:ascii="仿宋" w:hAnsi="仿宋" w:eastAsia="仿宋"/>
          <w:sz w:val="32"/>
          <w:szCs w:val="32"/>
        </w:rPr>
        <w:t>6万元，支出决算为5.07万元，完成预算的84.5%，决算数小于预算数的主要原因是我单位厉行节约，严格控制公车运行维护费的支出，与上年相比增加5.07万元，增长的主要原因是我单位去年无公车资产，本年度新增公车，故有公车运行维护费用。</w:t>
      </w:r>
    </w:p>
    <w:p>
      <w:pPr>
        <w:spacing w:line="600" w:lineRule="exact"/>
        <w:ind w:firstLine="643" w:firstLineChars="200"/>
        <w:rPr>
          <w:rFonts w:ascii="仿宋" w:hAnsi="仿宋" w:eastAsia="仿宋"/>
          <w:b/>
          <w:bCs/>
          <w:sz w:val="32"/>
          <w:szCs w:val="32"/>
        </w:rPr>
      </w:pPr>
      <w:r>
        <w:rPr>
          <w:rFonts w:hint="eastAsia" w:ascii="仿宋" w:hAnsi="仿宋" w:eastAsia="仿宋"/>
          <w:b/>
          <w:bCs/>
          <w:sz w:val="32"/>
          <w:szCs w:val="32"/>
        </w:rPr>
        <w:t>（二）“三公”经费财政拨款支出决算具体情况说明</w:t>
      </w:r>
    </w:p>
    <w:p>
      <w:pPr>
        <w:spacing w:line="600" w:lineRule="exact"/>
        <w:ind w:firstLine="640" w:firstLineChars="200"/>
        <w:rPr>
          <w:rFonts w:ascii="仿宋" w:hAnsi="仿宋" w:eastAsia="仿宋"/>
          <w:sz w:val="32"/>
          <w:szCs w:val="32"/>
        </w:rPr>
      </w:pPr>
      <w:r>
        <w:rPr>
          <w:rFonts w:ascii="仿宋" w:hAnsi="仿宋" w:eastAsia="仿宋"/>
          <w:sz w:val="32"/>
          <w:szCs w:val="32"/>
        </w:rPr>
        <w:t>2021年度“三公”经费财政拨款支出决算中，公务接待费支出决算3.84万元，占13.48%,因公出国（境）费支出决算0万元，占0%,公务用车购置费及运行维护费支出决算24.64万元，占86.52%。其中：</w:t>
      </w:r>
    </w:p>
    <w:p>
      <w:pPr>
        <w:spacing w:line="600" w:lineRule="exact"/>
        <w:ind w:firstLine="640" w:firstLineChars="200"/>
        <w:rPr>
          <w:rFonts w:ascii="仿宋" w:hAnsi="仿宋" w:eastAsia="仿宋"/>
          <w:sz w:val="32"/>
          <w:szCs w:val="32"/>
        </w:rPr>
      </w:pPr>
      <w:r>
        <w:rPr>
          <w:rFonts w:ascii="仿宋" w:hAnsi="仿宋" w:eastAsia="仿宋"/>
          <w:sz w:val="32"/>
          <w:szCs w:val="32"/>
        </w:rPr>
        <w:t>1、因公出国（境）费支出决算为0万元，全年安排因公出国（境）团组0个，累计0人次。</w:t>
      </w:r>
    </w:p>
    <w:p>
      <w:pPr>
        <w:spacing w:line="600" w:lineRule="exact"/>
        <w:ind w:firstLine="640" w:firstLineChars="200"/>
        <w:rPr>
          <w:rFonts w:ascii="仿宋" w:hAnsi="仿宋" w:eastAsia="仿宋"/>
          <w:sz w:val="32"/>
          <w:szCs w:val="32"/>
        </w:rPr>
      </w:pPr>
      <w:r>
        <w:rPr>
          <w:rFonts w:ascii="仿宋" w:hAnsi="仿宋" w:eastAsia="仿宋"/>
          <w:sz w:val="32"/>
          <w:szCs w:val="32"/>
        </w:rPr>
        <w:t>2、公务接待费支出决算为3.84万元，全年共接待来访团组45个、来宾438人次，主要是对接公务发生的接待支出。</w:t>
      </w:r>
    </w:p>
    <w:p>
      <w:pPr>
        <w:spacing w:line="600" w:lineRule="exact"/>
        <w:ind w:firstLine="640" w:firstLineChars="200"/>
        <w:rPr>
          <w:rFonts w:ascii="仿宋" w:hAnsi="仿宋" w:eastAsia="仿宋"/>
          <w:sz w:val="32"/>
          <w:szCs w:val="32"/>
        </w:rPr>
      </w:pPr>
      <w:r>
        <w:rPr>
          <w:rFonts w:ascii="仿宋" w:hAnsi="仿宋" w:eastAsia="仿宋"/>
          <w:sz w:val="32"/>
          <w:szCs w:val="32"/>
        </w:rPr>
        <w:t>3、公务用车购置费及运行维护费支出决算为24.64万元，其中：公务用车购置费19.57万元，</w:t>
      </w:r>
      <w:r>
        <w:rPr>
          <w:rFonts w:hint="eastAsia" w:ascii="仿宋" w:hAnsi="仿宋" w:eastAsia="仿宋" w:cs="仿宋"/>
          <w:i w:val="0"/>
          <w:iCs w:val="0"/>
          <w:caps w:val="0"/>
          <w:color w:val="auto"/>
          <w:spacing w:val="0"/>
          <w:sz w:val="32"/>
          <w:szCs w:val="32"/>
          <w:highlight w:val="none"/>
          <w:shd w:val="clear" w:color="auto" w:fill="FFFFFF"/>
        </w:rPr>
        <w:t>更新公务用车</w:t>
      </w:r>
      <w:r>
        <w:rPr>
          <w:rFonts w:hint="eastAsia" w:ascii="仿宋" w:hAnsi="仿宋" w:eastAsia="仿宋" w:cs="仿宋"/>
          <w:i w:val="0"/>
          <w:iCs w:val="0"/>
          <w:caps w:val="0"/>
          <w:color w:val="auto"/>
          <w:spacing w:val="0"/>
          <w:sz w:val="32"/>
          <w:szCs w:val="32"/>
          <w:highlight w:val="none"/>
          <w:shd w:val="clear" w:color="auto" w:fill="FFFFFF"/>
          <w:lang w:val="en-US" w:eastAsia="zh-CN"/>
        </w:rPr>
        <w:t>1</w:t>
      </w:r>
      <w:r>
        <w:rPr>
          <w:rFonts w:hint="eastAsia" w:ascii="仿宋" w:hAnsi="仿宋" w:eastAsia="仿宋" w:cs="仿宋"/>
          <w:i w:val="0"/>
          <w:iCs w:val="0"/>
          <w:caps w:val="0"/>
          <w:color w:val="auto"/>
          <w:spacing w:val="0"/>
          <w:sz w:val="32"/>
          <w:szCs w:val="32"/>
          <w:highlight w:val="none"/>
          <w:shd w:val="clear" w:color="auto" w:fill="FFFFFF"/>
        </w:rPr>
        <w:t>辆。</w:t>
      </w:r>
      <w:r>
        <w:rPr>
          <w:rFonts w:ascii="仿宋" w:hAnsi="仿宋" w:eastAsia="仿宋"/>
          <w:sz w:val="32"/>
          <w:szCs w:val="32"/>
        </w:rPr>
        <w:t>公务用车运行维护费5.07万元，主要是油料费支出，截止2021年12月31日，我单位开支财政拨款的公务用车保有量为1辆。</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八、政府性基金预算收入支出决算情况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本单位无政府性基金收支。</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九、国有资本经营预算财政拨款支出决算情况</w:t>
      </w:r>
    </w:p>
    <w:p>
      <w:pPr>
        <w:spacing w:line="600" w:lineRule="exact"/>
        <w:ind w:firstLine="640" w:firstLineChars="200"/>
        <w:rPr>
          <w:rFonts w:ascii="仿宋" w:hAnsi="仿宋" w:eastAsia="仿宋"/>
          <w:sz w:val="32"/>
          <w:szCs w:val="32"/>
        </w:rPr>
      </w:pPr>
      <w:r>
        <w:rPr>
          <w:rFonts w:ascii="仿宋" w:hAnsi="仿宋" w:eastAsia="仿宋"/>
          <w:sz w:val="32"/>
          <w:szCs w:val="32"/>
        </w:rPr>
        <w:t>本单位无国有资本经营性收支。</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十、机关运行经费支出说明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本部门</w:t>
      </w:r>
      <w:r>
        <w:rPr>
          <w:rFonts w:ascii="仿宋" w:hAnsi="仿宋" w:eastAsia="仿宋"/>
          <w:sz w:val="32"/>
          <w:szCs w:val="32"/>
        </w:rPr>
        <w:t>2021年度机关运行经费支出378.59万元，比上年度增加158.58万元，增长72.08%，主要原因是：我单位编制增加，新增办公场地，故机关运行经费有所增加。支出科目包括办公费58.24万元、差旅费41.96万元、办公设备购置37.44万元、其他商品和服务支出122.41万元等。</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十一、一般性支出情况说明</w:t>
      </w:r>
    </w:p>
    <w:p>
      <w:pPr>
        <w:spacing w:line="600" w:lineRule="exact"/>
        <w:ind w:firstLine="640" w:firstLineChars="200"/>
        <w:rPr>
          <w:rFonts w:ascii="仿宋" w:hAnsi="仿宋" w:eastAsia="仿宋"/>
          <w:sz w:val="32"/>
          <w:szCs w:val="32"/>
        </w:rPr>
      </w:pPr>
      <w:r>
        <w:rPr>
          <w:rFonts w:ascii="仿宋" w:hAnsi="仿宋" w:eastAsia="仿宋"/>
          <w:sz w:val="32"/>
          <w:szCs w:val="32"/>
        </w:rPr>
        <w:t>2021年本部门开支会议费10.13万元，用于召开全市党风廉政暨打击欺诈骗保会议，人数46人，内容为推动全市医保系统党风廉政建设及打击欺诈骗保工作，飞检复核工作会议，人数48人，内容为全市各县市区对飞行检查的复核，用于召开医保系统清廉医保工作动员部署会，人数49人，内容为动员开展医保系统清廉医保等等；开支培训费16.62万元，用于医保电子凭证业务培训，人数48人，内容为全市医保电子凭证相关业务的培训，用于开展精神卫生基金监管培训，人数47人，内容为对开展精神卫生方面的基金监管相关工作进行培训，用于开展全市监</w:t>
      </w:r>
      <w:r>
        <w:rPr>
          <w:rFonts w:hint="eastAsia" w:ascii="仿宋" w:hAnsi="仿宋" w:eastAsia="仿宋"/>
          <w:sz w:val="32"/>
          <w:szCs w:val="32"/>
        </w:rPr>
        <w:t>管业务培训，人数</w:t>
      </w:r>
      <w:r>
        <w:rPr>
          <w:rFonts w:ascii="仿宋" w:hAnsi="仿宋" w:eastAsia="仿宋"/>
          <w:sz w:val="32"/>
          <w:szCs w:val="32"/>
        </w:rPr>
        <w:t>48人，内容为全市开展基金监管业务的相关培训，用于开展经办机构检查复核培训，人数45人，内容为经办机构检查工作的培训等等；无举办节庆、晚会、论坛、赛事活动开支。</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十二、政府采购支出说明</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本部门</w:t>
      </w:r>
      <w:r>
        <w:rPr>
          <w:rFonts w:ascii="仿宋" w:hAnsi="仿宋" w:eastAsia="仿宋"/>
          <w:sz w:val="32"/>
          <w:szCs w:val="32"/>
        </w:rPr>
        <w:t>2021年度政府采购支出总额57.01万元，其中：政府采购货物支出57.01万元</w:t>
      </w:r>
      <w:r>
        <w:rPr>
          <w:rFonts w:hint="eastAsia" w:ascii="仿宋_GB2312" w:hAnsi="仿宋_GB2312" w:eastAsia="仿宋_GB2312" w:cs="仿宋_GB2312"/>
          <w:sz w:val="32"/>
          <w:szCs w:val="32"/>
        </w:rPr>
        <w:t>、政府采购工程支出0万元、政府采购服务支出0万元</w:t>
      </w:r>
      <w:r>
        <w:rPr>
          <w:rFonts w:ascii="仿宋" w:hAnsi="仿宋" w:eastAsia="仿宋"/>
          <w:sz w:val="32"/>
          <w:szCs w:val="32"/>
        </w:rPr>
        <w:t>。</w:t>
      </w:r>
      <w:r>
        <w:rPr>
          <w:rFonts w:hint="eastAsia" w:ascii="仿宋" w:hAnsi="仿宋" w:eastAsia="仿宋"/>
          <w:sz w:val="32"/>
          <w:szCs w:val="32"/>
        </w:rPr>
        <w:t>授予</w:t>
      </w:r>
      <w:r>
        <w:rPr>
          <w:rFonts w:ascii="仿宋" w:hAnsi="仿宋" w:eastAsia="仿宋"/>
          <w:sz w:val="32"/>
          <w:szCs w:val="32"/>
        </w:rPr>
        <w:t>中小企业采购支出金额37.44万元，占</w:t>
      </w:r>
      <w:r>
        <w:rPr>
          <w:rFonts w:hint="eastAsia" w:ascii="仿宋" w:hAnsi="仿宋" w:eastAsia="仿宋"/>
          <w:sz w:val="32"/>
          <w:szCs w:val="32"/>
        </w:rPr>
        <w:t>政府采购支出总额的</w:t>
      </w:r>
      <w:r>
        <w:rPr>
          <w:rFonts w:ascii="仿宋" w:hAnsi="仿宋" w:eastAsia="仿宋"/>
          <w:sz w:val="32"/>
          <w:szCs w:val="32"/>
        </w:rPr>
        <w:t>65.67%</w:t>
      </w:r>
      <w:r>
        <w:rPr>
          <w:rFonts w:hint="eastAsia" w:ascii="仿宋" w:hAnsi="仿宋" w:eastAsia="仿宋"/>
          <w:sz w:val="32"/>
          <w:szCs w:val="32"/>
          <w:highlight w:val="none"/>
        </w:rPr>
        <w:t>；其中，授予小微企业合同金额</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lang w:eastAsia="zh-CN"/>
        </w:rPr>
        <w:t>，</w:t>
      </w:r>
      <w:r>
        <w:rPr>
          <w:rFonts w:ascii="仿宋" w:hAnsi="仿宋" w:eastAsia="仿宋"/>
          <w:sz w:val="32"/>
          <w:szCs w:val="32"/>
          <w:highlight w:val="none"/>
        </w:rPr>
        <w:t>占</w:t>
      </w:r>
      <w:r>
        <w:rPr>
          <w:rFonts w:hint="eastAsia" w:ascii="仿宋" w:hAnsi="仿宋" w:eastAsia="仿宋"/>
          <w:sz w:val="32"/>
          <w:szCs w:val="32"/>
        </w:rPr>
        <w:t>政府采购支出总额的</w:t>
      </w:r>
      <w:r>
        <w:rPr>
          <w:rFonts w:hint="eastAsia" w:ascii="仿宋" w:hAnsi="仿宋" w:eastAsia="仿宋"/>
          <w:sz w:val="32"/>
          <w:szCs w:val="32"/>
          <w:lang w:val="en-US" w:eastAsia="zh-CN"/>
        </w:rPr>
        <w:t>0</w:t>
      </w:r>
      <w:r>
        <w:rPr>
          <w:rFonts w:ascii="仿宋" w:hAnsi="仿宋" w:eastAsia="仿宋"/>
          <w:sz w:val="32"/>
          <w:szCs w:val="32"/>
        </w:rPr>
        <w:t>%。</w:t>
      </w:r>
      <w:bookmarkStart w:id="0" w:name="_GoBack"/>
      <w:bookmarkEnd w:id="0"/>
    </w:p>
    <w:p>
      <w:pPr>
        <w:spacing w:line="600" w:lineRule="exact"/>
        <w:ind w:firstLine="640" w:firstLineChars="200"/>
        <w:rPr>
          <w:rFonts w:ascii="黑体" w:hAnsi="黑体" w:eastAsia="黑体"/>
          <w:sz w:val="32"/>
          <w:szCs w:val="32"/>
        </w:rPr>
      </w:pPr>
      <w:r>
        <w:rPr>
          <w:rFonts w:hint="eastAsia" w:ascii="黑体" w:hAnsi="黑体" w:eastAsia="黑体"/>
          <w:sz w:val="32"/>
          <w:szCs w:val="32"/>
        </w:rPr>
        <w:t>十三、国有资产占用情况说明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2021年12月31日，部门（单位）共有车辆1辆，其中，其他用车1辆，其他用车主要是用于单位日常工作需要派车；无单位价值50万元以上通用设备，无单位价值100万元以上专用设备。</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十三、</w:t>
      </w:r>
      <w:r>
        <w:rPr>
          <w:rFonts w:ascii="黑体" w:hAnsi="黑体" w:eastAsia="黑体"/>
          <w:sz w:val="32"/>
          <w:szCs w:val="32"/>
        </w:rPr>
        <w:t>2021年度预算绩效情况说明</w:t>
      </w:r>
    </w:p>
    <w:p>
      <w:pPr>
        <w:spacing w:line="600" w:lineRule="exact"/>
        <w:ind w:firstLine="643" w:firstLineChars="200"/>
        <w:rPr>
          <w:rFonts w:ascii="仿宋" w:hAnsi="仿宋" w:eastAsia="仿宋"/>
          <w:b/>
          <w:bCs/>
          <w:sz w:val="32"/>
          <w:szCs w:val="32"/>
        </w:rPr>
      </w:pPr>
      <w:r>
        <w:rPr>
          <w:rFonts w:hint="eastAsia" w:ascii="仿宋" w:hAnsi="仿宋" w:eastAsia="仿宋"/>
          <w:b/>
          <w:bCs/>
          <w:sz w:val="32"/>
          <w:szCs w:val="32"/>
        </w:rPr>
        <w:t>（</w:t>
      </w:r>
      <w:r>
        <w:rPr>
          <w:rFonts w:ascii="仿宋" w:hAnsi="仿宋" w:eastAsia="仿宋"/>
          <w:b/>
          <w:bCs/>
          <w:sz w:val="32"/>
          <w:szCs w:val="32"/>
        </w:rPr>
        <w:t>1）绩效管理评价工作开展情况。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根据预算绩效管理要求，我部门组织对</w:t>
      </w:r>
      <w:r>
        <w:rPr>
          <w:rFonts w:ascii="仿宋" w:hAnsi="仿宋" w:eastAsia="仿宋"/>
          <w:sz w:val="32"/>
          <w:szCs w:val="32"/>
        </w:rPr>
        <w:t>2021年度一般公共预算项目支出全面开展绩效自评，共涉及资金247.62万元，占一般公共预算项目支出总额的100%。我单位无政府性基金预算项目支出，无国有资本经营预算项目支出。</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组织对“全市医疗监管”“医保市级统筹管理经费”等</w:t>
      </w:r>
      <w:r>
        <w:rPr>
          <w:rFonts w:ascii="仿宋" w:hAnsi="仿宋" w:eastAsia="仿宋"/>
          <w:sz w:val="32"/>
          <w:szCs w:val="32"/>
        </w:rPr>
        <w:t>2</w:t>
      </w:r>
      <w:r>
        <w:rPr>
          <w:rFonts w:hint="eastAsia" w:ascii="仿宋" w:hAnsi="仿宋" w:eastAsia="仿宋"/>
          <w:sz w:val="32"/>
          <w:szCs w:val="32"/>
        </w:rPr>
        <w:t>个</w:t>
      </w:r>
      <w:r>
        <w:rPr>
          <w:rFonts w:ascii="仿宋" w:hAnsi="仿宋" w:eastAsia="仿宋"/>
          <w:sz w:val="32"/>
          <w:szCs w:val="32"/>
        </w:rPr>
        <w:t>项目开展了部门评价，涉及一般公共预算支出72万元，无政府性基金预算支出，无国有资本经营预算支出。从评价情况来看，2021年我单位认真落实上级主管部门的决策部署，全面推进各项重点工作，较好的完成了各项目的目标任务。各项目由专人负责实施，实行事项前置审批及事后支付审批制度；采购事项均按照政府采购相关规定执行，属政府采购范围的一律通过政府采购平台，按照规定流程进行采购，严格执行财政预算评审、招投标、合同签订、过程管理、竣工验收、财政结算评审等程序；费用支出严格</w:t>
      </w:r>
      <w:r>
        <w:rPr>
          <w:rFonts w:hint="eastAsia" w:ascii="仿宋" w:hAnsi="仿宋" w:eastAsia="仿宋"/>
          <w:sz w:val="32"/>
          <w:szCs w:val="32"/>
        </w:rPr>
        <w:t>按照《财务会计制度》等制度规定的开支范围、标准、审批权限、审批流程、报销要求等进行审核。</w:t>
      </w:r>
    </w:p>
    <w:p>
      <w:pPr>
        <w:spacing w:line="600" w:lineRule="exact"/>
        <w:ind w:firstLine="643" w:firstLineChars="200"/>
        <w:rPr>
          <w:rFonts w:ascii="仿宋" w:hAnsi="仿宋" w:eastAsia="仿宋"/>
          <w:b/>
          <w:bCs/>
          <w:sz w:val="32"/>
          <w:szCs w:val="32"/>
        </w:rPr>
      </w:pPr>
      <w:r>
        <w:rPr>
          <w:rFonts w:hint="eastAsia" w:ascii="仿宋" w:hAnsi="仿宋" w:eastAsia="仿宋"/>
          <w:b/>
          <w:bCs/>
          <w:sz w:val="32"/>
          <w:szCs w:val="32"/>
        </w:rPr>
        <w:t>（</w:t>
      </w:r>
      <w:r>
        <w:rPr>
          <w:rFonts w:ascii="仿宋" w:hAnsi="仿宋" w:eastAsia="仿宋"/>
          <w:b/>
          <w:bCs/>
          <w:sz w:val="32"/>
          <w:szCs w:val="32"/>
        </w:rPr>
        <w:t>2）部门决算中项目绩效自评结果。</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全市医疗监管、医保市级统筹专项项目绩效自评综述：根据年初设定的绩效目标，项目绩效自评得分为</w:t>
      </w:r>
      <w:r>
        <w:rPr>
          <w:rFonts w:ascii="仿宋" w:hAnsi="仿宋" w:eastAsia="仿宋"/>
          <w:sz w:val="32"/>
          <w:szCs w:val="32"/>
        </w:rPr>
        <w:t>100分。项目全年预算数为72万元，执行数为72万元，完成预算的100%。项目绩效目标完成情况：有效提升综合监管、宣传引导、经办服务、信息化建设、人才队伍建设等医疗保障服务能力。发现的主要问题及原因：一是绩效管理意识待加强；二是年初预算编制不够精细全面。下一步改进措施：一是以部门职能职责和绩效目标为基础，合理细化设置绩效目标，全面反映部门整体支出效益；二是强化预算执行，提高预算完成率。</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全市医疗监管、医保市级统筹专项项目绩效自评综述：坚持目标导向，认真开展绩效自评。每年预算执行结束后，根据年度总体工作进展情况，对我单位整体收支情况进行认真分析，开展整体支出绩效自评和项目支出绩效自评，已实现整体支出绩效和项目支出绩效自评全覆盖。自评结束后，对各项目绩效自评情况及时进行通报，形成创先争优的良好氛围，及时总结管理经验，进一步提升预算绩效管理水平。</w:t>
      </w:r>
    </w:p>
    <w:p>
      <w:pPr>
        <w:spacing w:line="600" w:lineRule="exact"/>
        <w:ind w:firstLine="643" w:firstLineChars="200"/>
        <w:rPr>
          <w:rFonts w:ascii="仿宋" w:hAnsi="仿宋" w:eastAsia="仿宋"/>
          <w:b/>
          <w:bCs/>
          <w:sz w:val="32"/>
          <w:szCs w:val="32"/>
        </w:rPr>
      </w:pPr>
      <w:r>
        <w:rPr>
          <w:rFonts w:hint="eastAsia" w:ascii="仿宋" w:hAnsi="仿宋" w:eastAsia="仿宋"/>
          <w:b/>
          <w:bCs/>
          <w:sz w:val="32"/>
          <w:szCs w:val="32"/>
        </w:rPr>
        <w:t>（</w:t>
      </w:r>
      <w:r>
        <w:rPr>
          <w:rFonts w:ascii="仿宋" w:hAnsi="仿宋" w:eastAsia="仿宋"/>
          <w:b/>
          <w:bCs/>
          <w:sz w:val="32"/>
          <w:szCs w:val="32"/>
        </w:rPr>
        <w:t>3）部门评价项目绩效评价结果。</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部门评价项目数量</w:t>
      </w:r>
      <w:r>
        <w:rPr>
          <w:rFonts w:ascii="仿宋" w:hAnsi="仿宋" w:eastAsia="仿宋"/>
          <w:sz w:val="32"/>
          <w:szCs w:val="32"/>
        </w:rPr>
        <w:t>2个，均将部门评价报告向社会公开；报告框架参考《项目支出绩效评价办法》（财预〔2020〕10 号）中《项目支出绩效评价报告（参考提纲）》、《湖南省预算支出绩效评价管理办法》（湘财绩〔2020〕7号）。</w:t>
      </w:r>
    </w:p>
    <w:p>
      <w:pPr>
        <w:spacing w:line="600" w:lineRule="exact"/>
        <w:ind w:firstLine="640" w:firstLineChars="200"/>
        <w:rPr>
          <w:rFonts w:ascii="仿宋" w:hAnsi="仿宋" w:eastAsia="仿宋"/>
          <w:sz w:val="32"/>
          <w:szCs w:val="32"/>
        </w:rPr>
      </w:pPr>
    </w:p>
    <w:p>
      <w:pPr>
        <w:spacing w:line="600" w:lineRule="exact"/>
        <w:ind w:firstLine="883" w:firstLineChars="200"/>
        <w:jc w:val="center"/>
        <w:rPr>
          <w:rFonts w:ascii="黑体" w:hAnsi="黑体" w:eastAsia="黑体"/>
          <w:b/>
          <w:bCs/>
          <w:sz w:val="44"/>
          <w:szCs w:val="44"/>
        </w:rPr>
      </w:pPr>
      <w:r>
        <w:rPr>
          <w:rFonts w:hint="eastAsia" w:ascii="黑体" w:hAnsi="黑体" w:eastAsia="黑体"/>
          <w:b/>
          <w:bCs/>
          <w:sz w:val="44"/>
          <w:szCs w:val="44"/>
        </w:rPr>
        <w:t>第四部分 名词解释</w:t>
      </w:r>
    </w:p>
    <w:p>
      <w:pPr>
        <w:spacing w:line="600" w:lineRule="exact"/>
        <w:ind w:firstLine="640" w:firstLineChars="200"/>
        <w:rPr>
          <w:rFonts w:hint="eastAsia" w:ascii="仿宋" w:hAnsi="仿宋" w:eastAsia="仿宋"/>
          <w:sz w:val="32"/>
          <w:szCs w:val="32"/>
        </w:rPr>
      </w:pPr>
      <w:r>
        <w:rPr>
          <w:rFonts w:ascii="仿宋" w:hAnsi="仿宋" w:eastAsia="仿宋"/>
          <w:sz w:val="32"/>
          <w:szCs w:val="32"/>
        </w:rPr>
        <w:t> </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spacing w:line="600" w:lineRule="exact"/>
        <w:ind w:firstLine="640" w:firstLineChars="200"/>
        <w:rPr>
          <w:rFonts w:ascii="仿宋" w:hAnsi="仿宋" w:eastAsia="仿宋"/>
          <w:sz w:val="32"/>
          <w:szCs w:val="32"/>
        </w:rPr>
      </w:pPr>
    </w:p>
    <w:p>
      <w:pPr>
        <w:spacing w:line="600" w:lineRule="exact"/>
        <w:ind w:firstLine="883" w:firstLineChars="200"/>
        <w:jc w:val="center"/>
        <w:rPr>
          <w:rFonts w:ascii="黑体" w:hAnsi="黑体" w:eastAsia="黑体"/>
          <w:b/>
          <w:bCs/>
          <w:sz w:val="44"/>
          <w:szCs w:val="44"/>
        </w:rPr>
      </w:pPr>
      <w:r>
        <w:rPr>
          <w:rFonts w:hint="eastAsia" w:ascii="黑体" w:hAnsi="黑体" w:eastAsia="黑体"/>
          <w:b/>
          <w:bCs/>
          <w:sz w:val="44"/>
          <w:szCs w:val="44"/>
        </w:rPr>
        <w:t>第五部分 附件</w:t>
      </w:r>
    </w:p>
    <w:p>
      <w:pPr>
        <w:spacing w:line="600" w:lineRule="exact"/>
        <w:ind w:firstLine="640" w:firstLineChars="200"/>
        <w:rPr>
          <w:rFonts w:ascii="仿宋" w:hAnsi="仿宋" w:eastAsia="仿宋"/>
          <w:sz w:val="32"/>
          <w:szCs w:val="32"/>
        </w:rPr>
      </w:pPr>
      <w:r>
        <w:rPr>
          <w:rFonts w:ascii="仿宋" w:hAnsi="仿宋" w:eastAsia="仿宋"/>
          <w:sz w:val="32"/>
          <w:szCs w:val="32"/>
        </w:rPr>
        <w:t> </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kMmZmMWIxMjRiZmM2MTFkZWVkNGYwNTNmZTUzMGUifQ=="/>
  </w:docVars>
  <w:rsids>
    <w:rsidRoot w:val="00AE1DAE"/>
    <w:rsid w:val="00066C88"/>
    <w:rsid w:val="008D39F7"/>
    <w:rsid w:val="008D70EA"/>
    <w:rsid w:val="00966EDA"/>
    <w:rsid w:val="00AE1DAE"/>
    <w:rsid w:val="00E84DAE"/>
    <w:rsid w:val="00F25A34"/>
    <w:rsid w:val="07C531B9"/>
    <w:rsid w:val="1E753012"/>
    <w:rsid w:val="55974E11"/>
    <w:rsid w:val="77EE1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BA66D-AF3C-4338-8135-2398D81C6256}">
  <ds:schemaRefs/>
</ds:datastoreItem>
</file>

<file path=docProps/app.xml><?xml version="1.0" encoding="utf-8"?>
<Properties xmlns="http://schemas.openxmlformats.org/officeDocument/2006/extended-properties" xmlns:vt="http://schemas.openxmlformats.org/officeDocument/2006/docPropsVTypes">
  <Template>Normal</Template>
  <Pages>14</Pages>
  <Words>5941</Words>
  <Characters>6498</Characters>
  <Lines>46</Lines>
  <Paragraphs>13</Paragraphs>
  <TotalTime>0</TotalTime>
  <ScaleCrop>false</ScaleCrop>
  <LinksUpToDate>false</LinksUpToDate>
  <CharactersWithSpaces>6508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2023-09-06T14:50:00Z</dcterms:created>
  <dc:creator>汪 梦引</dc:creator>
  <cp:lastModifiedBy>WPS_1678845426</cp:lastModifiedBy>
  <dcterms:modified xsi:type="dcterms:W3CDTF">2023-09-27T13:33:53Z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CE9CC15663DF4FD3ABF538253E94FD15_12</vt:lpwstr>
  </property>
</Properties>
</file>