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B9F59">
      <w:pPr>
        <w:pStyle w:val="13"/>
        <w:jc w:val="center"/>
        <w:rPr>
          <w:sz w:val="56"/>
          <w:szCs w:val="56"/>
        </w:rPr>
      </w:pPr>
    </w:p>
    <w:p w14:paraId="1B64EF75">
      <w:pPr>
        <w:pStyle w:val="13"/>
        <w:jc w:val="center"/>
        <w:rPr>
          <w:sz w:val="56"/>
          <w:szCs w:val="56"/>
        </w:rPr>
      </w:pPr>
    </w:p>
    <w:p w14:paraId="574F43D0">
      <w:pPr>
        <w:pStyle w:val="13"/>
        <w:jc w:val="center"/>
        <w:rPr>
          <w:sz w:val="84"/>
          <w:szCs w:val="84"/>
        </w:rPr>
      </w:pPr>
    </w:p>
    <w:p w14:paraId="0D8FD9C5">
      <w:pPr>
        <w:pStyle w:val="13"/>
        <w:jc w:val="center"/>
        <w:rPr>
          <w:sz w:val="84"/>
          <w:szCs w:val="84"/>
        </w:rPr>
      </w:pPr>
    </w:p>
    <w:p w14:paraId="24D67A83">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14:paraId="64898D78">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怀化市退役军人事务局（本级）部门决算</w:t>
      </w:r>
    </w:p>
    <w:p w14:paraId="025A481F">
      <w:pPr>
        <w:pStyle w:val="13"/>
        <w:jc w:val="center"/>
        <w:rPr>
          <w:rFonts w:hint="eastAsia" w:ascii="方正小标宋_GBK" w:hAnsi="方正小标宋_GBK" w:eastAsia="方正小标宋_GBK" w:cs="方正小标宋_GBK"/>
          <w:sz w:val="56"/>
          <w:szCs w:val="56"/>
        </w:rPr>
      </w:pPr>
    </w:p>
    <w:p w14:paraId="18BFB4F2">
      <w:pPr>
        <w:pStyle w:val="13"/>
        <w:jc w:val="center"/>
        <w:rPr>
          <w:sz w:val="56"/>
          <w:szCs w:val="56"/>
        </w:rPr>
      </w:pPr>
    </w:p>
    <w:p w14:paraId="7E3276CF">
      <w:pPr>
        <w:pStyle w:val="13"/>
        <w:jc w:val="center"/>
        <w:rPr>
          <w:sz w:val="56"/>
          <w:szCs w:val="56"/>
        </w:rPr>
      </w:pPr>
    </w:p>
    <w:p w14:paraId="7A0A872E">
      <w:pPr>
        <w:pStyle w:val="13"/>
        <w:jc w:val="center"/>
        <w:rPr>
          <w:sz w:val="56"/>
          <w:szCs w:val="56"/>
        </w:rPr>
      </w:pPr>
    </w:p>
    <w:p w14:paraId="5FD6EAEA">
      <w:pPr>
        <w:pStyle w:val="13"/>
        <w:jc w:val="center"/>
        <w:rPr>
          <w:sz w:val="32"/>
          <w:szCs w:val="32"/>
        </w:rPr>
      </w:pPr>
    </w:p>
    <w:p w14:paraId="4BB3ED6D">
      <w:pPr>
        <w:pStyle w:val="13"/>
        <w:jc w:val="center"/>
        <w:rPr>
          <w:sz w:val="32"/>
          <w:szCs w:val="32"/>
        </w:rPr>
      </w:pPr>
    </w:p>
    <w:p w14:paraId="12692262">
      <w:pPr>
        <w:pStyle w:val="13"/>
        <w:jc w:val="center"/>
        <w:rPr>
          <w:sz w:val="32"/>
          <w:szCs w:val="32"/>
        </w:rPr>
      </w:pPr>
    </w:p>
    <w:p w14:paraId="4ECFF53B">
      <w:pPr>
        <w:pStyle w:val="13"/>
        <w:spacing w:line="500" w:lineRule="exact"/>
        <w:jc w:val="both"/>
        <w:rPr>
          <w:b/>
          <w:sz w:val="36"/>
          <w:szCs w:val="28"/>
        </w:rPr>
      </w:pPr>
    </w:p>
    <w:p w14:paraId="308E7E1B">
      <w:pPr>
        <w:pStyle w:val="13"/>
        <w:spacing w:line="500" w:lineRule="exact"/>
        <w:jc w:val="center"/>
        <w:rPr>
          <w:b/>
          <w:sz w:val="36"/>
          <w:szCs w:val="28"/>
        </w:rPr>
      </w:pPr>
      <w:r>
        <w:rPr>
          <w:rFonts w:hint="eastAsia"/>
          <w:b/>
          <w:sz w:val="36"/>
          <w:szCs w:val="28"/>
        </w:rPr>
        <w:t>目录</w:t>
      </w:r>
    </w:p>
    <w:p w14:paraId="5D64EBC2">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怀化市退役军人事务局（本级）概况</w:t>
      </w:r>
    </w:p>
    <w:p w14:paraId="6EC5F912">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763A76DD">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5C72E8D2">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7E8577FB">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3466FFED">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21279287">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57540FC5">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372131D7">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663825E8">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5340A348">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441551A3">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5A053D5E">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7EC1A580">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166977EC">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712F808E">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3EFDA0EA">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5A1D187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045E68A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6C1C190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454F99A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49A50A1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0955760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val="en-US" w:eastAsia="zh-CN"/>
        </w:rPr>
        <w:t>九、</w:t>
      </w:r>
      <w:r>
        <w:rPr>
          <w:rFonts w:hint="eastAsia" w:ascii="仿宋_GB2312" w:hAnsi="仿宋_GB2312" w:eastAsia="仿宋_GB2312" w:cs="仿宋_GB2312"/>
          <w:color w:val="000000"/>
          <w:kern w:val="0"/>
          <w:sz w:val="28"/>
          <w:szCs w:val="28"/>
          <w:lang w:eastAsia="zh-CN"/>
        </w:rPr>
        <w:t>国有资本经营预算财政拨款收入支出决算情况</w:t>
      </w:r>
    </w:p>
    <w:p w14:paraId="1AE038B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val="en-US" w:eastAsia="zh-CN"/>
        </w:rPr>
        <w:t>十</w:t>
      </w:r>
      <w:r>
        <w:rPr>
          <w:rFonts w:hint="eastAsia" w:ascii="仿宋_GB2312" w:hAnsi="仿宋_GB2312" w:eastAsia="仿宋_GB2312" w:cs="仿宋_GB2312"/>
          <w:color w:val="000000"/>
          <w:kern w:val="0"/>
          <w:sz w:val="28"/>
          <w:szCs w:val="28"/>
        </w:rPr>
        <w:t>、关于机关运行经费支出说明</w:t>
      </w:r>
    </w:p>
    <w:p w14:paraId="4A5042A1">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w:t>
      </w:r>
      <w:r>
        <w:rPr>
          <w:rFonts w:hint="eastAsia" w:ascii="仿宋_GB2312" w:hAnsi="仿宋_GB2312" w:eastAsia="仿宋_GB2312" w:cs="仿宋_GB2312"/>
          <w:color w:val="000000"/>
          <w:kern w:val="0"/>
          <w:sz w:val="28"/>
          <w:szCs w:val="28"/>
          <w:lang w:val="en-US" w:eastAsia="zh-CN"/>
        </w:rPr>
        <w:t>一</w:t>
      </w:r>
      <w:r>
        <w:rPr>
          <w:rFonts w:hint="eastAsia" w:ascii="仿宋_GB2312" w:hAnsi="仿宋_GB2312" w:eastAsia="仿宋_GB2312" w:cs="仿宋_GB2312"/>
          <w:color w:val="000000"/>
          <w:kern w:val="0"/>
          <w:sz w:val="28"/>
          <w:szCs w:val="28"/>
        </w:rPr>
        <w:t>、一般性支出情况说明</w:t>
      </w:r>
    </w:p>
    <w:p w14:paraId="63AFA9C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w:t>
      </w:r>
      <w:r>
        <w:rPr>
          <w:rFonts w:hint="eastAsia" w:ascii="仿宋_GB2312" w:hAnsi="仿宋_GB2312" w:eastAsia="仿宋_GB2312" w:cs="仿宋_GB2312"/>
          <w:color w:val="000000"/>
          <w:kern w:val="0"/>
          <w:sz w:val="28"/>
          <w:szCs w:val="28"/>
          <w:lang w:val="en-US" w:eastAsia="zh-CN"/>
        </w:rPr>
        <w:t>二</w:t>
      </w:r>
      <w:r>
        <w:rPr>
          <w:rFonts w:hint="eastAsia" w:ascii="仿宋_GB2312" w:hAnsi="仿宋_GB2312" w:eastAsia="仿宋_GB2312" w:cs="仿宋_GB2312"/>
          <w:color w:val="000000"/>
          <w:kern w:val="0"/>
          <w:sz w:val="28"/>
          <w:szCs w:val="28"/>
        </w:rPr>
        <w:t>、关于政府采购支出说明</w:t>
      </w:r>
    </w:p>
    <w:p w14:paraId="02A10B7D">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w:t>
      </w: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rPr>
        <w:t>、关于国有资产占用情况说明</w:t>
      </w:r>
    </w:p>
    <w:p w14:paraId="2DD87A8A">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w:t>
      </w: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rPr>
        <w:t>、关于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767F283B">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5FFFD4B1">
      <w:pPr>
        <w:pStyle w:val="13"/>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24AE66E6">
      <w:pPr>
        <w:pStyle w:val="13"/>
        <w:spacing w:line="500" w:lineRule="exact"/>
        <w:rPr>
          <w:rFonts w:hint="eastAsia" w:ascii="黑体" w:hAnsi="黑体" w:eastAsia="黑体" w:cs="黑体"/>
          <w:b w:val="0"/>
          <w:bCs/>
          <w:sz w:val="28"/>
          <w:szCs w:val="28"/>
        </w:rPr>
      </w:pPr>
    </w:p>
    <w:p w14:paraId="2D1D2CC3">
      <w:pPr>
        <w:jc w:val="center"/>
        <w:rPr>
          <w:sz w:val="72"/>
          <w:szCs w:val="72"/>
        </w:rPr>
      </w:pPr>
    </w:p>
    <w:p w14:paraId="7B4FA91E">
      <w:pPr>
        <w:jc w:val="center"/>
        <w:rPr>
          <w:sz w:val="72"/>
          <w:szCs w:val="72"/>
        </w:rPr>
      </w:pPr>
    </w:p>
    <w:p w14:paraId="7F832503">
      <w:pPr>
        <w:jc w:val="center"/>
        <w:rPr>
          <w:sz w:val="72"/>
          <w:szCs w:val="72"/>
        </w:rPr>
      </w:pPr>
    </w:p>
    <w:p w14:paraId="4C6DA1A3">
      <w:pPr>
        <w:rPr>
          <w:sz w:val="72"/>
          <w:szCs w:val="72"/>
        </w:rPr>
      </w:pPr>
      <w:r>
        <w:rPr>
          <w:sz w:val="72"/>
          <w:szCs w:val="72"/>
        </w:rPr>
        <w:br w:type="page"/>
      </w:r>
    </w:p>
    <w:p w14:paraId="236173AF">
      <w:pPr>
        <w:pStyle w:val="2"/>
      </w:pPr>
    </w:p>
    <w:p w14:paraId="27F44F9D">
      <w:pPr>
        <w:rPr>
          <w:rFonts w:hint="eastAsia" w:ascii="方正小标宋_GBK" w:hAnsi="方正小标宋_GBK" w:eastAsia="方正小标宋_GBK" w:cs="方正小标宋_GBK"/>
          <w:sz w:val="72"/>
          <w:szCs w:val="72"/>
        </w:rPr>
      </w:pPr>
    </w:p>
    <w:p w14:paraId="5F9B955E">
      <w:pPr>
        <w:pStyle w:val="13"/>
        <w:jc w:val="center"/>
        <w:rPr>
          <w:rFonts w:hint="eastAsia" w:ascii="方正小标宋_GBK" w:hAnsi="方正小标宋_GBK" w:eastAsia="方正小标宋_GBK" w:cs="方正小标宋_GBK"/>
          <w:sz w:val="84"/>
          <w:szCs w:val="84"/>
        </w:rPr>
      </w:pPr>
    </w:p>
    <w:p w14:paraId="1B4FDD94">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14B08DCB">
      <w:pPr>
        <w:pStyle w:val="13"/>
        <w:jc w:val="center"/>
        <w:rPr>
          <w:rFonts w:hint="eastAsia" w:ascii="方正小标宋_GBK" w:hAnsi="方正小标宋_GBK" w:eastAsia="方正小标宋_GBK" w:cs="方正小标宋_GBK"/>
          <w:sz w:val="84"/>
          <w:szCs w:val="84"/>
        </w:rPr>
      </w:pPr>
    </w:p>
    <w:p w14:paraId="6DB4BDE1">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怀化市退役军人事务局（本级）概况</w:t>
      </w:r>
    </w:p>
    <w:p w14:paraId="5ADAF186">
      <w:pPr>
        <w:jc w:val="center"/>
        <w:rPr>
          <w:rFonts w:hint="eastAsia" w:ascii="方正小标宋_GBK" w:hAnsi="方正小标宋_GBK" w:eastAsia="方正小标宋_GBK" w:cs="方正小标宋_GBK"/>
          <w:sz w:val="72"/>
          <w:szCs w:val="72"/>
        </w:rPr>
      </w:pPr>
    </w:p>
    <w:p w14:paraId="27F3F75B">
      <w:pPr>
        <w:jc w:val="center"/>
        <w:rPr>
          <w:rFonts w:hint="eastAsia" w:ascii="方正小标宋_GBK" w:hAnsi="方正小标宋_GBK" w:eastAsia="方正小标宋_GBK" w:cs="方正小标宋_GBK"/>
          <w:sz w:val="72"/>
          <w:szCs w:val="72"/>
        </w:rPr>
      </w:pPr>
    </w:p>
    <w:p w14:paraId="4FDBF85F">
      <w:pPr>
        <w:jc w:val="center"/>
        <w:rPr>
          <w:sz w:val="72"/>
          <w:szCs w:val="72"/>
        </w:rPr>
      </w:pPr>
    </w:p>
    <w:p w14:paraId="3E69AC82">
      <w:pPr>
        <w:jc w:val="center"/>
        <w:rPr>
          <w:sz w:val="72"/>
          <w:szCs w:val="72"/>
        </w:rPr>
      </w:pPr>
    </w:p>
    <w:p w14:paraId="1E1801F4">
      <w:pPr>
        <w:rPr>
          <w:sz w:val="72"/>
          <w:szCs w:val="72"/>
        </w:rPr>
      </w:pPr>
      <w:r>
        <w:rPr>
          <w:sz w:val="72"/>
          <w:szCs w:val="72"/>
        </w:rPr>
        <w:br w:type="page"/>
      </w:r>
    </w:p>
    <w:p w14:paraId="00F38707">
      <w:pPr>
        <w:pStyle w:val="2"/>
      </w:pPr>
    </w:p>
    <w:p w14:paraId="02DBB04E">
      <w:pPr>
        <w:pStyle w:val="14"/>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7AE8A87D">
      <w:pPr>
        <w:ind w:firstLine="640" w:firstLineChars="200"/>
        <w:jc w:val="lef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我</w:t>
      </w:r>
      <w:r>
        <w:rPr>
          <w:rFonts w:hint="eastAsia" w:ascii="Times New Roman" w:hAnsi="Times New Roman" w:eastAsia="仿宋_GB2312" w:cs="仿宋_GB2312"/>
          <w:bCs/>
          <w:kern w:val="0"/>
          <w:sz w:val="32"/>
          <w:szCs w:val="32"/>
          <w:lang w:val="en-US" w:eastAsia="zh-CN"/>
        </w:rPr>
        <w:t>局</w:t>
      </w:r>
      <w:r>
        <w:rPr>
          <w:rFonts w:hint="eastAsia" w:ascii="Times New Roman" w:hAnsi="Times New Roman" w:eastAsia="仿宋_GB2312" w:cs="仿宋_GB2312"/>
          <w:bCs/>
          <w:kern w:val="0"/>
          <w:sz w:val="32"/>
          <w:szCs w:val="32"/>
        </w:rPr>
        <w:t>是</w:t>
      </w:r>
      <w:r>
        <w:rPr>
          <w:rFonts w:hint="eastAsia" w:ascii="Times New Roman" w:hAnsi="Times New Roman" w:eastAsia="仿宋_GB2312" w:cs="仿宋_GB2312"/>
          <w:bCs/>
          <w:kern w:val="0"/>
          <w:sz w:val="32"/>
          <w:szCs w:val="32"/>
          <w:lang w:val="en-US" w:eastAsia="zh-CN"/>
        </w:rPr>
        <w:t>市</w:t>
      </w:r>
      <w:r>
        <w:rPr>
          <w:rFonts w:hint="eastAsia" w:ascii="Times New Roman" w:hAnsi="Times New Roman" w:eastAsia="仿宋_GB2312" w:cs="仿宋_GB2312"/>
          <w:bCs/>
          <w:kern w:val="0"/>
          <w:sz w:val="32"/>
          <w:szCs w:val="32"/>
        </w:rPr>
        <w:t>人民政府组成部门，其主要职责是：贯彻执行党和国家关于退役军人思想政治、管理保障等工作政策法规，拟订全</w:t>
      </w:r>
      <w:r>
        <w:rPr>
          <w:rFonts w:hint="eastAsia" w:ascii="Times New Roman" w:hAnsi="Times New Roman" w:eastAsia="仿宋_GB2312" w:cs="仿宋_GB2312"/>
          <w:bCs/>
          <w:kern w:val="0"/>
          <w:sz w:val="32"/>
          <w:szCs w:val="32"/>
          <w:lang w:val="en-US" w:eastAsia="zh-CN"/>
        </w:rPr>
        <w:t>市</w:t>
      </w:r>
      <w:r>
        <w:rPr>
          <w:rFonts w:hint="eastAsia" w:ascii="Times New Roman" w:hAnsi="Times New Roman" w:eastAsia="仿宋_GB2312" w:cs="仿宋_GB2312"/>
          <w:bCs/>
          <w:kern w:val="0"/>
          <w:sz w:val="32"/>
          <w:szCs w:val="32"/>
        </w:rPr>
        <w:t>退役军人事务发展规划和政策并组织实施，褒扬彰显退役军人为党、国家和人民牺牲奉献的精神风范和价值导向，负责军队转业干部、复员干部、退休干部、退役士兵的移交安置工作和自主择业退役军人服务管理、待遇保障工作，组织开展退役军人教育培训、权益维护、优待抚恤、信访稳定等，指导全省拥军优属工作，负责烈士及退役军人荣誉奖励、军人公墓维护以及纪念活动等。</w:t>
      </w:r>
    </w:p>
    <w:p w14:paraId="0BA04E31">
      <w:pPr>
        <w:widowControl/>
        <w:spacing w:line="600" w:lineRule="exact"/>
        <w:rPr>
          <w:rFonts w:hint="eastAsia" w:ascii="Times New Roman" w:hAnsi="Times New Roman" w:eastAsia="仿宋_GB2312" w:cs="仿宋_GB2312"/>
          <w:sz w:val="32"/>
          <w:szCs w:val="32"/>
        </w:rPr>
      </w:pPr>
    </w:p>
    <w:p w14:paraId="2E3BE7B0">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65746B82">
      <w:pPr>
        <w:jc w:val="lef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（一）内设机构设置。怀化市退役军人事务局是一级预算单位，内设机构包括：办公室、思想政治和权益维护科（政策法规科）、规划财务科、移交安置科、就业创业和军休管理科、</w:t>
      </w:r>
      <w:r>
        <w:rPr>
          <w:rFonts w:hint="eastAsia" w:ascii="Times New Roman" w:hAnsi="Times New Roman" w:eastAsia="仿宋_GB2312" w:cs="仿宋_GB2312"/>
          <w:bCs/>
          <w:kern w:val="0"/>
          <w:sz w:val="32"/>
          <w:szCs w:val="32"/>
          <w:lang w:val="en-US" w:eastAsia="zh-CN"/>
        </w:rPr>
        <w:t>双拥和</w:t>
      </w:r>
      <w:r>
        <w:rPr>
          <w:rFonts w:hint="eastAsia" w:ascii="Times New Roman" w:hAnsi="Times New Roman" w:eastAsia="仿宋_GB2312" w:cs="仿宋_GB2312"/>
          <w:bCs/>
          <w:kern w:val="0"/>
          <w:sz w:val="32"/>
          <w:szCs w:val="32"/>
        </w:rPr>
        <w:t>优抚科、机关党委；下设</w:t>
      </w:r>
      <w:r>
        <w:rPr>
          <w:rFonts w:hint="eastAsia" w:ascii="Times New Roman" w:hAnsi="Times New Roman" w:eastAsia="仿宋_GB2312" w:cs="仿宋_GB2312"/>
          <w:bCs/>
          <w:kern w:val="0"/>
          <w:sz w:val="32"/>
          <w:szCs w:val="32"/>
          <w:lang w:val="en-US" w:eastAsia="zh-CN"/>
        </w:rPr>
        <w:t>4</w:t>
      </w:r>
      <w:r>
        <w:rPr>
          <w:rFonts w:hint="eastAsia" w:ascii="Times New Roman" w:hAnsi="Times New Roman" w:eastAsia="仿宋_GB2312" w:cs="仿宋_GB2312"/>
          <w:bCs/>
          <w:kern w:val="0"/>
          <w:sz w:val="32"/>
          <w:szCs w:val="32"/>
        </w:rPr>
        <w:t>个二级单位：怀化市退役军人服务中心（非独立核算）</w:t>
      </w:r>
      <w:r>
        <w:rPr>
          <w:rFonts w:hint="eastAsia" w:ascii="Times New Roman" w:hAnsi="Times New Roman" w:eastAsia="仿宋_GB2312" w:cs="仿宋_GB2312"/>
          <w:bCs/>
          <w:kern w:val="0"/>
          <w:sz w:val="32"/>
          <w:szCs w:val="32"/>
          <w:lang w:eastAsia="zh-CN"/>
        </w:rPr>
        <w:t>、</w:t>
      </w:r>
      <w:r>
        <w:rPr>
          <w:rFonts w:hint="eastAsia" w:ascii="Times New Roman" w:hAnsi="Times New Roman" w:eastAsia="仿宋_GB2312" w:cs="仿宋_GB2312"/>
          <w:bCs/>
          <w:kern w:val="0"/>
          <w:sz w:val="32"/>
          <w:szCs w:val="32"/>
        </w:rPr>
        <w:t>怀化市军队离退休干部休养所、怀化市军用饮食供应站、</w:t>
      </w:r>
      <w:r>
        <w:rPr>
          <w:rFonts w:hint="eastAsia" w:ascii="Times New Roman" w:hAnsi="Times New Roman" w:eastAsia="仿宋_GB2312" w:cs="仿宋_GB2312"/>
          <w:bCs/>
          <w:kern w:val="0"/>
          <w:sz w:val="32"/>
          <w:szCs w:val="32"/>
          <w:lang w:val="en-US" w:eastAsia="zh-CN"/>
        </w:rPr>
        <w:t>怀化市荣军褒扬服务所</w:t>
      </w:r>
      <w:r>
        <w:rPr>
          <w:rFonts w:hint="eastAsia" w:ascii="Times New Roman" w:hAnsi="Times New Roman" w:eastAsia="仿宋_GB2312" w:cs="仿宋_GB2312"/>
          <w:bCs/>
          <w:kern w:val="0"/>
          <w:sz w:val="32"/>
          <w:szCs w:val="32"/>
        </w:rPr>
        <w:t>。</w:t>
      </w:r>
    </w:p>
    <w:p w14:paraId="5CC407C1">
      <w:pPr>
        <w:jc w:val="left"/>
        <w:rPr>
          <w:rFonts w:ascii="仿宋_GB2312" w:eastAsia="仿宋_GB2312" w:hAnsiTheme="minorEastAsia"/>
          <w:sz w:val="28"/>
          <w:szCs w:val="32"/>
        </w:rPr>
      </w:pPr>
      <w:r>
        <w:rPr>
          <w:rFonts w:hint="eastAsia" w:ascii="Times New Roman" w:hAnsi="Times New Roman" w:eastAsia="仿宋_GB2312" w:cs="仿宋_GB2312"/>
          <w:bCs/>
          <w:kern w:val="0"/>
          <w:sz w:val="32"/>
          <w:szCs w:val="32"/>
        </w:rPr>
        <w:t>（二）决算单位构成。怀化市退役军人事务局202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年部门决算公开单位构成包括：怀化市退役军人事务局本级。</w:t>
      </w:r>
    </w:p>
    <w:p w14:paraId="2DE2FA3F">
      <w:pPr>
        <w:jc w:val="center"/>
        <w:rPr>
          <w:rFonts w:ascii="黑体" w:hAnsi="黑体" w:eastAsia="黑体"/>
          <w:sz w:val="28"/>
          <w:szCs w:val="28"/>
        </w:rPr>
      </w:pPr>
    </w:p>
    <w:p w14:paraId="412484D3">
      <w:pPr>
        <w:jc w:val="center"/>
        <w:rPr>
          <w:rFonts w:ascii="黑体" w:hAnsi="黑体" w:eastAsia="黑体"/>
          <w:sz w:val="28"/>
          <w:szCs w:val="28"/>
        </w:rPr>
      </w:pPr>
    </w:p>
    <w:p w14:paraId="734ACC7B">
      <w:pPr>
        <w:jc w:val="center"/>
        <w:rPr>
          <w:rFonts w:ascii="黑体" w:hAnsi="黑体" w:eastAsia="黑体"/>
          <w:sz w:val="28"/>
          <w:szCs w:val="28"/>
        </w:rPr>
      </w:pPr>
    </w:p>
    <w:p w14:paraId="6B24622C">
      <w:pPr>
        <w:jc w:val="center"/>
        <w:rPr>
          <w:rFonts w:ascii="黑体" w:hAnsi="黑体" w:eastAsia="黑体"/>
          <w:sz w:val="28"/>
          <w:szCs w:val="28"/>
        </w:rPr>
      </w:pPr>
    </w:p>
    <w:p w14:paraId="7460FD49">
      <w:pPr>
        <w:jc w:val="center"/>
        <w:rPr>
          <w:sz w:val="72"/>
          <w:szCs w:val="72"/>
        </w:rPr>
      </w:pPr>
    </w:p>
    <w:p w14:paraId="38CC71F0">
      <w:pPr>
        <w:pStyle w:val="13"/>
        <w:jc w:val="center"/>
        <w:rPr>
          <w:rFonts w:hint="eastAsia" w:ascii="方正小标宋_GBK" w:hAnsi="方正小标宋_GBK" w:eastAsia="方正小标宋_GBK" w:cs="方正小标宋_GBK"/>
          <w:sz w:val="84"/>
          <w:szCs w:val="84"/>
        </w:rPr>
      </w:pPr>
    </w:p>
    <w:p w14:paraId="6A52370F">
      <w:pPr>
        <w:pStyle w:val="13"/>
        <w:jc w:val="center"/>
        <w:rPr>
          <w:rFonts w:hint="eastAsia" w:ascii="方正小标宋_GBK" w:hAnsi="方正小标宋_GBK" w:eastAsia="方正小标宋_GBK" w:cs="方正小标宋_GBK"/>
          <w:sz w:val="84"/>
          <w:szCs w:val="84"/>
        </w:rPr>
      </w:pPr>
    </w:p>
    <w:p w14:paraId="5F386E7B">
      <w:pPr>
        <w:pStyle w:val="13"/>
        <w:jc w:val="center"/>
        <w:rPr>
          <w:rFonts w:hint="eastAsia" w:ascii="方正小标宋_GBK" w:hAnsi="方正小标宋_GBK" w:eastAsia="方正小标宋_GBK" w:cs="方正小标宋_GBK"/>
          <w:sz w:val="84"/>
          <w:szCs w:val="84"/>
        </w:rPr>
      </w:pPr>
    </w:p>
    <w:p w14:paraId="5A667BA3">
      <w:pPr>
        <w:pStyle w:val="13"/>
        <w:jc w:val="center"/>
        <w:rPr>
          <w:rFonts w:hint="eastAsia" w:ascii="方正小标宋_GBK" w:hAnsi="方正小标宋_GBK" w:eastAsia="方正小标宋_GBK" w:cs="方正小标宋_GBK"/>
          <w:sz w:val="84"/>
          <w:szCs w:val="84"/>
        </w:rPr>
      </w:pPr>
    </w:p>
    <w:p w14:paraId="36972D49">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7118026A">
      <w:pPr>
        <w:pStyle w:val="13"/>
        <w:jc w:val="center"/>
        <w:rPr>
          <w:rFonts w:hint="eastAsia" w:ascii="方正小标宋_GBK" w:hAnsi="方正小标宋_GBK" w:eastAsia="方正小标宋_GBK" w:cs="方正小标宋_GBK"/>
          <w:sz w:val="84"/>
          <w:szCs w:val="84"/>
        </w:rPr>
      </w:pPr>
    </w:p>
    <w:p w14:paraId="45C99405">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5CF5B75E">
      <w:pPr>
        <w:jc w:val="center"/>
        <w:rPr>
          <w:sz w:val="72"/>
          <w:szCs w:val="72"/>
        </w:rPr>
      </w:pPr>
    </w:p>
    <w:p w14:paraId="1E2CDCAE">
      <w:pPr>
        <w:jc w:val="center"/>
        <w:rPr>
          <w:sz w:val="72"/>
          <w:szCs w:val="72"/>
        </w:rPr>
      </w:pPr>
    </w:p>
    <w:p w14:paraId="1145C9B9">
      <w:pPr>
        <w:jc w:val="center"/>
        <w:rPr>
          <w:rFonts w:hint="default" w:eastAsiaTheme="minorEastAsia"/>
          <w:sz w:val="52"/>
          <w:szCs w:val="52"/>
          <w:lang w:val="en-US" w:eastAsia="zh-CN"/>
        </w:rPr>
      </w:pPr>
      <w:r>
        <w:rPr>
          <w:rFonts w:hint="eastAsia"/>
          <w:sz w:val="52"/>
          <w:szCs w:val="52"/>
          <w:lang w:eastAsia="zh-CN"/>
        </w:rPr>
        <w:t>（</w:t>
      </w:r>
      <w:r>
        <w:rPr>
          <w:rFonts w:hint="eastAsia"/>
          <w:sz w:val="52"/>
          <w:szCs w:val="52"/>
          <w:lang w:val="en-US" w:eastAsia="zh-CN"/>
        </w:rPr>
        <w:t>见附件）</w:t>
      </w:r>
    </w:p>
    <w:p w14:paraId="0D105450">
      <w:pPr>
        <w:jc w:val="center"/>
        <w:rPr>
          <w:sz w:val="72"/>
          <w:szCs w:val="72"/>
        </w:rPr>
      </w:pPr>
    </w:p>
    <w:p w14:paraId="655C52AD">
      <w:pPr>
        <w:jc w:val="center"/>
        <w:rPr>
          <w:sz w:val="72"/>
          <w:szCs w:val="72"/>
        </w:rPr>
      </w:pPr>
    </w:p>
    <w:p w14:paraId="134046C4">
      <w:pPr>
        <w:jc w:val="center"/>
        <w:rPr>
          <w:sz w:val="72"/>
          <w:szCs w:val="72"/>
        </w:rPr>
      </w:pPr>
    </w:p>
    <w:p w14:paraId="13148409">
      <w:pPr>
        <w:widowControl/>
        <w:jc w:val="both"/>
        <w:rPr>
          <w:sz w:val="72"/>
          <w:szCs w:val="72"/>
        </w:rPr>
        <w:sectPr>
          <w:pgSz w:w="11906" w:h="16838"/>
          <w:pgMar w:top="720" w:right="720" w:bottom="720" w:left="720" w:header="851" w:footer="992" w:gutter="0"/>
          <w:cols w:space="425" w:num="1"/>
          <w:docGrid w:type="lines" w:linePitch="312" w:charSpace="0"/>
        </w:sectPr>
      </w:pPr>
    </w:p>
    <w:p w14:paraId="290111DB">
      <w:pPr>
        <w:pStyle w:val="13"/>
        <w:jc w:val="center"/>
        <w:rPr>
          <w:sz w:val="72"/>
          <w:szCs w:val="72"/>
        </w:rPr>
      </w:pPr>
    </w:p>
    <w:p w14:paraId="28A23BA1">
      <w:pPr>
        <w:pStyle w:val="13"/>
        <w:jc w:val="center"/>
        <w:rPr>
          <w:sz w:val="72"/>
          <w:szCs w:val="72"/>
        </w:rPr>
      </w:pPr>
    </w:p>
    <w:p w14:paraId="067EBA7F">
      <w:pPr>
        <w:pStyle w:val="13"/>
        <w:jc w:val="center"/>
        <w:rPr>
          <w:sz w:val="72"/>
          <w:szCs w:val="72"/>
        </w:rPr>
      </w:pPr>
    </w:p>
    <w:p w14:paraId="00B0C6B0">
      <w:pPr>
        <w:pStyle w:val="13"/>
        <w:jc w:val="center"/>
        <w:rPr>
          <w:rFonts w:hint="eastAsia" w:ascii="方正小标宋_GBK" w:hAnsi="方正小标宋_GBK" w:eastAsia="方正小标宋_GBK" w:cs="方正小标宋_GBK"/>
          <w:sz w:val="72"/>
          <w:szCs w:val="72"/>
        </w:rPr>
      </w:pPr>
    </w:p>
    <w:p w14:paraId="739B0C70">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3A298B3C">
      <w:pPr>
        <w:pStyle w:val="13"/>
        <w:jc w:val="center"/>
        <w:rPr>
          <w:rFonts w:hint="eastAsia" w:ascii="方正小标宋_GBK" w:hAnsi="方正小标宋_GBK" w:eastAsia="方正小标宋_GBK" w:cs="方正小标宋_GBK"/>
          <w:sz w:val="70"/>
          <w:szCs w:val="70"/>
        </w:rPr>
      </w:pPr>
    </w:p>
    <w:p w14:paraId="351A674C">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14:paraId="704FA654">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4E32D3D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一、收入支出决算总体情况说明</w:t>
      </w:r>
    </w:p>
    <w:p w14:paraId="5D7F43A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1724.88</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减少483.76</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降低21.90</w:t>
      </w:r>
      <w:r>
        <w:rPr>
          <w:rFonts w:hint="eastAsia" w:ascii="Times New Roman" w:hAnsi="Times New Roman" w:eastAsia="仿宋_GB2312"/>
          <w:sz w:val="32"/>
          <w:szCs w:val="32"/>
        </w:rPr>
        <w:t>%，主要是因</w:t>
      </w:r>
      <w:r>
        <w:rPr>
          <w:rFonts w:hint="eastAsia" w:ascii="Times New Roman" w:hAnsi="Times New Roman" w:eastAsia="仿宋_GB2312"/>
          <w:sz w:val="32"/>
          <w:szCs w:val="32"/>
          <w:lang w:val="en-US" w:eastAsia="zh-CN"/>
        </w:rPr>
        <w:t>为上年城连共建项目已完成。</w:t>
      </w:r>
    </w:p>
    <w:p w14:paraId="0BFAC65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58E83DA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1724.88</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1724.88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14:paraId="457F75D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6FF02E7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1724.88</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647.22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37.52</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1077.66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62.48</w:t>
      </w:r>
      <w:r>
        <w:rPr>
          <w:rFonts w:hint="eastAsia" w:ascii="Times New Roman" w:hAnsi="Times New Roman" w:eastAsia="仿宋_GB2312"/>
          <w:sz w:val="32"/>
          <w:szCs w:val="32"/>
        </w:rPr>
        <w:t>%。</w:t>
      </w:r>
    </w:p>
    <w:p w14:paraId="6E5DBF3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05DD70BF">
      <w:pPr>
        <w:pStyle w:val="13"/>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sz w:val="32"/>
          <w:szCs w:val="32"/>
          <w:lang w:val="en-US"/>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1724.88</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减少483.76</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降低21.90</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上年城连共建项目已完成。</w:t>
      </w:r>
    </w:p>
    <w:p w14:paraId="15C0507B">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6038CB3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3FC1D8E7">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1724.88</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%，与上年相比，财政拨款支出增加</w:t>
      </w:r>
      <w:r>
        <w:rPr>
          <w:rFonts w:hint="eastAsia" w:ascii="Times New Roman" w:hAnsi="Times New Roman" w:eastAsia="仿宋_GB2312"/>
          <w:sz w:val="32"/>
          <w:szCs w:val="32"/>
          <w:lang w:val="en-US" w:eastAsia="zh-CN"/>
        </w:rPr>
        <w:t>482.02</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降低21.84</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上年城连共建项目已完成。</w:t>
      </w:r>
    </w:p>
    <w:p w14:paraId="1FE823D7">
      <w:pPr>
        <w:pStyle w:val="13"/>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016802B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1724.88</w:t>
      </w:r>
      <w:r>
        <w:rPr>
          <w:rFonts w:hint="eastAsia" w:ascii="Times New Roman" w:hAnsi="Times New Roman" w:eastAsia="仿宋_GB2312"/>
          <w:sz w:val="32"/>
          <w:szCs w:val="32"/>
        </w:rPr>
        <w:t>万元，主要用于以下方面：社会保障和就业支出</w:t>
      </w:r>
      <w:r>
        <w:rPr>
          <w:rFonts w:hint="eastAsia" w:ascii="Times New Roman" w:hAnsi="Times New Roman" w:eastAsia="仿宋_GB2312"/>
          <w:sz w:val="32"/>
          <w:szCs w:val="32"/>
          <w:lang w:val="en-US" w:eastAsia="zh-CN"/>
        </w:rPr>
        <w:t>1652.61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95.81</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住房保障支出50.13万元，占2.91%；</w:t>
      </w:r>
      <w:r>
        <w:rPr>
          <w:rFonts w:hint="eastAsia" w:ascii="Times New Roman" w:hAnsi="Times New Roman" w:eastAsia="仿宋_GB2312"/>
          <w:sz w:val="32"/>
          <w:szCs w:val="32"/>
        </w:rPr>
        <w:t>卫生健康支出</w:t>
      </w:r>
      <w:r>
        <w:rPr>
          <w:rFonts w:hint="eastAsia" w:ascii="Times New Roman" w:hAnsi="Times New Roman" w:eastAsia="仿宋_GB2312"/>
          <w:sz w:val="32"/>
          <w:szCs w:val="32"/>
          <w:lang w:val="en-US" w:eastAsia="zh-CN"/>
        </w:rPr>
        <w:t>22.14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1.28</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39116F75">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4D691D33">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1609.82</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1724.88</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107.15</w:t>
      </w:r>
      <w:r>
        <w:rPr>
          <w:rFonts w:hint="eastAsia" w:ascii="Times New Roman" w:hAnsi="Times New Roman" w:eastAsia="仿宋_GB2312"/>
          <w:sz w:val="32"/>
          <w:szCs w:val="32"/>
        </w:rPr>
        <w:t>%，其中：</w:t>
      </w:r>
    </w:p>
    <w:p w14:paraId="788AD2B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1、社会保障和就业支出（类）行政事业单位养老支出（款）</w:t>
      </w:r>
      <w:r>
        <w:rPr>
          <w:rFonts w:hint="eastAsia" w:ascii="Times New Roman" w:hAnsi="Times New Roman" w:eastAsia="仿宋_GB2312"/>
          <w:sz w:val="32"/>
          <w:szCs w:val="32"/>
          <w:highlight w:val="none"/>
          <w:lang w:val="en-US" w:eastAsia="zh-CN"/>
        </w:rPr>
        <w:t>行政单位离退休（项）。</w:t>
      </w:r>
    </w:p>
    <w:p w14:paraId="121B538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w:t>
      </w:r>
      <w:r>
        <w:rPr>
          <w:rFonts w:hint="eastAsia" w:ascii="Times New Roman" w:hAnsi="Times New Roman" w:eastAsia="仿宋_GB2312"/>
          <w:color w:val="auto"/>
          <w:sz w:val="32"/>
          <w:szCs w:val="32"/>
          <w:highlight w:val="none"/>
        </w:rPr>
        <w:t>为</w:t>
      </w:r>
      <w:r>
        <w:rPr>
          <w:rFonts w:hint="eastAsia" w:ascii="Times New Roman" w:hAnsi="Times New Roman" w:eastAsia="仿宋_GB2312"/>
          <w:color w:val="auto"/>
          <w:sz w:val="32"/>
          <w:szCs w:val="32"/>
          <w:highlight w:val="none"/>
          <w:lang w:val="en-US" w:eastAsia="zh-CN"/>
        </w:rPr>
        <w:t>3</w:t>
      </w:r>
      <w:r>
        <w:rPr>
          <w:rFonts w:hint="eastAsia" w:ascii="Times New Roman" w:hAnsi="Times New Roman" w:eastAsia="仿宋_GB2312"/>
          <w:color w:val="auto"/>
          <w:sz w:val="32"/>
          <w:szCs w:val="32"/>
          <w:highlight w:val="none"/>
        </w:rPr>
        <w:t>万元，支出决算为</w:t>
      </w:r>
      <w:r>
        <w:rPr>
          <w:rFonts w:hint="eastAsia" w:ascii="Times New Roman" w:hAnsi="Times New Roman" w:eastAsia="仿宋_GB2312"/>
          <w:color w:val="auto"/>
          <w:sz w:val="32"/>
          <w:szCs w:val="32"/>
          <w:highlight w:val="none"/>
          <w:lang w:val="en-US" w:eastAsia="zh-CN"/>
        </w:rPr>
        <w:t>1.79</w:t>
      </w:r>
      <w:r>
        <w:rPr>
          <w:rFonts w:hint="eastAsia" w:ascii="Times New Roman" w:hAnsi="Times New Roman" w:eastAsia="仿宋_GB2312"/>
          <w:color w:val="auto"/>
          <w:sz w:val="32"/>
          <w:szCs w:val="32"/>
          <w:highlight w:val="none"/>
        </w:rPr>
        <w:t>万元，完成年初预算的</w:t>
      </w:r>
      <w:r>
        <w:rPr>
          <w:rFonts w:hint="eastAsia" w:ascii="Times New Roman" w:hAnsi="Times New Roman" w:eastAsia="仿宋_GB2312"/>
          <w:color w:val="auto"/>
          <w:sz w:val="32"/>
          <w:szCs w:val="32"/>
          <w:highlight w:val="none"/>
          <w:lang w:val="en-US" w:eastAsia="zh-CN"/>
        </w:rPr>
        <w:t>59.67</w:t>
      </w:r>
      <w:r>
        <w:rPr>
          <w:rFonts w:hint="eastAsia" w:ascii="Times New Roman" w:hAnsi="Times New Roman" w:eastAsia="仿宋_GB2312"/>
          <w:color w:val="auto"/>
          <w:sz w:val="32"/>
          <w:szCs w:val="32"/>
          <w:highlight w:val="none"/>
        </w:rPr>
        <w:t>%，决算数</w:t>
      </w:r>
      <w:r>
        <w:rPr>
          <w:rFonts w:hint="eastAsia" w:ascii="Times New Roman" w:hAnsi="Times New Roman" w:eastAsia="仿宋_GB2312"/>
          <w:color w:val="auto"/>
          <w:sz w:val="32"/>
          <w:szCs w:val="32"/>
          <w:highlight w:val="none"/>
          <w:lang w:val="en-US" w:eastAsia="zh-CN"/>
        </w:rPr>
        <w:t>小</w:t>
      </w:r>
      <w:r>
        <w:rPr>
          <w:rFonts w:hint="eastAsia" w:ascii="Times New Roman" w:hAnsi="Times New Roman" w:eastAsia="仿宋_GB2312"/>
          <w:color w:val="auto"/>
          <w:sz w:val="32"/>
          <w:szCs w:val="32"/>
          <w:highlight w:val="none"/>
        </w:rPr>
        <w:t>于年初预算数的主要原因是：</w:t>
      </w:r>
      <w:r>
        <w:rPr>
          <w:rFonts w:hint="eastAsia" w:ascii="Times New Roman" w:hAnsi="Times New Roman" w:eastAsia="仿宋_GB2312"/>
          <w:color w:val="auto"/>
          <w:sz w:val="32"/>
          <w:szCs w:val="32"/>
          <w:highlight w:val="none"/>
          <w:lang w:val="en-US" w:eastAsia="zh-CN"/>
        </w:rPr>
        <w:t>不超预算正常运行</w:t>
      </w:r>
      <w:r>
        <w:rPr>
          <w:rFonts w:hint="eastAsia" w:ascii="Times New Roman" w:hAnsi="Times New Roman" w:eastAsia="仿宋_GB2312"/>
          <w:color w:val="auto"/>
          <w:sz w:val="32"/>
          <w:szCs w:val="32"/>
          <w:highlight w:val="none"/>
        </w:rPr>
        <w:t>。</w:t>
      </w:r>
    </w:p>
    <w:p w14:paraId="473BE00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lang w:val="en-US" w:eastAsia="zh-CN"/>
        </w:rPr>
        <w:t>2、</w:t>
      </w:r>
      <w:r>
        <w:rPr>
          <w:rFonts w:hint="eastAsia" w:ascii="Times New Roman" w:hAnsi="Times New Roman" w:eastAsia="仿宋_GB2312"/>
          <w:sz w:val="32"/>
          <w:szCs w:val="32"/>
          <w:highlight w:val="none"/>
        </w:rPr>
        <w:t>社会保障和就业支出（类）行政事业单位养老支出（款）机关事业单位基本养老保险缴费支出（项）。</w:t>
      </w:r>
    </w:p>
    <w:p w14:paraId="7E565E9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sz w:val="32"/>
          <w:szCs w:val="32"/>
          <w:highlight w:val="none"/>
        </w:rPr>
        <w:t>年初预算</w:t>
      </w:r>
      <w:r>
        <w:rPr>
          <w:rFonts w:hint="eastAsia" w:ascii="Times New Roman" w:hAnsi="Times New Roman" w:eastAsia="仿宋_GB2312"/>
          <w:color w:val="auto"/>
          <w:sz w:val="32"/>
          <w:szCs w:val="32"/>
          <w:highlight w:val="none"/>
        </w:rPr>
        <w:t>为</w:t>
      </w:r>
      <w:r>
        <w:rPr>
          <w:rFonts w:hint="eastAsia" w:ascii="Times New Roman" w:hAnsi="Times New Roman" w:eastAsia="仿宋_GB2312"/>
          <w:color w:val="auto"/>
          <w:sz w:val="32"/>
          <w:szCs w:val="32"/>
          <w:highlight w:val="none"/>
          <w:lang w:val="en-US" w:eastAsia="zh-CN"/>
        </w:rPr>
        <w:t>53.86</w:t>
      </w:r>
      <w:r>
        <w:rPr>
          <w:rFonts w:hint="eastAsia" w:ascii="Times New Roman" w:hAnsi="Times New Roman" w:eastAsia="仿宋_GB2312"/>
          <w:color w:val="auto"/>
          <w:sz w:val="32"/>
          <w:szCs w:val="32"/>
          <w:highlight w:val="none"/>
        </w:rPr>
        <w:t>万元，支出决算为</w:t>
      </w:r>
      <w:r>
        <w:rPr>
          <w:rFonts w:hint="eastAsia" w:ascii="Times New Roman" w:hAnsi="Times New Roman" w:eastAsia="仿宋_GB2312"/>
          <w:color w:val="auto"/>
          <w:sz w:val="32"/>
          <w:szCs w:val="32"/>
          <w:highlight w:val="none"/>
          <w:lang w:val="en-US" w:eastAsia="zh-CN"/>
        </w:rPr>
        <w:t>50.67</w:t>
      </w:r>
      <w:r>
        <w:rPr>
          <w:rFonts w:hint="eastAsia" w:ascii="Times New Roman" w:hAnsi="Times New Roman" w:eastAsia="仿宋_GB2312"/>
          <w:color w:val="auto"/>
          <w:sz w:val="32"/>
          <w:szCs w:val="32"/>
          <w:highlight w:val="none"/>
        </w:rPr>
        <w:t>万元，完成年初预算的</w:t>
      </w:r>
      <w:r>
        <w:rPr>
          <w:rFonts w:hint="eastAsia" w:ascii="Times New Roman" w:hAnsi="Times New Roman" w:eastAsia="仿宋_GB2312"/>
          <w:color w:val="auto"/>
          <w:sz w:val="32"/>
          <w:szCs w:val="32"/>
          <w:highlight w:val="none"/>
          <w:lang w:val="en-US" w:eastAsia="zh-CN"/>
        </w:rPr>
        <w:t>85.08</w:t>
      </w:r>
      <w:r>
        <w:rPr>
          <w:rFonts w:hint="eastAsia" w:ascii="Times New Roman" w:hAnsi="Times New Roman" w:eastAsia="仿宋_GB2312"/>
          <w:color w:val="auto"/>
          <w:sz w:val="32"/>
          <w:szCs w:val="32"/>
          <w:highlight w:val="none"/>
        </w:rPr>
        <w:t>%，决算数</w:t>
      </w:r>
      <w:r>
        <w:rPr>
          <w:rFonts w:hint="eastAsia" w:ascii="Times New Roman" w:hAnsi="Times New Roman" w:eastAsia="仿宋_GB2312"/>
          <w:color w:val="auto"/>
          <w:sz w:val="32"/>
          <w:szCs w:val="32"/>
          <w:highlight w:val="none"/>
          <w:lang w:val="en-US" w:eastAsia="zh-CN"/>
        </w:rPr>
        <w:t>小</w:t>
      </w:r>
      <w:r>
        <w:rPr>
          <w:rFonts w:hint="eastAsia" w:ascii="Times New Roman" w:hAnsi="Times New Roman" w:eastAsia="仿宋_GB2312"/>
          <w:color w:val="auto"/>
          <w:sz w:val="32"/>
          <w:szCs w:val="32"/>
          <w:highlight w:val="none"/>
        </w:rPr>
        <w:t>于年初预算数的主要原因是：</w:t>
      </w:r>
      <w:r>
        <w:rPr>
          <w:rFonts w:hint="eastAsia" w:ascii="Times New Roman" w:hAnsi="Times New Roman" w:eastAsia="仿宋_GB2312"/>
          <w:color w:val="auto"/>
          <w:sz w:val="32"/>
          <w:szCs w:val="32"/>
          <w:highlight w:val="none"/>
          <w:lang w:val="en-US" w:eastAsia="zh-CN"/>
        </w:rPr>
        <w:t>不超预算正常运行</w:t>
      </w:r>
      <w:r>
        <w:rPr>
          <w:rFonts w:hint="eastAsia" w:ascii="Times New Roman" w:hAnsi="Times New Roman" w:eastAsia="仿宋_GB2312"/>
          <w:color w:val="auto"/>
          <w:sz w:val="32"/>
          <w:szCs w:val="32"/>
          <w:highlight w:val="none"/>
        </w:rPr>
        <w:t>。</w:t>
      </w:r>
    </w:p>
    <w:p w14:paraId="50FB15D4">
      <w:pPr>
        <w:pStyle w:val="13"/>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highlight w:val="none"/>
        </w:rPr>
        <w:t>社会保障和就业支出（类）</w:t>
      </w:r>
      <w:r>
        <w:rPr>
          <w:rFonts w:hint="eastAsia" w:ascii="Times New Roman" w:hAnsi="Times New Roman" w:eastAsia="仿宋_GB2312"/>
          <w:color w:val="auto"/>
          <w:sz w:val="32"/>
          <w:szCs w:val="32"/>
          <w:highlight w:val="none"/>
          <w:lang w:val="en-US" w:eastAsia="zh-CN"/>
        </w:rPr>
        <w:t>就业补助（款）其他就业补助支出（项）</w:t>
      </w:r>
    </w:p>
    <w:p w14:paraId="14259384">
      <w:pPr>
        <w:pStyle w:val="13"/>
        <w:keepNext w:val="0"/>
        <w:keepLines w:val="0"/>
        <w:pageBreakBefore w:val="0"/>
        <w:widowControl w:val="0"/>
        <w:numPr>
          <w:numId w:val="0"/>
        </w:numPr>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highlight w:val="none"/>
        </w:rPr>
        <w:t>年初预算为</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万元，</w:t>
      </w:r>
      <w:r>
        <w:rPr>
          <w:rFonts w:hint="eastAsia" w:ascii="Times New Roman" w:hAnsi="Times New Roman" w:eastAsia="仿宋_GB2312"/>
          <w:color w:val="auto"/>
          <w:sz w:val="32"/>
          <w:szCs w:val="32"/>
          <w:highlight w:val="none"/>
          <w:lang w:val="en-US" w:eastAsia="zh-CN"/>
        </w:rPr>
        <w:t>追加预算80万元，</w:t>
      </w:r>
      <w:r>
        <w:rPr>
          <w:rFonts w:hint="eastAsia" w:ascii="Times New Roman" w:hAnsi="Times New Roman" w:eastAsia="仿宋_GB2312"/>
          <w:color w:val="auto"/>
          <w:sz w:val="32"/>
          <w:szCs w:val="32"/>
          <w:highlight w:val="none"/>
        </w:rPr>
        <w:t>支出决算为</w:t>
      </w:r>
      <w:r>
        <w:rPr>
          <w:rFonts w:hint="eastAsia" w:ascii="Times New Roman" w:hAnsi="Times New Roman" w:eastAsia="仿宋_GB2312"/>
          <w:color w:val="auto"/>
          <w:sz w:val="32"/>
          <w:szCs w:val="32"/>
          <w:highlight w:val="none"/>
          <w:lang w:val="en-US" w:eastAsia="zh-CN"/>
        </w:rPr>
        <w:t>80</w:t>
      </w:r>
      <w:r>
        <w:rPr>
          <w:rFonts w:hint="eastAsia" w:ascii="Times New Roman" w:hAnsi="Times New Roman" w:eastAsia="仿宋_GB2312"/>
          <w:color w:val="auto"/>
          <w:sz w:val="32"/>
          <w:szCs w:val="32"/>
          <w:highlight w:val="none"/>
        </w:rPr>
        <w:t>万元，完成</w:t>
      </w:r>
      <w:r>
        <w:rPr>
          <w:rFonts w:hint="eastAsia" w:ascii="Times New Roman" w:hAnsi="Times New Roman" w:eastAsia="仿宋_GB2312"/>
          <w:color w:val="auto"/>
          <w:sz w:val="32"/>
          <w:szCs w:val="32"/>
          <w:highlight w:val="none"/>
          <w:lang w:val="en-US" w:eastAsia="zh-CN"/>
        </w:rPr>
        <w:t>追加</w:t>
      </w:r>
      <w:r>
        <w:rPr>
          <w:rFonts w:hint="eastAsia" w:ascii="Times New Roman" w:hAnsi="Times New Roman" w:eastAsia="仿宋_GB2312"/>
          <w:color w:val="auto"/>
          <w:sz w:val="32"/>
          <w:szCs w:val="32"/>
          <w:highlight w:val="none"/>
        </w:rPr>
        <w:t>预算的</w:t>
      </w:r>
      <w:r>
        <w:rPr>
          <w:rFonts w:hint="eastAsia" w:ascii="Times New Roman" w:hAnsi="Times New Roman" w:eastAsia="仿宋_GB2312"/>
          <w:color w:val="auto"/>
          <w:sz w:val="32"/>
          <w:szCs w:val="32"/>
          <w:highlight w:val="none"/>
          <w:lang w:val="en-US" w:eastAsia="zh-CN"/>
        </w:rPr>
        <w:t>100</w:t>
      </w:r>
      <w:r>
        <w:rPr>
          <w:rFonts w:hint="eastAsia" w:ascii="Times New Roman" w:hAnsi="Times New Roman" w:eastAsia="仿宋_GB2312"/>
          <w:color w:val="auto"/>
          <w:sz w:val="32"/>
          <w:szCs w:val="32"/>
          <w:highlight w:val="none"/>
        </w:rPr>
        <w:t>%，决算数</w:t>
      </w:r>
      <w:r>
        <w:rPr>
          <w:rFonts w:hint="eastAsia" w:ascii="Times New Roman" w:hAnsi="Times New Roman" w:eastAsia="仿宋_GB2312"/>
          <w:color w:val="auto"/>
          <w:sz w:val="32"/>
          <w:szCs w:val="32"/>
          <w:highlight w:val="none"/>
          <w:lang w:val="en-US" w:eastAsia="zh-CN"/>
        </w:rPr>
        <w:t>等</w:t>
      </w:r>
      <w:r>
        <w:rPr>
          <w:rFonts w:hint="eastAsia" w:ascii="Times New Roman" w:hAnsi="Times New Roman" w:eastAsia="仿宋_GB2312"/>
          <w:color w:val="auto"/>
          <w:sz w:val="32"/>
          <w:szCs w:val="32"/>
          <w:highlight w:val="none"/>
        </w:rPr>
        <w:t>于</w:t>
      </w:r>
      <w:r>
        <w:rPr>
          <w:rFonts w:hint="eastAsia" w:ascii="Times New Roman" w:hAnsi="Times New Roman" w:eastAsia="仿宋_GB2312"/>
          <w:color w:val="auto"/>
          <w:sz w:val="32"/>
          <w:szCs w:val="32"/>
          <w:highlight w:val="none"/>
          <w:lang w:val="en-US" w:eastAsia="zh-CN"/>
        </w:rPr>
        <w:t>追加</w:t>
      </w:r>
      <w:r>
        <w:rPr>
          <w:rFonts w:hint="eastAsia" w:ascii="Times New Roman" w:hAnsi="Times New Roman" w:eastAsia="仿宋_GB2312"/>
          <w:color w:val="auto"/>
          <w:sz w:val="32"/>
          <w:szCs w:val="32"/>
          <w:highlight w:val="none"/>
        </w:rPr>
        <w:t>预算数。</w:t>
      </w:r>
    </w:p>
    <w:p w14:paraId="240C705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4</w:t>
      </w:r>
      <w:r>
        <w:rPr>
          <w:rFonts w:hint="eastAsia" w:ascii="Times New Roman" w:hAnsi="Times New Roman" w:eastAsia="仿宋_GB2312"/>
          <w:color w:val="auto"/>
          <w:sz w:val="32"/>
          <w:szCs w:val="32"/>
          <w:highlight w:val="none"/>
        </w:rPr>
        <w:t>、社会保障和就业支出（类）退役军人管理事务（款）行政运行（项）。</w:t>
      </w:r>
    </w:p>
    <w:p w14:paraId="543AD16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年初预算为</w:t>
      </w:r>
      <w:r>
        <w:rPr>
          <w:rFonts w:hint="eastAsia" w:ascii="Times New Roman" w:hAnsi="Times New Roman" w:eastAsia="仿宋_GB2312"/>
          <w:color w:val="auto"/>
          <w:sz w:val="32"/>
          <w:szCs w:val="32"/>
          <w:highlight w:val="none"/>
          <w:lang w:val="en-US" w:eastAsia="zh-CN"/>
        </w:rPr>
        <w:t>439.92</w:t>
      </w:r>
      <w:r>
        <w:rPr>
          <w:rFonts w:hint="eastAsia" w:ascii="Times New Roman" w:hAnsi="Times New Roman" w:eastAsia="仿宋_GB2312"/>
          <w:color w:val="auto"/>
          <w:sz w:val="32"/>
          <w:szCs w:val="32"/>
          <w:highlight w:val="none"/>
        </w:rPr>
        <w:t>万元，支出决算为</w:t>
      </w:r>
      <w:r>
        <w:rPr>
          <w:rFonts w:hint="eastAsia" w:ascii="Times New Roman" w:hAnsi="Times New Roman" w:eastAsia="仿宋_GB2312"/>
          <w:color w:val="auto"/>
          <w:sz w:val="32"/>
          <w:szCs w:val="32"/>
          <w:highlight w:val="none"/>
          <w:lang w:val="en-US" w:eastAsia="zh-CN"/>
        </w:rPr>
        <w:t>514.93</w:t>
      </w:r>
      <w:r>
        <w:rPr>
          <w:rFonts w:hint="eastAsia" w:ascii="Times New Roman" w:hAnsi="Times New Roman" w:eastAsia="仿宋_GB2312"/>
          <w:color w:val="auto"/>
          <w:sz w:val="32"/>
          <w:szCs w:val="32"/>
          <w:highlight w:val="none"/>
        </w:rPr>
        <w:t>万元，完成年初预算的</w:t>
      </w:r>
      <w:r>
        <w:rPr>
          <w:rFonts w:hint="eastAsia" w:ascii="Times New Roman" w:hAnsi="Times New Roman" w:eastAsia="仿宋_GB2312"/>
          <w:color w:val="auto"/>
          <w:sz w:val="32"/>
          <w:szCs w:val="32"/>
          <w:highlight w:val="none"/>
          <w:lang w:val="en-US" w:eastAsia="zh-CN"/>
        </w:rPr>
        <w:t>117.05</w:t>
      </w:r>
      <w:r>
        <w:rPr>
          <w:rFonts w:hint="eastAsia" w:ascii="Times New Roman" w:hAnsi="Times New Roman" w:eastAsia="仿宋_GB2312"/>
          <w:color w:val="auto"/>
          <w:sz w:val="32"/>
          <w:szCs w:val="32"/>
          <w:highlight w:val="none"/>
        </w:rPr>
        <w:t>%，决算数</w:t>
      </w:r>
      <w:r>
        <w:rPr>
          <w:rFonts w:hint="eastAsia" w:ascii="Times New Roman" w:hAnsi="Times New Roman" w:eastAsia="仿宋_GB2312"/>
          <w:color w:val="auto"/>
          <w:sz w:val="32"/>
          <w:szCs w:val="32"/>
          <w:highlight w:val="none"/>
          <w:lang w:val="en-US" w:eastAsia="zh-CN"/>
        </w:rPr>
        <w:t>大</w:t>
      </w:r>
      <w:r>
        <w:rPr>
          <w:rFonts w:hint="eastAsia" w:ascii="Times New Roman" w:hAnsi="Times New Roman" w:eastAsia="仿宋_GB2312"/>
          <w:color w:val="auto"/>
          <w:sz w:val="32"/>
          <w:szCs w:val="32"/>
          <w:highlight w:val="none"/>
        </w:rPr>
        <w:t>于年初预算数的主要原因是：</w:t>
      </w:r>
      <w:r>
        <w:rPr>
          <w:rFonts w:hint="eastAsia" w:ascii="Times New Roman" w:hAnsi="Times New Roman" w:eastAsia="仿宋_GB2312"/>
          <w:color w:val="auto"/>
          <w:sz w:val="32"/>
          <w:szCs w:val="32"/>
          <w:highlight w:val="none"/>
          <w:lang w:val="en-US" w:eastAsia="zh-CN"/>
        </w:rPr>
        <w:t>根据文件要求，全部职工进行了工资调增及预发绩效</w:t>
      </w:r>
      <w:r>
        <w:rPr>
          <w:rFonts w:hint="eastAsia" w:ascii="Times New Roman" w:hAnsi="Times New Roman" w:eastAsia="仿宋_GB2312"/>
          <w:color w:val="auto"/>
          <w:sz w:val="32"/>
          <w:szCs w:val="32"/>
          <w:highlight w:val="none"/>
        </w:rPr>
        <w:t>。</w:t>
      </w:r>
    </w:p>
    <w:p w14:paraId="01C4EFE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5</w:t>
      </w:r>
      <w:r>
        <w:rPr>
          <w:rFonts w:hint="eastAsia" w:ascii="Times New Roman" w:hAnsi="Times New Roman" w:eastAsia="仿宋_GB2312"/>
          <w:color w:val="auto"/>
          <w:sz w:val="32"/>
          <w:szCs w:val="32"/>
          <w:highlight w:val="none"/>
        </w:rPr>
        <w:t>、社会保障和就业支出（类）退役军人管理事务（款）拥军优属（项）。</w:t>
      </w:r>
    </w:p>
    <w:p w14:paraId="1A879EC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年初预算为</w:t>
      </w:r>
      <w:r>
        <w:rPr>
          <w:rFonts w:hint="eastAsia" w:ascii="Times New Roman" w:hAnsi="Times New Roman" w:eastAsia="仿宋_GB2312"/>
          <w:color w:val="auto"/>
          <w:sz w:val="32"/>
          <w:szCs w:val="32"/>
          <w:highlight w:val="none"/>
          <w:lang w:val="en-US" w:eastAsia="zh-CN"/>
        </w:rPr>
        <w:t>335</w:t>
      </w:r>
      <w:r>
        <w:rPr>
          <w:rFonts w:hint="eastAsia" w:ascii="Times New Roman" w:hAnsi="Times New Roman" w:eastAsia="仿宋_GB2312"/>
          <w:color w:val="auto"/>
          <w:sz w:val="32"/>
          <w:szCs w:val="32"/>
          <w:highlight w:val="none"/>
        </w:rPr>
        <w:t>万元，支出决算为</w:t>
      </w:r>
      <w:r>
        <w:rPr>
          <w:rFonts w:hint="eastAsia" w:ascii="Times New Roman" w:hAnsi="Times New Roman" w:eastAsia="仿宋_GB2312"/>
          <w:color w:val="auto"/>
          <w:sz w:val="32"/>
          <w:szCs w:val="32"/>
          <w:highlight w:val="none"/>
          <w:lang w:val="en-US" w:eastAsia="zh-CN"/>
        </w:rPr>
        <w:t>228.90</w:t>
      </w:r>
      <w:r>
        <w:rPr>
          <w:rFonts w:hint="eastAsia" w:ascii="Times New Roman" w:hAnsi="Times New Roman" w:eastAsia="仿宋_GB2312"/>
          <w:color w:val="auto"/>
          <w:sz w:val="32"/>
          <w:szCs w:val="32"/>
          <w:highlight w:val="none"/>
        </w:rPr>
        <w:t>万元，完成年初预算的</w:t>
      </w:r>
      <w:r>
        <w:rPr>
          <w:rFonts w:hint="eastAsia" w:ascii="Times New Roman" w:hAnsi="Times New Roman" w:eastAsia="仿宋_GB2312"/>
          <w:color w:val="auto"/>
          <w:sz w:val="32"/>
          <w:szCs w:val="32"/>
          <w:highlight w:val="none"/>
          <w:lang w:val="en-US" w:eastAsia="zh-CN"/>
        </w:rPr>
        <w:t>68.33</w:t>
      </w:r>
      <w:r>
        <w:rPr>
          <w:rFonts w:hint="eastAsia" w:ascii="Times New Roman" w:hAnsi="Times New Roman" w:eastAsia="仿宋_GB2312"/>
          <w:color w:val="auto"/>
          <w:sz w:val="32"/>
          <w:szCs w:val="32"/>
          <w:highlight w:val="none"/>
        </w:rPr>
        <w:t>%，决算数小于年初预算数的主要原因是：基本完成当年双拥“两节”慰问及驻怀部队随军家属生活补贴工作</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olor w:val="auto"/>
          <w:sz w:val="32"/>
          <w:szCs w:val="32"/>
          <w:highlight w:val="none"/>
          <w:lang w:val="en-US" w:eastAsia="zh-CN"/>
        </w:rPr>
        <w:t>部分金额因结算资料不全次年支付</w:t>
      </w:r>
      <w:r>
        <w:rPr>
          <w:rFonts w:hint="eastAsia" w:ascii="Times New Roman" w:hAnsi="Times New Roman" w:eastAsia="仿宋_GB2312"/>
          <w:color w:val="auto"/>
          <w:sz w:val="32"/>
          <w:szCs w:val="32"/>
          <w:highlight w:val="none"/>
        </w:rPr>
        <w:t>。</w:t>
      </w:r>
    </w:p>
    <w:p w14:paraId="2BFA09D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6</w:t>
      </w:r>
      <w:r>
        <w:rPr>
          <w:rFonts w:hint="eastAsia" w:ascii="Times New Roman" w:hAnsi="Times New Roman" w:eastAsia="仿宋_GB2312"/>
          <w:color w:val="auto"/>
          <w:sz w:val="32"/>
          <w:szCs w:val="32"/>
          <w:highlight w:val="none"/>
        </w:rPr>
        <w:t>、社会保障和就业支出（类）退役军人管理事务（款）其他退役军人事务管理支出（项）。</w:t>
      </w:r>
    </w:p>
    <w:p w14:paraId="1738FBA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yellow"/>
        </w:rPr>
      </w:pPr>
      <w:r>
        <w:rPr>
          <w:rFonts w:hint="eastAsia" w:ascii="Times New Roman" w:hAnsi="Times New Roman" w:eastAsia="仿宋_GB2312"/>
          <w:color w:val="auto"/>
          <w:sz w:val="32"/>
          <w:szCs w:val="32"/>
          <w:highlight w:val="none"/>
        </w:rPr>
        <w:t>年初预算为</w:t>
      </w:r>
      <w:r>
        <w:rPr>
          <w:rFonts w:hint="eastAsia" w:ascii="Times New Roman" w:hAnsi="Times New Roman" w:eastAsia="仿宋_GB2312"/>
          <w:color w:val="auto"/>
          <w:sz w:val="32"/>
          <w:szCs w:val="32"/>
          <w:highlight w:val="none"/>
          <w:lang w:val="en-US" w:eastAsia="zh-CN"/>
        </w:rPr>
        <w:t>214.4</w:t>
      </w:r>
      <w:r>
        <w:rPr>
          <w:rFonts w:hint="eastAsia" w:ascii="Times New Roman" w:hAnsi="Times New Roman" w:eastAsia="仿宋_GB2312"/>
          <w:color w:val="auto"/>
          <w:sz w:val="32"/>
          <w:szCs w:val="32"/>
          <w:highlight w:val="none"/>
        </w:rPr>
        <w:t>万元，支出决算为</w:t>
      </w:r>
      <w:r>
        <w:rPr>
          <w:rFonts w:hint="eastAsia" w:ascii="Times New Roman" w:hAnsi="Times New Roman" w:eastAsia="仿宋_GB2312"/>
          <w:color w:val="auto"/>
          <w:sz w:val="32"/>
          <w:szCs w:val="32"/>
          <w:highlight w:val="none"/>
          <w:lang w:val="en-US" w:eastAsia="zh-CN"/>
        </w:rPr>
        <w:t>132.99</w:t>
      </w:r>
      <w:r>
        <w:rPr>
          <w:rFonts w:hint="eastAsia" w:ascii="Times New Roman" w:hAnsi="Times New Roman" w:eastAsia="仿宋_GB2312"/>
          <w:color w:val="auto"/>
          <w:sz w:val="32"/>
          <w:szCs w:val="32"/>
          <w:highlight w:val="none"/>
        </w:rPr>
        <w:t>万元，完成年初预算的</w:t>
      </w:r>
      <w:r>
        <w:rPr>
          <w:rFonts w:hint="eastAsia" w:ascii="Times New Roman" w:hAnsi="Times New Roman" w:eastAsia="仿宋_GB2312"/>
          <w:color w:val="auto"/>
          <w:sz w:val="32"/>
          <w:szCs w:val="32"/>
          <w:highlight w:val="none"/>
          <w:lang w:val="en-US" w:eastAsia="zh-CN"/>
        </w:rPr>
        <w:t>62.03</w:t>
      </w:r>
      <w:r>
        <w:rPr>
          <w:rFonts w:hint="eastAsia" w:ascii="Times New Roman" w:hAnsi="Times New Roman" w:eastAsia="仿宋_GB2312"/>
          <w:color w:val="auto"/>
          <w:sz w:val="32"/>
          <w:szCs w:val="32"/>
          <w:highlight w:val="none"/>
        </w:rPr>
        <w:t>%，决算数</w:t>
      </w:r>
      <w:r>
        <w:rPr>
          <w:rFonts w:hint="eastAsia" w:ascii="Times New Roman" w:hAnsi="Times New Roman" w:eastAsia="仿宋_GB2312"/>
          <w:color w:val="auto"/>
          <w:sz w:val="32"/>
          <w:szCs w:val="32"/>
          <w:highlight w:val="none"/>
          <w:lang w:val="en-US" w:eastAsia="zh-CN"/>
        </w:rPr>
        <w:t>小</w:t>
      </w:r>
      <w:r>
        <w:rPr>
          <w:rFonts w:hint="eastAsia" w:ascii="Times New Roman" w:hAnsi="Times New Roman" w:eastAsia="仿宋_GB2312"/>
          <w:color w:val="auto"/>
          <w:sz w:val="32"/>
          <w:szCs w:val="32"/>
          <w:highlight w:val="none"/>
        </w:rPr>
        <w:t>于年初预算数的主要原因是：</w:t>
      </w:r>
      <w:r>
        <w:rPr>
          <w:rFonts w:hint="eastAsia" w:ascii="Times New Roman" w:hAnsi="Times New Roman" w:eastAsia="仿宋_GB2312"/>
          <w:color w:val="auto"/>
          <w:sz w:val="32"/>
          <w:szCs w:val="32"/>
          <w:highlight w:val="none"/>
          <w:lang w:val="en-US" w:eastAsia="zh-CN"/>
        </w:rPr>
        <w:t>不超预算正常退役军人事务工作运行</w:t>
      </w:r>
      <w:r>
        <w:rPr>
          <w:rFonts w:hint="eastAsia" w:ascii="Times New Roman" w:hAnsi="Times New Roman" w:eastAsia="仿宋_GB2312"/>
          <w:color w:val="auto"/>
          <w:sz w:val="32"/>
          <w:szCs w:val="32"/>
          <w:highlight w:val="none"/>
        </w:rPr>
        <w:t>。</w:t>
      </w:r>
    </w:p>
    <w:p w14:paraId="46D5046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7</w:t>
      </w:r>
      <w:r>
        <w:rPr>
          <w:rFonts w:hint="eastAsia" w:ascii="Times New Roman" w:hAnsi="Times New Roman" w:eastAsia="仿宋_GB2312"/>
          <w:color w:val="auto"/>
          <w:sz w:val="32"/>
          <w:szCs w:val="32"/>
          <w:highlight w:val="none"/>
        </w:rPr>
        <w:t>、社会保障和就业支出（类）退役安置（款）</w:t>
      </w:r>
      <w:r>
        <w:rPr>
          <w:rFonts w:hint="eastAsia" w:ascii="Times New Roman" w:hAnsi="Times New Roman" w:eastAsia="仿宋_GB2312"/>
          <w:color w:val="auto"/>
          <w:sz w:val="32"/>
          <w:szCs w:val="32"/>
          <w:highlight w:val="none"/>
          <w:lang w:val="en-US" w:eastAsia="zh-CN"/>
        </w:rPr>
        <w:t>涉密（项）</w:t>
      </w:r>
      <w:r>
        <w:rPr>
          <w:rFonts w:hint="eastAsia" w:ascii="Times New Roman" w:hAnsi="Times New Roman" w:eastAsia="仿宋_GB2312"/>
          <w:color w:val="auto"/>
          <w:sz w:val="32"/>
          <w:szCs w:val="32"/>
          <w:highlight w:val="none"/>
        </w:rPr>
        <w:t>。</w:t>
      </w:r>
    </w:p>
    <w:p w14:paraId="265DCB7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highlight w:val="yellow"/>
          <w:lang w:val="en-US"/>
        </w:rPr>
      </w:pPr>
      <w:r>
        <w:rPr>
          <w:rFonts w:hint="eastAsia" w:ascii="Times New Roman" w:hAnsi="Times New Roman" w:eastAsia="仿宋_GB2312"/>
          <w:color w:val="auto"/>
          <w:sz w:val="32"/>
          <w:szCs w:val="32"/>
          <w:highlight w:val="none"/>
        </w:rPr>
        <w:t>年初预算为</w:t>
      </w:r>
      <w:r>
        <w:rPr>
          <w:rFonts w:hint="eastAsia" w:ascii="Times New Roman" w:hAnsi="Times New Roman" w:eastAsia="仿宋_GB2312"/>
          <w:color w:val="auto"/>
          <w:sz w:val="32"/>
          <w:szCs w:val="32"/>
          <w:highlight w:val="none"/>
          <w:lang w:val="en-US" w:eastAsia="zh-CN"/>
        </w:rPr>
        <w:t>498</w:t>
      </w:r>
      <w:r>
        <w:rPr>
          <w:rFonts w:hint="eastAsia" w:ascii="Times New Roman" w:hAnsi="Times New Roman" w:eastAsia="仿宋_GB2312"/>
          <w:color w:val="auto"/>
          <w:sz w:val="32"/>
          <w:szCs w:val="32"/>
          <w:highlight w:val="none"/>
        </w:rPr>
        <w:t>万元，支出决算为</w:t>
      </w:r>
      <w:r>
        <w:rPr>
          <w:rFonts w:hint="eastAsia" w:ascii="Times New Roman" w:hAnsi="Times New Roman" w:eastAsia="仿宋_GB2312"/>
          <w:color w:val="auto"/>
          <w:sz w:val="32"/>
          <w:szCs w:val="32"/>
          <w:highlight w:val="none"/>
          <w:lang w:val="en-US" w:eastAsia="zh-CN"/>
        </w:rPr>
        <w:t>643.32</w:t>
      </w:r>
      <w:r>
        <w:rPr>
          <w:rFonts w:hint="eastAsia" w:ascii="Times New Roman" w:hAnsi="Times New Roman" w:eastAsia="仿宋_GB2312"/>
          <w:color w:val="auto"/>
          <w:sz w:val="32"/>
          <w:szCs w:val="32"/>
          <w:highlight w:val="none"/>
        </w:rPr>
        <w:t>万元，完成年初预算的</w:t>
      </w:r>
      <w:r>
        <w:rPr>
          <w:rFonts w:hint="eastAsia" w:ascii="Times New Roman" w:hAnsi="Times New Roman" w:eastAsia="仿宋_GB2312"/>
          <w:color w:val="auto"/>
          <w:sz w:val="32"/>
          <w:szCs w:val="32"/>
          <w:highlight w:val="none"/>
          <w:lang w:val="en-US" w:eastAsia="zh-CN"/>
        </w:rPr>
        <w:t>129.18</w:t>
      </w:r>
      <w:r>
        <w:rPr>
          <w:rFonts w:hint="eastAsia" w:ascii="Times New Roman" w:hAnsi="Times New Roman" w:eastAsia="仿宋_GB2312"/>
          <w:color w:val="auto"/>
          <w:sz w:val="32"/>
          <w:szCs w:val="32"/>
          <w:highlight w:val="none"/>
        </w:rPr>
        <w:t>%，决算数大于年初预算数的主要原因是：部分资金为中央直达资金，</w:t>
      </w:r>
      <w:r>
        <w:rPr>
          <w:rFonts w:hint="eastAsia" w:ascii="Times New Roman" w:hAnsi="Times New Roman" w:eastAsia="仿宋_GB2312"/>
          <w:color w:val="auto"/>
          <w:sz w:val="32"/>
          <w:szCs w:val="32"/>
          <w:highlight w:val="none"/>
          <w:lang w:val="en-US" w:eastAsia="zh-CN"/>
        </w:rPr>
        <w:t>纳入决算，未在年初市财政预算内</w:t>
      </w:r>
      <w:r>
        <w:rPr>
          <w:rFonts w:hint="eastAsia" w:ascii="Times New Roman" w:hAnsi="Times New Roman" w:eastAsia="仿宋_GB2312"/>
          <w:color w:val="auto"/>
          <w:sz w:val="32"/>
          <w:szCs w:val="32"/>
          <w:highlight w:val="none"/>
        </w:rPr>
        <w:t>。</w:t>
      </w:r>
    </w:p>
    <w:p w14:paraId="342391A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8</w:t>
      </w:r>
      <w:r>
        <w:rPr>
          <w:rFonts w:hint="eastAsia" w:ascii="Times New Roman" w:hAnsi="Times New Roman" w:eastAsia="仿宋_GB2312"/>
          <w:color w:val="auto"/>
          <w:sz w:val="32"/>
          <w:szCs w:val="32"/>
          <w:highlight w:val="none"/>
        </w:rPr>
        <w:t>、卫生健康支出（类）行政事业单位医疗（款）行政单位医疗（项）。</w:t>
      </w:r>
    </w:p>
    <w:p w14:paraId="0918E3A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rPr>
        <w:t>年初预算为</w:t>
      </w:r>
      <w:r>
        <w:rPr>
          <w:rFonts w:hint="eastAsia" w:ascii="Times New Roman" w:hAnsi="Times New Roman" w:eastAsia="仿宋_GB2312"/>
          <w:color w:val="auto"/>
          <w:sz w:val="32"/>
          <w:szCs w:val="32"/>
          <w:highlight w:val="none"/>
          <w:lang w:val="en-US" w:eastAsia="zh-CN"/>
        </w:rPr>
        <w:t>21.27</w:t>
      </w:r>
      <w:r>
        <w:rPr>
          <w:rFonts w:hint="eastAsia" w:ascii="Times New Roman" w:hAnsi="Times New Roman" w:eastAsia="仿宋_GB2312"/>
          <w:color w:val="auto"/>
          <w:sz w:val="32"/>
          <w:szCs w:val="32"/>
          <w:highlight w:val="none"/>
        </w:rPr>
        <w:t>万元，支出决算为</w:t>
      </w:r>
      <w:r>
        <w:rPr>
          <w:rFonts w:hint="eastAsia" w:ascii="Times New Roman" w:hAnsi="Times New Roman" w:eastAsia="仿宋_GB2312"/>
          <w:color w:val="auto"/>
          <w:sz w:val="32"/>
          <w:szCs w:val="32"/>
          <w:highlight w:val="none"/>
          <w:lang w:val="en-US" w:eastAsia="zh-CN"/>
        </w:rPr>
        <w:t>22.14</w:t>
      </w:r>
      <w:r>
        <w:rPr>
          <w:rFonts w:hint="eastAsia" w:ascii="Times New Roman" w:hAnsi="Times New Roman" w:eastAsia="仿宋_GB2312"/>
          <w:color w:val="auto"/>
          <w:sz w:val="32"/>
          <w:szCs w:val="32"/>
          <w:highlight w:val="none"/>
        </w:rPr>
        <w:t>万元，完成年初预算的</w:t>
      </w:r>
      <w:r>
        <w:rPr>
          <w:rFonts w:hint="eastAsia" w:ascii="Times New Roman" w:hAnsi="Times New Roman" w:eastAsia="仿宋_GB2312"/>
          <w:color w:val="auto"/>
          <w:sz w:val="32"/>
          <w:szCs w:val="32"/>
          <w:highlight w:val="none"/>
          <w:lang w:val="en-US" w:eastAsia="zh-CN"/>
        </w:rPr>
        <w:t>104.09</w:t>
      </w:r>
      <w:r>
        <w:rPr>
          <w:rFonts w:hint="eastAsia" w:ascii="Times New Roman" w:hAnsi="Times New Roman" w:eastAsia="仿宋_GB2312"/>
          <w:color w:val="auto"/>
          <w:sz w:val="32"/>
          <w:szCs w:val="32"/>
          <w:highlight w:val="none"/>
        </w:rPr>
        <w:t>%，决算数</w:t>
      </w:r>
      <w:r>
        <w:rPr>
          <w:rFonts w:hint="eastAsia" w:ascii="Times New Roman" w:hAnsi="Times New Roman" w:eastAsia="仿宋_GB2312"/>
          <w:color w:val="auto"/>
          <w:sz w:val="32"/>
          <w:szCs w:val="32"/>
          <w:highlight w:val="none"/>
          <w:lang w:val="en-US" w:eastAsia="zh-CN"/>
        </w:rPr>
        <w:t>大</w:t>
      </w:r>
      <w:r>
        <w:rPr>
          <w:rFonts w:hint="eastAsia" w:ascii="Times New Roman" w:hAnsi="Times New Roman" w:eastAsia="仿宋_GB2312"/>
          <w:color w:val="auto"/>
          <w:sz w:val="32"/>
          <w:szCs w:val="32"/>
          <w:highlight w:val="none"/>
        </w:rPr>
        <w:t>于年初预算数的主要原因是：</w:t>
      </w:r>
      <w:r>
        <w:rPr>
          <w:rFonts w:hint="eastAsia" w:ascii="Times New Roman" w:hAnsi="Times New Roman" w:eastAsia="仿宋_GB2312"/>
          <w:color w:val="auto"/>
          <w:sz w:val="32"/>
          <w:szCs w:val="32"/>
          <w:highlight w:val="none"/>
          <w:lang w:val="en-US" w:eastAsia="zh-CN"/>
        </w:rPr>
        <w:t>工资提标等导致医保提标</w:t>
      </w:r>
      <w:r>
        <w:rPr>
          <w:rFonts w:hint="eastAsia" w:ascii="Times New Roman" w:hAnsi="Times New Roman" w:eastAsia="仿宋_GB2312"/>
          <w:color w:val="auto"/>
          <w:sz w:val="32"/>
          <w:szCs w:val="32"/>
          <w:highlight w:val="none"/>
        </w:rPr>
        <w:t>。</w:t>
      </w:r>
    </w:p>
    <w:p w14:paraId="72FA20E7">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rPr>
      </w:pPr>
      <w:r>
        <w:rPr>
          <w:rFonts w:hint="eastAsia" w:ascii="Times New Roman" w:hAnsi="Times New Roman" w:eastAsia="仿宋_GB2312"/>
          <w:color w:val="auto"/>
          <w:sz w:val="32"/>
          <w:szCs w:val="32"/>
          <w:highlight w:val="none"/>
          <w:lang w:val="en-US" w:eastAsia="zh-CN"/>
        </w:rPr>
        <w:t>9、</w:t>
      </w:r>
      <w:r>
        <w:rPr>
          <w:rFonts w:hint="eastAsia" w:ascii="Times New Roman" w:hAnsi="Times New Roman" w:eastAsia="仿宋_GB2312"/>
          <w:color w:val="auto"/>
          <w:sz w:val="32"/>
          <w:szCs w:val="32"/>
          <w:highlight w:val="none"/>
        </w:rPr>
        <w:t>住房保障支出（类）住房改革支出（款）住房公积金（项）。</w:t>
      </w:r>
    </w:p>
    <w:p w14:paraId="6E74A26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rPr>
      </w:pPr>
      <w:r>
        <w:rPr>
          <w:rFonts w:hint="eastAsia" w:ascii="Times New Roman" w:hAnsi="Times New Roman" w:eastAsia="仿宋_GB2312"/>
          <w:color w:val="auto"/>
          <w:sz w:val="32"/>
          <w:szCs w:val="32"/>
          <w:highlight w:val="none"/>
        </w:rPr>
        <w:t>年初预算为</w:t>
      </w:r>
      <w:r>
        <w:rPr>
          <w:rFonts w:hint="eastAsia" w:ascii="Times New Roman" w:hAnsi="Times New Roman" w:eastAsia="仿宋_GB2312"/>
          <w:color w:val="auto"/>
          <w:sz w:val="32"/>
          <w:szCs w:val="32"/>
          <w:highlight w:val="none"/>
          <w:lang w:val="en-US" w:eastAsia="zh-CN"/>
        </w:rPr>
        <w:t>44.36</w:t>
      </w:r>
      <w:r>
        <w:rPr>
          <w:rFonts w:hint="eastAsia" w:ascii="Times New Roman" w:hAnsi="Times New Roman" w:eastAsia="仿宋_GB2312"/>
          <w:color w:val="auto"/>
          <w:sz w:val="32"/>
          <w:szCs w:val="32"/>
          <w:highlight w:val="none"/>
        </w:rPr>
        <w:t>万元，支出决算为</w:t>
      </w:r>
      <w:r>
        <w:rPr>
          <w:rFonts w:hint="eastAsia" w:ascii="Times New Roman" w:hAnsi="Times New Roman" w:eastAsia="仿宋_GB2312"/>
          <w:color w:val="auto"/>
          <w:sz w:val="32"/>
          <w:szCs w:val="32"/>
          <w:highlight w:val="none"/>
          <w:lang w:val="en-US" w:eastAsia="zh-CN"/>
        </w:rPr>
        <w:t>50.13</w:t>
      </w:r>
      <w:r>
        <w:rPr>
          <w:rFonts w:hint="eastAsia" w:ascii="Times New Roman" w:hAnsi="Times New Roman" w:eastAsia="仿宋_GB2312"/>
          <w:color w:val="auto"/>
          <w:sz w:val="32"/>
          <w:szCs w:val="32"/>
          <w:highlight w:val="none"/>
        </w:rPr>
        <w:t>万元，完成年初预算的</w:t>
      </w:r>
      <w:r>
        <w:rPr>
          <w:rFonts w:hint="eastAsia" w:ascii="Times New Roman" w:hAnsi="Times New Roman" w:eastAsia="仿宋_GB2312"/>
          <w:color w:val="auto"/>
          <w:sz w:val="32"/>
          <w:szCs w:val="32"/>
          <w:highlight w:val="none"/>
          <w:lang w:val="en-US" w:eastAsia="zh-CN"/>
        </w:rPr>
        <w:t>113.01</w:t>
      </w:r>
      <w:r>
        <w:rPr>
          <w:rFonts w:hint="eastAsia" w:ascii="Times New Roman" w:hAnsi="Times New Roman" w:eastAsia="仿宋_GB2312"/>
          <w:color w:val="auto"/>
          <w:sz w:val="32"/>
          <w:szCs w:val="32"/>
          <w:highlight w:val="none"/>
        </w:rPr>
        <w:t>%，决算数大于年初预算数的主要原因</w:t>
      </w:r>
      <w:r>
        <w:rPr>
          <w:rFonts w:hint="eastAsia" w:ascii="Times New Roman" w:hAnsi="Times New Roman" w:eastAsia="仿宋_GB2312"/>
          <w:sz w:val="32"/>
          <w:szCs w:val="32"/>
          <w:highlight w:val="none"/>
        </w:rPr>
        <w:t>是：</w:t>
      </w:r>
      <w:r>
        <w:rPr>
          <w:rFonts w:hint="eastAsia" w:ascii="Times New Roman" w:hAnsi="Times New Roman" w:eastAsia="仿宋_GB2312"/>
          <w:sz w:val="32"/>
          <w:szCs w:val="32"/>
          <w:highlight w:val="none"/>
          <w:lang w:val="en-US" w:eastAsia="zh-CN"/>
        </w:rPr>
        <w:t>根据文件要求，全部职工进行了工资调增及补发，公积金单位部分也进行了配套</w:t>
      </w:r>
      <w:r>
        <w:rPr>
          <w:rFonts w:hint="eastAsia" w:ascii="Times New Roman" w:hAnsi="Times New Roman" w:eastAsia="仿宋_GB2312"/>
          <w:sz w:val="32"/>
          <w:szCs w:val="32"/>
          <w:highlight w:val="none"/>
        </w:rPr>
        <w:t>。</w:t>
      </w:r>
    </w:p>
    <w:p w14:paraId="3DA59BA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248C27D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647.22</w:t>
      </w:r>
      <w:r>
        <w:rPr>
          <w:rFonts w:hint="eastAsia" w:ascii="Times New Roman" w:hAnsi="Times New Roman" w:eastAsia="仿宋_GB2312"/>
          <w:sz w:val="32"/>
          <w:szCs w:val="32"/>
        </w:rPr>
        <w:t>万元，其中：</w:t>
      </w:r>
    </w:p>
    <w:p w14:paraId="7BFDDEB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590.12</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91.18</w:t>
      </w:r>
      <w:r>
        <w:rPr>
          <w:rFonts w:hint="eastAsia" w:ascii="Times New Roman" w:hAnsi="Times New Roman" w:eastAsia="仿宋_GB2312"/>
          <w:sz w:val="32"/>
          <w:szCs w:val="32"/>
        </w:rPr>
        <w:t>%,主要包括基本工资</w:t>
      </w:r>
      <w:r>
        <w:rPr>
          <w:rFonts w:hint="eastAsia" w:ascii="Times New Roman" w:hAnsi="Times New Roman" w:eastAsia="仿宋_GB2312"/>
          <w:sz w:val="32"/>
          <w:szCs w:val="32"/>
          <w:lang w:val="en-US" w:eastAsia="zh-CN"/>
        </w:rPr>
        <w:t>198.46万元</w:t>
      </w:r>
      <w:r>
        <w:rPr>
          <w:rFonts w:hint="eastAsia" w:ascii="Times New Roman" w:hAnsi="Times New Roman" w:eastAsia="仿宋_GB2312"/>
          <w:sz w:val="32"/>
          <w:szCs w:val="32"/>
        </w:rPr>
        <w:t>、津贴补贴</w:t>
      </w:r>
      <w:r>
        <w:rPr>
          <w:rFonts w:hint="eastAsia" w:ascii="Times New Roman" w:hAnsi="Times New Roman" w:eastAsia="仿宋_GB2312"/>
          <w:sz w:val="32"/>
          <w:szCs w:val="32"/>
          <w:lang w:val="en-US" w:eastAsia="zh-CN"/>
        </w:rPr>
        <w:t>101.99万元</w:t>
      </w:r>
      <w:r>
        <w:rPr>
          <w:rFonts w:hint="eastAsia" w:ascii="Times New Roman" w:hAnsi="Times New Roman" w:eastAsia="仿宋_GB2312"/>
          <w:sz w:val="32"/>
          <w:szCs w:val="32"/>
        </w:rPr>
        <w:t>、奖金</w:t>
      </w:r>
      <w:r>
        <w:rPr>
          <w:rFonts w:hint="eastAsia" w:ascii="Times New Roman" w:hAnsi="Times New Roman" w:eastAsia="仿宋_GB2312"/>
          <w:sz w:val="32"/>
          <w:szCs w:val="32"/>
          <w:lang w:val="en-US" w:eastAsia="zh-CN"/>
        </w:rPr>
        <w:t>147.54万元</w:t>
      </w:r>
      <w:r>
        <w:rPr>
          <w:rFonts w:hint="eastAsia" w:ascii="Times New Roman" w:hAnsi="Times New Roman" w:eastAsia="仿宋_GB2312"/>
          <w:sz w:val="32"/>
          <w:szCs w:val="32"/>
        </w:rPr>
        <w:t>、机关事业单位基本养老保险缴费</w:t>
      </w:r>
      <w:r>
        <w:rPr>
          <w:rFonts w:hint="eastAsia" w:ascii="Times New Roman" w:hAnsi="Times New Roman" w:eastAsia="仿宋_GB2312"/>
          <w:sz w:val="32"/>
          <w:szCs w:val="32"/>
          <w:lang w:val="en-US" w:eastAsia="zh-CN"/>
        </w:rPr>
        <w:t>44.75万元、 职工基本医疗保险缴费24.26万元、住房公积金50.13万元、其他社会保障缴费21.20万元</w:t>
      </w:r>
      <w:r>
        <w:rPr>
          <w:rFonts w:hint="eastAsia" w:ascii="Times New Roman" w:hAnsi="Times New Roman" w:eastAsia="仿宋_GB2312"/>
          <w:sz w:val="32"/>
          <w:szCs w:val="32"/>
          <w:lang w:eastAsia="zh-CN"/>
        </w:rPr>
        <w:t>。</w:t>
      </w:r>
    </w:p>
    <w:p w14:paraId="0E31344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57.11</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8.82%</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val="en-US" w:eastAsia="zh-CN"/>
        </w:rPr>
        <w:t>3.67万元</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差旅费1.43万元、维修（护）费0.23万元、培训费0.02万元、公务接待费0.24万元、工会经费15.10万元、福利费15.71万元、公务用车运行维护费4.07万元、其他交通费用12.83万元、其他商品和服务支出3.81万元</w:t>
      </w:r>
      <w:r>
        <w:rPr>
          <w:rFonts w:hint="eastAsia" w:ascii="Times New Roman" w:hAnsi="Times New Roman" w:eastAsia="仿宋_GB2312"/>
          <w:sz w:val="32"/>
          <w:szCs w:val="32"/>
        </w:rPr>
        <w:t>。</w:t>
      </w:r>
    </w:p>
    <w:p w14:paraId="53EF40B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14:paraId="449EB59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0B5A5C46">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7.27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4.31</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59.28%</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val="en-US" w:eastAsia="zh-CN"/>
        </w:rPr>
        <w:t>厉行节约，严控三公经费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减少3</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减少32.36</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减少</w:t>
      </w:r>
      <w:r>
        <w:rPr>
          <w:rFonts w:hint="eastAsia" w:ascii="Times New Roman" w:hAnsi="Times New Roman" w:eastAsia="仿宋_GB2312"/>
          <w:sz w:val="32"/>
          <w:szCs w:val="32"/>
        </w:rPr>
        <w:t>的主要原因是</w:t>
      </w:r>
      <w:r>
        <w:rPr>
          <w:rFonts w:hint="eastAsia" w:ascii="Times New Roman" w:hAnsi="Times New Roman" w:eastAsia="仿宋_GB2312"/>
          <w:sz w:val="32"/>
          <w:szCs w:val="32"/>
          <w:lang w:val="en-US" w:eastAsia="zh-CN"/>
        </w:rPr>
        <w:t>调拨减少一台公车</w:t>
      </w:r>
      <w:r>
        <w:rPr>
          <w:rFonts w:hint="eastAsia" w:ascii="Times New Roman" w:hAnsi="Times New Roman" w:eastAsia="仿宋_GB2312"/>
          <w:sz w:val="32"/>
          <w:szCs w:val="32"/>
        </w:rPr>
        <w:t>。其中：</w:t>
      </w:r>
    </w:p>
    <w:p w14:paraId="4E3BAD04">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60EB7EF0">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1.27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0.24</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18.90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w:t>
      </w:r>
      <w:r>
        <w:rPr>
          <w:rFonts w:hint="eastAsia" w:ascii="Times New Roman" w:hAnsi="Times New Roman" w:eastAsia="仿宋_GB2312"/>
          <w:sz w:val="32"/>
          <w:szCs w:val="32"/>
        </w:rPr>
        <w:t>于预算数的主要原因是</w:t>
      </w:r>
      <w:r>
        <w:rPr>
          <w:rFonts w:hint="eastAsia" w:ascii="Times New Roman" w:hAnsi="Times New Roman" w:eastAsia="仿宋_GB2312"/>
          <w:sz w:val="32"/>
          <w:szCs w:val="32"/>
          <w:lang w:val="en-US" w:eastAsia="zh-CN"/>
        </w:rPr>
        <w:t>厉行节约，严控三公经费</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1.03</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81.10</w:t>
      </w:r>
      <w:r>
        <w:rPr>
          <w:rFonts w:hint="eastAsia" w:ascii="Times New Roman" w:hAnsi="Times New Roman" w:eastAsia="仿宋_GB2312"/>
          <w:sz w:val="32"/>
          <w:szCs w:val="32"/>
        </w:rPr>
        <w:t>%,减少的主要原因是</w:t>
      </w:r>
      <w:r>
        <w:rPr>
          <w:rFonts w:hint="eastAsia" w:ascii="Times New Roman" w:hAnsi="Times New Roman" w:eastAsia="仿宋_GB2312"/>
          <w:sz w:val="32"/>
          <w:szCs w:val="32"/>
          <w:lang w:val="en-US" w:eastAsia="zh-CN"/>
        </w:rPr>
        <w:t>厉行节约，严控三公经费</w:t>
      </w:r>
      <w:r>
        <w:rPr>
          <w:rFonts w:hint="eastAsia" w:ascii="Times New Roman" w:hAnsi="Times New Roman" w:eastAsia="仿宋_GB2312"/>
          <w:sz w:val="32"/>
          <w:szCs w:val="32"/>
        </w:rPr>
        <w:t>。</w:t>
      </w:r>
    </w:p>
    <w:p w14:paraId="25EA583B">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05D2316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4.07</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67.83%</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val="en-US" w:eastAsia="zh-CN"/>
        </w:rPr>
        <w:t>厉行节约，严控三公经费</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减少1.97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减少32.62%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减少</w:t>
      </w:r>
      <w:r>
        <w:rPr>
          <w:rFonts w:hint="eastAsia" w:ascii="Times New Roman" w:hAnsi="Times New Roman" w:eastAsia="仿宋_GB2312"/>
          <w:sz w:val="32"/>
          <w:szCs w:val="32"/>
        </w:rPr>
        <w:t>的主要原因是</w:t>
      </w:r>
      <w:r>
        <w:rPr>
          <w:rFonts w:hint="eastAsia" w:ascii="Times New Roman" w:hAnsi="Times New Roman" w:eastAsia="仿宋_GB2312"/>
          <w:sz w:val="32"/>
          <w:szCs w:val="32"/>
          <w:lang w:val="en-US" w:eastAsia="zh-CN"/>
        </w:rPr>
        <w:t>调拨减少1台公车</w:t>
      </w:r>
      <w:r>
        <w:rPr>
          <w:rFonts w:hint="eastAsia" w:ascii="Times New Roman" w:hAnsi="Times New Roman" w:eastAsia="仿宋_GB2312"/>
          <w:sz w:val="32"/>
          <w:szCs w:val="32"/>
        </w:rPr>
        <w:t>。</w:t>
      </w:r>
    </w:p>
    <w:p w14:paraId="1FA1271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6C21E07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0.24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5.57</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4.07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94.43</w:t>
      </w:r>
      <w:r>
        <w:rPr>
          <w:rFonts w:hint="eastAsia" w:ascii="Times New Roman" w:hAnsi="Times New Roman" w:eastAsia="仿宋_GB2312"/>
          <w:sz w:val="32"/>
          <w:szCs w:val="32"/>
        </w:rPr>
        <w:t>%。其中：</w:t>
      </w:r>
    </w:p>
    <w:p w14:paraId="511E8EF2">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14:paraId="61078F88">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0.24</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30</w:t>
      </w:r>
      <w:r>
        <w:rPr>
          <w:rFonts w:hint="eastAsia" w:ascii="Times New Roman" w:hAnsi="Times New Roman" w:eastAsia="仿宋_GB2312"/>
          <w:sz w:val="32"/>
          <w:szCs w:val="32"/>
        </w:rPr>
        <w:t>人次，主要是</w:t>
      </w:r>
      <w:r>
        <w:rPr>
          <w:rFonts w:hint="eastAsia" w:ascii="Times New Roman" w:hAnsi="Times New Roman" w:eastAsia="仿宋_GB2312"/>
          <w:sz w:val="32"/>
          <w:szCs w:val="32"/>
          <w:lang w:eastAsia="zh-CN"/>
        </w:rPr>
        <w:t>退役军人事务考察、学习、交流</w:t>
      </w:r>
      <w:r>
        <w:rPr>
          <w:rFonts w:hint="eastAsia" w:ascii="Times New Roman" w:hAnsi="Times New Roman" w:eastAsia="仿宋_GB2312"/>
          <w:sz w:val="32"/>
          <w:szCs w:val="32"/>
        </w:rPr>
        <w:t>发生的接待支出。</w:t>
      </w:r>
    </w:p>
    <w:p w14:paraId="7CFFA2D2">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4.07</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4.07</w:t>
      </w:r>
      <w:r>
        <w:rPr>
          <w:rFonts w:hint="eastAsia" w:ascii="Times New Roman" w:hAnsi="Times New Roman" w:eastAsia="仿宋_GB2312"/>
          <w:sz w:val="32"/>
          <w:szCs w:val="32"/>
        </w:rPr>
        <w:t>万元，主要是</w:t>
      </w:r>
      <w:r>
        <w:rPr>
          <w:rFonts w:hint="eastAsia" w:ascii="Times New Roman" w:hAnsi="Times New Roman" w:eastAsia="仿宋_GB2312"/>
          <w:sz w:val="32"/>
          <w:szCs w:val="32"/>
          <w:lang w:val="en-US" w:eastAsia="zh-CN"/>
        </w:rPr>
        <w:t>油费、保险费、</w:t>
      </w:r>
      <w:r>
        <w:rPr>
          <w:rFonts w:hint="eastAsia" w:ascii="Times New Roman" w:hAnsi="Times New Roman" w:eastAsia="仿宋_GB2312"/>
          <w:sz w:val="32"/>
          <w:szCs w:val="32"/>
          <w:lang w:eastAsia="zh-CN"/>
        </w:rPr>
        <w:t>过路费</w:t>
      </w:r>
      <w:r>
        <w:rPr>
          <w:rFonts w:hint="eastAsia" w:ascii="Times New Roman" w:hAnsi="Times New Roman" w:eastAsia="仿宋_GB2312"/>
          <w:sz w:val="32"/>
          <w:szCs w:val="32"/>
          <w:lang w:val="en-US" w:eastAsia="zh-CN"/>
        </w:rPr>
        <w:t>等支出</w:t>
      </w:r>
      <w:r>
        <w:rPr>
          <w:rFonts w:hint="eastAsia" w:ascii="Times New Roman" w:hAnsi="Times New Roman" w:eastAsia="仿宋_GB2312"/>
          <w:sz w:val="32"/>
          <w:szCs w:val="32"/>
        </w:rPr>
        <w:t>，截止202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辆。</w:t>
      </w:r>
    </w:p>
    <w:p w14:paraId="0E8BB21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39D632EB">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年度本单位无政府性基金收支。</w:t>
      </w:r>
    </w:p>
    <w:p w14:paraId="641E89CB">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九、国有资本经营预算收入支出决算情况</w:t>
      </w:r>
    </w:p>
    <w:p w14:paraId="21D75464">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hint="eastAsia" w:ascii="Times New Roman" w:hAnsi="Times New Roman" w:eastAsia="仿宋_GB2312"/>
          <w:b/>
          <w:color w:val="auto"/>
          <w:sz w:val="32"/>
          <w:szCs w:val="32"/>
        </w:rPr>
      </w:pPr>
      <w:r>
        <w:rPr>
          <w:rFonts w:hint="eastAsia" w:ascii="Times New Roman" w:hAnsi="Times New Roman" w:eastAsia="仿宋_GB2312"/>
          <w:sz w:val="32"/>
          <w:szCs w:val="32"/>
          <w:lang w:val="en-US" w:eastAsia="zh-CN"/>
        </w:rPr>
        <w:t>2025 年度本单位无国有资本经营预算财政拨款支出。</w:t>
      </w:r>
    </w:p>
    <w:p w14:paraId="27B19E1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十、关于机关运行经费支出说明</w:t>
      </w:r>
    </w:p>
    <w:p w14:paraId="4756CA2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57.11</w:t>
      </w:r>
      <w:r>
        <w:rPr>
          <w:rFonts w:hint="eastAsia" w:ascii="Times New Roman" w:hAnsi="Times New Roman" w:eastAsia="仿宋_GB2312"/>
          <w:sz w:val="32"/>
          <w:szCs w:val="32"/>
        </w:rPr>
        <w:t>万元，比年初预算数减少</w:t>
      </w:r>
      <w:r>
        <w:rPr>
          <w:rFonts w:hint="eastAsia" w:ascii="Times New Roman" w:hAnsi="Times New Roman" w:eastAsia="仿宋_GB2312"/>
          <w:sz w:val="32"/>
          <w:szCs w:val="32"/>
          <w:lang w:val="en-US" w:eastAsia="zh-CN"/>
        </w:rPr>
        <w:t>13.1</w:t>
      </w:r>
      <w:r>
        <w:rPr>
          <w:rFonts w:hint="eastAsia" w:ascii="Times New Roman" w:hAnsi="Times New Roman" w:eastAsia="仿宋_GB2312"/>
          <w:sz w:val="32"/>
          <w:szCs w:val="32"/>
        </w:rPr>
        <w:t>万元，降低</w:t>
      </w:r>
      <w:r>
        <w:rPr>
          <w:rFonts w:hint="eastAsia" w:ascii="Times New Roman" w:hAnsi="Times New Roman" w:eastAsia="仿宋_GB2312"/>
          <w:sz w:val="32"/>
          <w:szCs w:val="32"/>
          <w:lang w:val="en-US" w:eastAsia="zh-CN"/>
        </w:rPr>
        <w:t>18.66</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不能超预算支出公用经费及例行节约、严控支出</w:t>
      </w:r>
      <w:r>
        <w:rPr>
          <w:rFonts w:hint="eastAsia" w:ascii="Times New Roman" w:hAnsi="Times New Roman" w:eastAsia="仿宋_GB2312"/>
          <w:sz w:val="32"/>
          <w:szCs w:val="32"/>
        </w:rPr>
        <w:t>。</w:t>
      </w:r>
    </w:p>
    <w:p w14:paraId="4939975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val="en-US" w:eastAsia="zh-CN"/>
        </w:rPr>
        <w:t>一</w:t>
      </w:r>
      <w:r>
        <w:rPr>
          <w:rFonts w:hint="eastAsia" w:ascii="黑体" w:hAnsi="黑体" w:eastAsia="黑体" w:cs="黑体"/>
          <w:b w:val="0"/>
          <w:bCs/>
          <w:sz w:val="32"/>
          <w:szCs w:val="32"/>
        </w:rPr>
        <w:t>、一般性支出情况说明</w:t>
      </w:r>
    </w:p>
    <w:p w14:paraId="7702077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0FFAF83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val="en-US" w:eastAsia="zh-CN"/>
        </w:rPr>
        <w:t>二</w:t>
      </w:r>
      <w:r>
        <w:rPr>
          <w:rFonts w:hint="eastAsia" w:ascii="黑体" w:hAnsi="黑体" w:eastAsia="黑体" w:cs="黑体"/>
          <w:b w:val="0"/>
          <w:bCs/>
          <w:sz w:val="32"/>
          <w:szCs w:val="32"/>
        </w:rPr>
        <w:t>、关于政府采购支出说明</w:t>
      </w:r>
    </w:p>
    <w:p w14:paraId="5CE1B11B">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56.58</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56.58</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56.58</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56.58</w:t>
      </w:r>
      <w:bookmarkStart w:id="0" w:name="_GoBack"/>
      <w:bookmarkEnd w:id="0"/>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w:t>
      </w:r>
    </w:p>
    <w:p w14:paraId="17B21F3E">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val="en-US" w:eastAsia="zh-CN"/>
        </w:rPr>
        <w:t>三</w:t>
      </w:r>
      <w:r>
        <w:rPr>
          <w:rFonts w:hint="eastAsia" w:ascii="黑体" w:hAnsi="黑体" w:eastAsia="黑体" w:cs="黑体"/>
          <w:b w:val="0"/>
          <w:bCs/>
          <w:color w:val="auto"/>
          <w:sz w:val="32"/>
          <w:szCs w:val="32"/>
        </w:rPr>
        <w:t>、关于国有资产占用情况说明</w:t>
      </w:r>
    </w:p>
    <w:p w14:paraId="34733D33">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其他用车</w:t>
      </w: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rPr>
        <w:t>辆，其他用车主要是</w:t>
      </w:r>
      <w:r>
        <w:rPr>
          <w:rFonts w:hint="eastAsia" w:ascii="Times New Roman" w:hAnsi="Times New Roman" w:eastAsia="仿宋_GB2312"/>
          <w:sz w:val="32"/>
          <w:szCs w:val="32"/>
          <w:lang w:eastAsia="zh-CN"/>
        </w:rPr>
        <w:t>退役军人事务工作用车</w:t>
      </w:r>
      <w:r>
        <w:rPr>
          <w:rFonts w:hint="eastAsia" w:ascii="Times New Roman" w:hAnsi="Times New Roman" w:eastAsia="仿宋_GB2312"/>
          <w:color w:val="auto"/>
          <w:sz w:val="32"/>
          <w:szCs w:val="32"/>
        </w:rPr>
        <w:t>；单位价值100万元以上设备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14:paraId="7319F075">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val="en-US" w:eastAsia="zh-CN"/>
        </w:rPr>
        <w:t>四</w:t>
      </w:r>
      <w:r>
        <w:rPr>
          <w:rFonts w:hint="eastAsia" w:ascii="黑体" w:hAnsi="黑体" w:eastAsia="黑体" w:cs="黑体"/>
          <w:b w:val="0"/>
          <w:bCs/>
          <w:color w:val="auto"/>
          <w:sz w:val="32"/>
          <w:szCs w:val="32"/>
        </w:rPr>
        <w:t>、关于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3</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64B0D671">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14:paraId="58DC1ECD">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eastAsia="zh-CN"/>
        </w:rPr>
        <w:t>年本单位加强预算绩效管理工作，实现预算部门绩效管理的全覆盖。通过设定年度绩效目标内容，形成了以绩效为目标、以结果为导向的绩效管理模式。本单位根据要求积极开展了预算部门绩效自评工作，对部门整体支出绩效做出了客观评价并形成了部门整体绩效自评报告，并予以公开，详见附件。</w:t>
      </w:r>
    </w:p>
    <w:p w14:paraId="1D064F06">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14:paraId="615406CC">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见附件。</w:t>
      </w:r>
    </w:p>
    <w:p w14:paraId="648E43F6">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14:paraId="58912A4F">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见附件。</w:t>
      </w:r>
    </w:p>
    <w:p w14:paraId="47C67FE6">
      <w:pPr>
        <w:pStyle w:val="13"/>
        <w:jc w:val="both"/>
        <w:rPr>
          <w:sz w:val="72"/>
          <w:szCs w:val="72"/>
        </w:rPr>
      </w:pPr>
    </w:p>
    <w:p w14:paraId="17F2A84C">
      <w:pPr>
        <w:pStyle w:val="13"/>
        <w:jc w:val="center"/>
        <w:rPr>
          <w:sz w:val="72"/>
          <w:szCs w:val="72"/>
        </w:rPr>
      </w:pPr>
    </w:p>
    <w:p w14:paraId="48AD3AAE">
      <w:pPr>
        <w:pStyle w:val="13"/>
        <w:jc w:val="center"/>
        <w:rPr>
          <w:sz w:val="72"/>
          <w:szCs w:val="72"/>
        </w:rPr>
      </w:pPr>
    </w:p>
    <w:p w14:paraId="5BF8DAFC">
      <w:pPr>
        <w:pStyle w:val="13"/>
        <w:jc w:val="both"/>
        <w:rPr>
          <w:rFonts w:hint="eastAsia" w:ascii="方正小标宋_GBK" w:hAnsi="方正小标宋_GBK" w:eastAsia="方正小标宋_GBK" w:cs="方正小标宋_GBK"/>
          <w:sz w:val="72"/>
          <w:szCs w:val="72"/>
        </w:rPr>
      </w:pPr>
    </w:p>
    <w:p w14:paraId="64E98991">
      <w:pPr>
        <w:pStyle w:val="13"/>
        <w:jc w:val="center"/>
        <w:rPr>
          <w:rFonts w:hint="eastAsia" w:ascii="方正小标宋_GBK" w:hAnsi="方正小标宋_GBK" w:eastAsia="方正小标宋_GBK" w:cs="方正小标宋_GBK"/>
          <w:sz w:val="72"/>
          <w:szCs w:val="72"/>
        </w:rPr>
      </w:pPr>
    </w:p>
    <w:p w14:paraId="6DB6E69A">
      <w:pPr>
        <w:pStyle w:val="13"/>
        <w:jc w:val="center"/>
        <w:rPr>
          <w:rFonts w:hint="eastAsia" w:ascii="方正小标宋_GBK" w:hAnsi="方正小标宋_GBK" w:eastAsia="方正小标宋_GBK" w:cs="方正小标宋_GBK"/>
          <w:sz w:val="72"/>
          <w:szCs w:val="72"/>
        </w:rPr>
      </w:pPr>
    </w:p>
    <w:p w14:paraId="6A962AB3">
      <w:pPr>
        <w:pStyle w:val="13"/>
        <w:jc w:val="center"/>
        <w:rPr>
          <w:rFonts w:hint="eastAsia" w:ascii="方正小标宋_GBK" w:hAnsi="方正小标宋_GBK" w:eastAsia="方正小标宋_GBK" w:cs="方正小标宋_GBK"/>
          <w:sz w:val="72"/>
          <w:szCs w:val="72"/>
        </w:rPr>
      </w:pPr>
    </w:p>
    <w:p w14:paraId="19F265D3">
      <w:pPr>
        <w:pStyle w:val="13"/>
        <w:jc w:val="center"/>
        <w:rPr>
          <w:rFonts w:hint="eastAsia" w:ascii="方正小标宋_GBK" w:hAnsi="方正小标宋_GBK" w:eastAsia="方正小标宋_GBK" w:cs="方正小标宋_GBK"/>
          <w:sz w:val="72"/>
          <w:szCs w:val="72"/>
        </w:rPr>
      </w:pPr>
    </w:p>
    <w:p w14:paraId="714988E8">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61C8466A">
      <w:pPr>
        <w:jc w:val="center"/>
        <w:rPr>
          <w:rFonts w:hint="eastAsia" w:ascii="方正小标宋_GBK" w:hAnsi="方正小标宋_GBK" w:eastAsia="方正小标宋_GBK" w:cs="方正小标宋_GBK"/>
          <w:color w:val="000000"/>
          <w:kern w:val="0"/>
          <w:sz w:val="70"/>
          <w:szCs w:val="70"/>
        </w:rPr>
      </w:pPr>
    </w:p>
    <w:p w14:paraId="4BD0F299">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2C4FB2C9">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5BFFD446">
      <w:pPr>
        <w:widowControl/>
        <w:jc w:val="left"/>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1.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w:t>
      </w:r>
      <w:r>
        <w:rPr>
          <w:rFonts w:hint="eastAsia" w:ascii="仿宋" w:hAnsi="仿宋" w:eastAsia="仿宋" w:cs="仿宋"/>
          <w:i w:val="0"/>
          <w:caps w:val="0"/>
          <w:color w:val="000000"/>
          <w:spacing w:val="0"/>
          <w:sz w:val="32"/>
          <w:szCs w:val="32"/>
          <w:lang w:eastAsia="zh-CN"/>
        </w:rPr>
        <w:t>商品和服务</w:t>
      </w:r>
      <w:r>
        <w:rPr>
          <w:rFonts w:hint="eastAsia" w:ascii="仿宋" w:hAnsi="仿宋" w:eastAsia="仿宋" w:cs="仿宋"/>
          <w:i w:val="0"/>
          <w:caps w:val="0"/>
          <w:color w:val="000000"/>
          <w:spacing w:val="0"/>
          <w:sz w:val="32"/>
          <w:szCs w:val="32"/>
        </w:rPr>
        <w:t>支出。</w:t>
      </w:r>
    </w:p>
    <w:p w14:paraId="1FFD478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right="0"/>
        <w:jc w:val="both"/>
        <w:rPr>
          <w:rFonts w:hint="eastAsia" w:ascii="仿宋" w:hAnsi="仿宋" w:eastAsia="仿宋" w:cs="仿宋"/>
          <w:i w:val="0"/>
          <w:caps w:val="0"/>
          <w:color w:val="000000"/>
          <w:spacing w:val="0"/>
          <w:sz w:val="32"/>
          <w:szCs w:val="32"/>
        </w:rPr>
      </w:pPr>
      <w:r>
        <w:rPr>
          <w:rFonts w:hint="eastAsia" w:ascii="仿宋" w:hAnsi="仿宋" w:eastAsia="仿宋" w:cs="仿宋"/>
          <w:i w:val="0"/>
          <w:caps w:val="0"/>
          <w:color w:val="000000"/>
          <w:spacing w:val="0"/>
          <w:sz w:val="32"/>
          <w:szCs w:val="32"/>
        </w:rPr>
        <w:t>2.“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55ED6E46">
      <w:pPr>
        <w:pStyle w:val="13"/>
        <w:jc w:val="center"/>
        <w:rPr>
          <w:sz w:val="72"/>
          <w:szCs w:val="72"/>
        </w:rPr>
      </w:pPr>
    </w:p>
    <w:p w14:paraId="309067A9">
      <w:pPr>
        <w:pStyle w:val="13"/>
        <w:jc w:val="center"/>
        <w:rPr>
          <w:sz w:val="72"/>
          <w:szCs w:val="72"/>
        </w:rPr>
      </w:pPr>
    </w:p>
    <w:p w14:paraId="62F9E1EB">
      <w:pPr>
        <w:pStyle w:val="13"/>
        <w:jc w:val="center"/>
        <w:rPr>
          <w:sz w:val="72"/>
          <w:szCs w:val="72"/>
        </w:rPr>
      </w:pPr>
    </w:p>
    <w:p w14:paraId="0ED2931C">
      <w:pPr>
        <w:pStyle w:val="13"/>
        <w:jc w:val="center"/>
        <w:rPr>
          <w:sz w:val="72"/>
          <w:szCs w:val="72"/>
        </w:rPr>
      </w:pPr>
    </w:p>
    <w:p w14:paraId="5EFE4271">
      <w:pPr>
        <w:pStyle w:val="13"/>
        <w:jc w:val="center"/>
        <w:rPr>
          <w:sz w:val="72"/>
          <w:szCs w:val="72"/>
        </w:rPr>
      </w:pPr>
    </w:p>
    <w:p w14:paraId="364EFB4E">
      <w:pPr>
        <w:pStyle w:val="13"/>
        <w:jc w:val="center"/>
        <w:rPr>
          <w:sz w:val="72"/>
          <w:szCs w:val="72"/>
        </w:rPr>
      </w:pPr>
    </w:p>
    <w:p w14:paraId="45316A8B">
      <w:pPr>
        <w:pStyle w:val="13"/>
        <w:jc w:val="center"/>
        <w:rPr>
          <w:sz w:val="72"/>
          <w:szCs w:val="72"/>
        </w:rPr>
      </w:pPr>
    </w:p>
    <w:p w14:paraId="28AB6E74">
      <w:pPr>
        <w:pStyle w:val="13"/>
        <w:jc w:val="center"/>
        <w:rPr>
          <w:sz w:val="72"/>
          <w:szCs w:val="72"/>
        </w:rPr>
      </w:pPr>
    </w:p>
    <w:p w14:paraId="0D852925">
      <w:pPr>
        <w:rPr>
          <w:sz w:val="72"/>
          <w:szCs w:val="72"/>
        </w:rPr>
      </w:pPr>
      <w:r>
        <w:rPr>
          <w:sz w:val="72"/>
          <w:szCs w:val="72"/>
        </w:rPr>
        <w:br w:type="page"/>
      </w:r>
    </w:p>
    <w:p w14:paraId="6EAA3C1C">
      <w:pPr>
        <w:pStyle w:val="13"/>
        <w:jc w:val="center"/>
        <w:rPr>
          <w:rFonts w:hint="eastAsia" w:ascii="方正小标宋_GBK" w:hAnsi="方正小标宋_GBK" w:eastAsia="方正小标宋_GBK" w:cs="方正小标宋_GBK"/>
          <w:sz w:val="72"/>
          <w:szCs w:val="72"/>
        </w:rPr>
      </w:pPr>
    </w:p>
    <w:p w14:paraId="5FFFB56B">
      <w:pPr>
        <w:pStyle w:val="13"/>
        <w:jc w:val="center"/>
        <w:rPr>
          <w:rFonts w:hint="eastAsia" w:ascii="方正小标宋_GBK" w:hAnsi="方正小标宋_GBK" w:eastAsia="方正小标宋_GBK" w:cs="方正小标宋_GBK"/>
          <w:sz w:val="72"/>
          <w:szCs w:val="72"/>
        </w:rPr>
      </w:pPr>
    </w:p>
    <w:p w14:paraId="467A5AC4">
      <w:pPr>
        <w:pStyle w:val="13"/>
        <w:jc w:val="center"/>
        <w:rPr>
          <w:rFonts w:hint="eastAsia" w:ascii="方正小标宋_GBK" w:hAnsi="方正小标宋_GBK" w:eastAsia="方正小标宋_GBK" w:cs="方正小标宋_GBK"/>
          <w:sz w:val="72"/>
          <w:szCs w:val="72"/>
        </w:rPr>
      </w:pPr>
    </w:p>
    <w:p w14:paraId="04B6893C">
      <w:pPr>
        <w:pStyle w:val="13"/>
        <w:jc w:val="center"/>
        <w:rPr>
          <w:rFonts w:hint="eastAsia" w:ascii="方正小标宋_GBK" w:hAnsi="方正小标宋_GBK" w:eastAsia="方正小标宋_GBK" w:cs="方正小标宋_GBK"/>
          <w:sz w:val="72"/>
          <w:szCs w:val="72"/>
        </w:rPr>
      </w:pPr>
    </w:p>
    <w:p w14:paraId="2F7A2BFF">
      <w:pPr>
        <w:pStyle w:val="13"/>
        <w:jc w:val="center"/>
        <w:rPr>
          <w:rFonts w:hint="eastAsia" w:ascii="方正小标宋_GBK" w:hAnsi="方正小标宋_GBK" w:eastAsia="方正小标宋_GBK" w:cs="方正小标宋_GBK"/>
          <w:sz w:val="72"/>
          <w:szCs w:val="72"/>
        </w:rPr>
      </w:pPr>
    </w:p>
    <w:p w14:paraId="1AB22640">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544A2938">
      <w:pPr>
        <w:pStyle w:val="13"/>
        <w:jc w:val="center"/>
        <w:rPr>
          <w:rFonts w:hint="eastAsia" w:ascii="方正小标宋_GBK" w:hAnsi="方正小标宋_GBK" w:eastAsia="方正小标宋_GBK" w:cs="方正小标宋_GBK"/>
          <w:sz w:val="70"/>
          <w:szCs w:val="70"/>
        </w:rPr>
      </w:pPr>
    </w:p>
    <w:p w14:paraId="617DB95B">
      <w:pPr>
        <w:pStyle w:val="13"/>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5B20169C">
      <w:pPr>
        <w:rPr>
          <w:rFonts w:hint="eastAsia" w:ascii="Times New Roman" w:hAnsi="Times New Roman" w:eastAsia="仿宋_GB2312"/>
          <w:sz w:val="32"/>
          <w:szCs w:val="32"/>
          <w:lang w:val="en-US" w:eastAsia="zh-CN"/>
        </w:rPr>
      </w:pPr>
    </w:p>
    <w:p w14:paraId="4A383D9A">
      <w:pPr>
        <w:pStyle w:val="13"/>
        <w:jc w:val="center"/>
        <w:rPr>
          <w:sz w:val="72"/>
          <w:szCs w:val="72"/>
        </w:rPr>
      </w:pPr>
    </w:p>
    <w:p w14:paraId="2A672355">
      <w:pPr>
        <w:pStyle w:val="13"/>
        <w:jc w:val="center"/>
        <w:rPr>
          <w:sz w:val="72"/>
          <w:szCs w:val="72"/>
        </w:rPr>
      </w:pPr>
    </w:p>
    <w:p w14:paraId="2E324AC0">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CFA1F74-5DD4-40B1-B17D-2DD80449E64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7C5FA30F-F9FD-4FC8-A434-AD1445D4EF50}"/>
  </w:font>
  <w:font w:name="仿宋_GB2312">
    <w:altName w:val="仿宋"/>
    <w:panose1 w:val="02010609030101010101"/>
    <w:charset w:val="86"/>
    <w:family w:val="modern"/>
    <w:pitch w:val="default"/>
    <w:sig w:usb0="00000000" w:usb1="00000000" w:usb2="00000000" w:usb3="00000000" w:csb0="00040000" w:csb1="00000000"/>
    <w:embedRegular r:id="rId3" w:fontKey="{43B2516B-75F5-46F8-B8EB-3420038926C4}"/>
  </w:font>
  <w:font w:name="仿宋">
    <w:panose1 w:val="02010609060101010101"/>
    <w:charset w:val="86"/>
    <w:family w:val="auto"/>
    <w:pitch w:val="default"/>
    <w:sig w:usb0="800002BF" w:usb1="38CF7CFA" w:usb2="00000016" w:usb3="00000000" w:csb0="00040001" w:csb1="00000000"/>
    <w:embedRegular r:id="rId4" w:fontKey="{72C6F896-D645-4E44-A052-7A0CF6547B5C}"/>
  </w:font>
  <w:font w:name="楷体">
    <w:panose1 w:val="02010609060101010101"/>
    <w:charset w:val="86"/>
    <w:family w:val="auto"/>
    <w:pitch w:val="default"/>
    <w:sig w:usb0="800002BF" w:usb1="38CF7CFA" w:usb2="00000016" w:usb3="00000000" w:csb0="00040001" w:csb1="00000000"/>
    <w:embedRegular r:id="rId5" w:fontKey="{E86BA575-0AAD-46EB-9E74-C1E4F38D70B1}"/>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14995A"/>
    <w:multiLevelType w:val="singleLevel"/>
    <w:tmpl w:val="F914995A"/>
    <w:lvl w:ilvl="0" w:tentative="0">
      <w:start w:val="3"/>
      <w:numFmt w:val="decimal"/>
      <w:suff w:val="nothing"/>
      <w:lvlText w:val="%1、"/>
      <w:lvlJc w:val="left"/>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FjYzUzY2ViOGVmODRlNGQyMDNlYzI4ODA5YTI5NWE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EB17F5A"/>
    <w:rsid w:val="1D97DEFF"/>
    <w:rsid w:val="1DFF72E5"/>
    <w:rsid w:val="1EFC6F07"/>
    <w:rsid w:val="2FDF85B8"/>
    <w:rsid w:val="2FFFEE04"/>
    <w:rsid w:val="34DF85B0"/>
    <w:rsid w:val="3B8F36BC"/>
    <w:rsid w:val="3C470CF2"/>
    <w:rsid w:val="491FF225"/>
    <w:rsid w:val="4FE538A4"/>
    <w:rsid w:val="4FFD214C"/>
    <w:rsid w:val="54CC1B87"/>
    <w:rsid w:val="55CF3B3D"/>
    <w:rsid w:val="5777D4F5"/>
    <w:rsid w:val="59DD8326"/>
    <w:rsid w:val="5DEF592A"/>
    <w:rsid w:val="5F8B10DD"/>
    <w:rsid w:val="5FC6BB1E"/>
    <w:rsid w:val="5FF720F1"/>
    <w:rsid w:val="67FF5C0B"/>
    <w:rsid w:val="6A712E59"/>
    <w:rsid w:val="6AB941B2"/>
    <w:rsid w:val="6EFC0924"/>
    <w:rsid w:val="6FB74722"/>
    <w:rsid w:val="6FEF8B7E"/>
    <w:rsid w:val="71A6591B"/>
    <w:rsid w:val="737D59BA"/>
    <w:rsid w:val="77C37683"/>
    <w:rsid w:val="79FF515B"/>
    <w:rsid w:val="7A740E07"/>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semiHidden/>
    <w:unhideWhenUsed/>
    <w:qFormat/>
    <w:uiPriority w:val="99"/>
    <w:pPr>
      <w:widowControl w:val="0"/>
      <w:spacing w:before="0" w:beforeAutospacing="1" w:after="0" w:afterAutospacing="1"/>
      <w:ind w:left="0" w:right="0"/>
      <w:jc w:val="left"/>
    </w:pPr>
    <w:rPr>
      <w:rFonts w:asciiTheme="minorHAnsi" w:hAnsiTheme="minorHAnsi" w:eastAsiaTheme="minorEastAsia" w:cstheme="minorBidi"/>
      <w:kern w:val="0"/>
      <w:sz w:val="24"/>
      <w:szCs w:val="22"/>
      <w:lang w:val="en-US" w:eastAsia="zh-CN" w:bidi="ar"/>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NormalIndent"/>
    <w:qFormat/>
    <w:uiPriority w:val="0"/>
    <w:pPr>
      <w:widowControl w:val="0"/>
      <w:ind w:firstLine="420"/>
      <w:jc w:val="both"/>
      <w:textAlignment w:val="baseline"/>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17</Pages>
  <Words>4191</Words>
  <Characters>4719</Characters>
  <Lines>63</Lines>
  <Paragraphs>18</Paragraphs>
  <TotalTime>16</TotalTime>
  <ScaleCrop>false</ScaleCrop>
  <LinksUpToDate>false</LinksUpToDate>
  <CharactersWithSpaces>4735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WPS_1608525663</cp:lastModifiedBy>
  <cp:lastPrinted>2024-08-08T10:20:00Z</cp:lastPrinted>
  <dcterms:modified xsi:type="dcterms:W3CDTF">2026-09-22T09:23:42Z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905DFB265E864797A84CF71097A864C1_12</vt:lpwstr>
  </property>
  <property fmtid="{D5CDD505-2E9C-101B-9397-08002B2CF9AE}" pid="4" name="KSOTemplateDocerSaveRecord">
    <vt:lpwstr>eyJoZGlkIjoiZjFmNmJiN2VlOGIxMzVhNjA3ZjlkNzI3ZjVhZjliMmYiLCJ1c2VySWQiOiIxMTUzNTkxMjgwIn0=</vt:lpwstr>
  </property>
</Properties>
</file>