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center"/>
        <w:rPr>
          <w:rFonts w:hint="eastAsia"/>
          <w:sz w:val="56"/>
          <w:szCs w:val="56"/>
          <w:lang w:val="en-US" w:eastAsia="zh-CN"/>
        </w:rPr>
      </w:pPr>
      <w:r>
        <w:rPr>
          <w:rFonts w:hint="eastAsia"/>
          <w:sz w:val="56"/>
          <w:szCs w:val="56"/>
          <w:lang w:val="en-US" w:eastAsia="zh-CN"/>
        </w:rPr>
        <w:t>.</w:t>
      </w:r>
    </w:p>
    <w:p>
      <w:pPr>
        <w:pStyle w:val="11"/>
        <w:jc w:val="center"/>
        <w:rPr>
          <w:rFonts w:hint="eastAsia"/>
          <w:sz w:val="56"/>
          <w:szCs w:val="56"/>
          <w:lang w:val="en-US" w:eastAsia="zh-CN"/>
        </w:rPr>
      </w:pPr>
    </w:p>
    <w:p>
      <w:pPr>
        <w:pStyle w:val="11"/>
        <w:jc w:val="center"/>
        <w:rPr>
          <w:rFonts w:hint="eastAsia"/>
          <w:sz w:val="56"/>
          <w:szCs w:val="56"/>
          <w:lang w:val="en-US" w:eastAsia="zh-CN"/>
        </w:rPr>
      </w:pPr>
    </w:p>
    <w:p>
      <w:pPr>
        <w:pStyle w:val="11"/>
        <w:jc w:val="center"/>
        <w:rPr>
          <w:sz w:val="56"/>
          <w:szCs w:val="56"/>
        </w:rPr>
      </w:pPr>
    </w:p>
    <w:p>
      <w:pPr>
        <w:pStyle w:val="11"/>
        <w:jc w:val="center"/>
        <w:rPr>
          <w:sz w:val="84"/>
          <w:szCs w:val="84"/>
        </w:rPr>
      </w:pPr>
    </w:p>
    <w:p>
      <w:pPr>
        <w:pStyle w:val="11"/>
        <w:jc w:val="center"/>
        <w:rPr>
          <w:sz w:val="84"/>
          <w:szCs w:val="84"/>
        </w:rPr>
      </w:pPr>
    </w:p>
    <w:p>
      <w:pPr>
        <w:pStyle w:val="11"/>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2</w:t>
      </w:r>
      <w:r>
        <w:rPr>
          <w:rFonts w:hint="eastAsia" w:ascii="方正小标宋_GBK" w:hAnsi="方正小标宋_GBK" w:eastAsia="方正小标宋_GBK" w:cs="方正小标宋_GBK"/>
          <w:sz w:val="84"/>
          <w:szCs w:val="84"/>
        </w:rPr>
        <w:t>年度</w:t>
      </w:r>
    </w:p>
    <w:p>
      <w:pPr>
        <w:pStyle w:val="11"/>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怀化市军队离休退休干部服务管理中心部门决算</w:t>
      </w:r>
    </w:p>
    <w:p>
      <w:pPr>
        <w:pStyle w:val="11"/>
        <w:jc w:val="center"/>
        <w:rPr>
          <w:rFonts w:hint="eastAsia" w:ascii="方正小标宋_GBK" w:hAnsi="方正小标宋_GBK" w:eastAsia="方正小标宋_GBK" w:cs="方正小标宋_GBK"/>
          <w:sz w:val="56"/>
          <w:szCs w:val="56"/>
        </w:rPr>
      </w:pP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32"/>
          <w:szCs w:val="32"/>
        </w:rPr>
      </w:pPr>
    </w:p>
    <w:p>
      <w:pPr>
        <w:pStyle w:val="11"/>
        <w:jc w:val="center"/>
        <w:rPr>
          <w:sz w:val="32"/>
          <w:szCs w:val="32"/>
        </w:rPr>
      </w:pPr>
    </w:p>
    <w:p>
      <w:pPr>
        <w:pStyle w:val="11"/>
        <w:jc w:val="center"/>
        <w:rPr>
          <w:sz w:val="32"/>
          <w:szCs w:val="32"/>
        </w:rPr>
      </w:pPr>
    </w:p>
    <w:p>
      <w:pPr>
        <w:pStyle w:val="11"/>
        <w:jc w:val="center"/>
        <w:rPr>
          <w:sz w:val="32"/>
          <w:szCs w:val="32"/>
        </w:rPr>
      </w:pPr>
    </w:p>
    <w:p>
      <w:pPr>
        <w:pStyle w:val="11"/>
        <w:spacing w:line="500" w:lineRule="exact"/>
        <w:jc w:val="center"/>
        <w:rPr>
          <w:b/>
          <w:sz w:val="36"/>
          <w:szCs w:val="28"/>
        </w:rPr>
      </w:pPr>
      <w:r>
        <w:rPr>
          <w:rFonts w:hint="eastAsia"/>
          <w:b/>
          <w:sz w:val="36"/>
          <w:szCs w:val="28"/>
        </w:rPr>
        <w:t>目录</w:t>
      </w:r>
    </w:p>
    <w:p>
      <w:pPr>
        <w:pStyle w:val="11"/>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hAnsi="黑体" w:cs="黑体"/>
          <w:b w:val="0"/>
          <w:bCs/>
          <w:sz w:val="28"/>
          <w:szCs w:val="28"/>
          <w:lang w:val="en-US" w:eastAsia="zh-CN"/>
        </w:rPr>
        <w:t>怀化市军队离休退休干部服务管理中心单位</w:t>
      </w:r>
      <w:r>
        <w:rPr>
          <w:rFonts w:hint="eastAsia" w:ascii="黑体" w:hAnsi="黑体" w:eastAsia="黑体" w:cs="黑体"/>
          <w:b w:val="0"/>
          <w:bCs/>
          <w:sz w:val="28"/>
          <w:szCs w:val="28"/>
        </w:rPr>
        <w:t>概况</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11"/>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1"/>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七、一般公共预算财政拨款三公经费支出</w:t>
      </w:r>
      <w:bookmarkStart w:id="0" w:name="_GoBack"/>
      <w:bookmarkEnd w:id="0"/>
      <w:r>
        <w:rPr>
          <w:rFonts w:hint="eastAsia" w:ascii="仿宋_GB2312" w:hAnsi="仿宋_GB2312" w:eastAsia="仿宋_GB2312" w:cs="仿宋_GB2312"/>
          <w:color w:val="000000"/>
          <w:kern w:val="0"/>
          <w:sz w:val="28"/>
          <w:szCs w:val="28"/>
        </w:rPr>
        <w:t>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九、国有资本经营预算财政拨款收入支出决算情况</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eastAsia="zh-CN"/>
        </w:rPr>
        <w:t>十</w:t>
      </w:r>
      <w:r>
        <w:rPr>
          <w:rFonts w:hint="eastAsia" w:ascii="仿宋_GB2312" w:hAnsi="仿宋_GB2312" w:eastAsia="仿宋_GB2312" w:cs="仿宋_GB2312"/>
          <w:color w:val="000000"/>
          <w:kern w:val="0"/>
          <w:sz w:val="28"/>
          <w:szCs w:val="28"/>
        </w:rPr>
        <w:t>、关于机关运行经费支出说明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w:t>
      </w:r>
      <w:r>
        <w:rPr>
          <w:rFonts w:hint="eastAsia" w:ascii="仿宋_GB2312" w:hAnsi="仿宋_GB2312" w:eastAsia="仿宋_GB2312" w:cs="仿宋_GB2312"/>
          <w:color w:val="000000"/>
          <w:kern w:val="0"/>
          <w:sz w:val="28"/>
          <w:szCs w:val="28"/>
          <w:lang w:eastAsia="zh-CN"/>
        </w:rPr>
        <w:t>一</w:t>
      </w:r>
      <w:r>
        <w:rPr>
          <w:rFonts w:hint="eastAsia" w:ascii="仿宋_GB2312" w:hAnsi="仿宋_GB2312" w:eastAsia="仿宋_GB2312" w:cs="仿宋_GB2312"/>
          <w:color w:val="000000"/>
          <w:kern w:val="0"/>
          <w:sz w:val="28"/>
          <w:szCs w:val="28"/>
        </w:rPr>
        <w:t>、一般性支出情况说明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w:t>
      </w:r>
      <w:r>
        <w:rPr>
          <w:rFonts w:hint="eastAsia" w:ascii="仿宋_GB2312" w:hAnsi="仿宋_GB2312" w:eastAsia="仿宋_GB2312" w:cs="仿宋_GB2312"/>
          <w:color w:val="000000"/>
          <w:kern w:val="0"/>
          <w:sz w:val="28"/>
          <w:szCs w:val="28"/>
          <w:lang w:eastAsia="zh-CN"/>
        </w:rPr>
        <w:t>二</w:t>
      </w:r>
      <w:r>
        <w:rPr>
          <w:rFonts w:hint="eastAsia" w:ascii="仿宋_GB2312" w:hAnsi="仿宋_GB2312" w:eastAsia="仿宋_GB2312" w:cs="仿宋_GB2312"/>
          <w:color w:val="000000"/>
          <w:kern w:val="0"/>
          <w:sz w:val="28"/>
          <w:szCs w:val="28"/>
        </w:rPr>
        <w:t>、关于政府采购支出说明</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w:t>
      </w:r>
      <w:r>
        <w:rPr>
          <w:rFonts w:hint="eastAsia" w:ascii="仿宋_GB2312" w:hAnsi="仿宋_GB2312" w:eastAsia="仿宋_GB2312" w:cs="仿宋_GB2312"/>
          <w:sz w:val="28"/>
          <w:szCs w:val="28"/>
          <w:lang w:eastAsia="zh-CN"/>
        </w:rPr>
        <w:t>三</w:t>
      </w:r>
      <w:r>
        <w:rPr>
          <w:rFonts w:hint="eastAsia" w:ascii="仿宋_GB2312" w:hAnsi="仿宋_GB2312" w:eastAsia="仿宋_GB2312" w:cs="仿宋_GB2312"/>
          <w:sz w:val="28"/>
          <w:szCs w:val="28"/>
        </w:rPr>
        <w:t>、关于国有资产占用情况说明</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w:t>
      </w:r>
      <w:r>
        <w:rPr>
          <w:rFonts w:hint="eastAsia" w:ascii="仿宋_GB2312" w:hAnsi="仿宋_GB2312" w:eastAsia="仿宋_GB2312" w:cs="仿宋_GB2312"/>
          <w:sz w:val="28"/>
          <w:szCs w:val="28"/>
          <w:lang w:eastAsia="zh-CN"/>
        </w:rPr>
        <w:t>四</w:t>
      </w:r>
      <w:r>
        <w:rPr>
          <w:rFonts w:hint="eastAsia" w:ascii="仿宋_GB2312" w:hAnsi="仿宋_GB2312" w:eastAsia="仿宋_GB2312" w:cs="仿宋_GB2312"/>
          <w:sz w:val="28"/>
          <w:szCs w:val="28"/>
        </w:rPr>
        <w:t>、关于预算绩效情况的说明</w:t>
      </w:r>
    </w:p>
    <w:p>
      <w:pPr>
        <w:pStyle w:val="11"/>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rFonts w:hint="eastAsia" w:ascii="方正小标宋_GBK" w:hAnsi="方正小标宋_GBK" w:eastAsia="方正小标宋_GBK" w:cs="方正小标宋_GBK"/>
          <w:sz w:val="72"/>
          <w:szCs w:val="72"/>
        </w:rPr>
      </w:pPr>
    </w:p>
    <w:p>
      <w:pPr>
        <w:pStyle w:val="11"/>
        <w:jc w:val="center"/>
        <w:rPr>
          <w:rFonts w:hint="eastAsia" w:ascii="方正小标宋_GBK" w:hAnsi="方正小标宋_GBK" w:eastAsia="方正小标宋_GBK" w:cs="方正小标宋_GBK"/>
          <w:sz w:val="84"/>
          <w:szCs w:val="84"/>
        </w:rPr>
      </w:pPr>
    </w:p>
    <w:p>
      <w:pPr>
        <w:pStyle w:val="11"/>
        <w:jc w:val="center"/>
        <w:rPr>
          <w:rFonts w:hint="eastAsia" w:ascii="方正小标宋_GBK" w:hAnsi="方正小标宋_GBK" w:eastAsia="方正小标宋_GBK" w:cs="方正小标宋_GBK"/>
          <w:sz w:val="84"/>
          <w:szCs w:val="84"/>
        </w:rPr>
      </w:pPr>
    </w:p>
    <w:p>
      <w:pPr>
        <w:pStyle w:val="11"/>
        <w:jc w:val="center"/>
        <w:rPr>
          <w:rFonts w:hint="eastAsia" w:ascii="方正小标宋_GBK" w:hAnsi="方正小标宋_GBK" w:eastAsia="方正小标宋_GBK" w:cs="方正小标宋_GBK"/>
          <w:sz w:val="84"/>
          <w:szCs w:val="84"/>
        </w:rPr>
      </w:pPr>
    </w:p>
    <w:p>
      <w:pPr>
        <w:pStyle w:val="11"/>
        <w:jc w:val="center"/>
        <w:rPr>
          <w:rFonts w:hint="eastAsia" w:ascii="方正小标宋_GBK" w:hAnsi="方正小标宋_GBK" w:eastAsia="方正小标宋_GBK" w:cs="方正小标宋_GBK"/>
          <w:sz w:val="84"/>
          <w:szCs w:val="84"/>
        </w:rPr>
      </w:pPr>
    </w:p>
    <w:p>
      <w:pPr>
        <w:pStyle w:val="11"/>
        <w:jc w:val="center"/>
        <w:rPr>
          <w:rFonts w:hint="eastAsia" w:ascii="方正小标宋_GBK" w:hAnsi="方正小标宋_GBK" w:eastAsia="方正小标宋_GBK" w:cs="方正小标宋_GBK"/>
          <w:sz w:val="84"/>
          <w:szCs w:val="84"/>
        </w:rPr>
      </w:pPr>
    </w:p>
    <w:p>
      <w:pPr>
        <w:pStyle w:val="11"/>
        <w:ind w:firstLine="3360" w:firstLineChars="400"/>
        <w:jc w:val="both"/>
        <w:rPr>
          <w:rFonts w:hint="eastAsia" w:ascii="方正小标宋_GBK" w:hAnsi="方正小标宋_GBK" w:eastAsia="方正小标宋_GBK" w:cs="方正小标宋_GBK"/>
          <w:sz w:val="84"/>
          <w:szCs w:val="84"/>
        </w:rPr>
      </w:pPr>
    </w:p>
    <w:p>
      <w:pPr>
        <w:pStyle w:val="11"/>
        <w:ind w:firstLine="3360" w:firstLineChars="400"/>
        <w:jc w:val="both"/>
        <w:rPr>
          <w:rFonts w:hint="eastAsia" w:ascii="方正小标宋_GBK" w:hAnsi="方正小标宋_GBK" w:eastAsia="方正小标宋_GBK" w:cs="方正小标宋_GBK"/>
          <w:sz w:val="84"/>
          <w:szCs w:val="84"/>
        </w:rPr>
      </w:pPr>
    </w:p>
    <w:p>
      <w:pPr>
        <w:pStyle w:val="11"/>
        <w:ind w:firstLine="3360" w:firstLineChars="400"/>
        <w:jc w:val="both"/>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11"/>
        <w:jc w:val="center"/>
        <w:rPr>
          <w:rFonts w:hint="eastAsia" w:ascii="方正小标宋_GBK" w:hAnsi="方正小标宋_GBK" w:eastAsia="方正小标宋_GBK" w:cs="方正小标宋_GBK"/>
          <w:sz w:val="84"/>
          <w:szCs w:val="84"/>
        </w:rPr>
      </w:pPr>
    </w:p>
    <w:p>
      <w:pPr>
        <w:pStyle w:val="11"/>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怀化市军队离休退休干部服务管理中心单位概况</w:t>
      </w:r>
    </w:p>
    <w:p>
      <w:pPr>
        <w:jc w:val="center"/>
        <w:rPr>
          <w:rFonts w:hint="eastAsia" w:ascii="方正小标宋_GBK" w:hAnsi="方正小标宋_GBK" w:eastAsia="方正小标宋_GBK" w:cs="方正小标宋_GBK"/>
          <w:sz w:val="72"/>
          <w:szCs w:val="72"/>
        </w:rPr>
      </w:pPr>
    </w:p>
    <w:p>
      <w:pPr>
        <w:jc w:val="center"/>
        <w:rPr>
          <w:rFonts w:hint="eastAsia" w:ascii="方正小标宋_GBK" w:hAnsi="方正小标宋_GBK" w:eastAsia="方正小标宋_GBK" w:cs="方正小标宋_GBK"/>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2"/>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jc w:val="left"/>
        <w:rPr>
          <w:rFonts w:hint="eastAsia" w:ascii="仿宋_GB2312" w:eastAsia="仿宋_GB2312" w:hAnsiTheme="minorEastAsia"/>
          <w:sz w:val="28"/>
          <w:szCs w:val="32"/>
        </w:rPr>
      </w:pPr>
      <w:r>
        <w:rPr>
          <w:rFonts w:hint="eastAsia" w:ascii="仿宋_GB2312" w:eastAsia="仿宋_GB2312" w:hAnsiTheme="minorEastAsia"/>
          <w:sz w:val="28"/>
          <w:szCs w:val="32"/>
        </w:rPr>
        <w:t>（1）负责军地双方上级职能部门审核认定的军休干部接收安置手续移交，配合部队做好军休干部的接收进所工作，出据组织关系、医疗保险、落户等有关的证明信。</w:t>
      </w:r>
    </w:p>
    <w:p>
      <w:pPr>
        <w:jc w:val="left"/>
        <w:rPr>
          <w:rFonts w:hint="eastAsia" w:ascii="仿宋_GB2312" w:eastAsia="仿宋_GB2312" w:hAnsiTheme="minorEastAsia"/>
          <w:sz w:val="28"/>
          <w:szCs w:val="32"/>
        </w:rPr>
      </w:pPr>
      <w:r>
        <w:rPr>
          <w:rFonts w:hint="eastAsia" w:ascii="仿宋_GB2312" w:eastAsia="仿宋_GB2312" w:hAnsiTheme="minorEastAsia"/>
          <w:sz w:val="28"/>
          <w:szCs w:val="32"/>
        </w:rPr>
        <w:t>（2）完善各项配套设施建设，保证军休老干老有所依，老有所乐，保证军休干部院内生活便利。</w:t>
      </w:r>
    </w:p>
    <w:p>
      <w:pPr>
        <w:jc w:val="left"/>
        <w:rPr>
          <w:rFonts w:hint="eastAsia" w:ascii="仿宋_GB2312" w:eastAsia="仿宋_GB2312" w:hAnsiTheme="minorEastAsia"/>
          <w:sz w:val="28"/>
          <w:szCs w:val="32"/>
        </w:rPr>
      </w:pPr>
      <w:r>
        <w:rPr>
          <w:rFonts w:hint="eastAsia" w:ascii="仿宋_GB2312" w:eastAsia="仿宋_GB2312" w:hAnsiTheme="minorEastAsia"/>
          <w:sz w:val="28"/>
          <w:szCs w:val="32"/>
        </w:rPr>
        <w:t>（3）组织军休干部学习中央、省、市有关文件，参加党支部，定期过党的组织生活，坚持“三会一课”制度。定期或不定期召开军休干部座谈会，重大节日开展慰问活动。</w:t>
      </w:r>
    </w:p>
    <w:p>
      <w:pPr>
        <w:jc w:val="left"/>
        <w:rPr>
          <w:rFonts w:hint="eastAsia" w:ascii="仿宋_GB2312" w:eastAsia="仿宋_GB2312" w:hAnsiTheme="minorEastAsia"/>
          <w:sz w:val="28"/>
          <w:szCs w:val="32"/>
        </w:rPr>
      </w:pPr>
      <w:r>
        <w:rPr>
          <w:rFonts w:hint="eastAsia" w:ascii="仿宋_GB2312" w:eastAsia="仿宋_GB2312" w:hAnsiTheme="minorEastAsia"/>
          <w:sz w:val="28"/>
          <w:szCs w:val="32"/>
        </w:rPr>
        <w:t>（4）搞好阅览室、娱乐室、党员活动室建设，安排好军休干部的文化生活。有计划、有步骤的开展适合老年人的文体活动，增强军休干部体质，丰富军休人员的晚年生活。</w:t>
      </w:r>
    </w:p>
    <w:p>
      <w:pPr>
        <w:jc w:val="left"/>
        <w:rPr>
          <w:rFonts w:hint="eastAsia" w:ascii="仿宋_GB2312" w:eastAsia="仿宋_GB2312" w:hAnsiTheme="minorEastAsia"/>
          <w:sz w:val="28"/>
          <w:szCs w:val="32"/>
        </w:rPr>
      </w:pPr>
      <w:r>
        <w:rPr>
          <w:rFonts w:hint="eastAsia" w:ascii="仿宋_GB2312" w:eastAsia="仿宋_GB2312" w:hAnsiTheme="minorEastAsia"/>
          <w:sz w:val="28"/>
          <w:szCs w:val="32"/>
        </w:rPr>
        <w:t>（5）及时足额发放军休干部离退休费、医疗费，为符合条件的军休干部审报发放护理费、公勤费、军粮补贴等。</w:t>
      </w:r>
    </w:p>
    <w:p>
      <w:pPr>
        <w:jc w:val="left"/>
        <w:rPr>
          <w:rFonts w:hint="eastAsia" w:ascii="仿宋_GB2312" w:eastAsia="仿宋_GB2312" w:hAnsiTheme="minorEastAsia"/>
          <w:sz w:val="28"/>
          <w:szCs w:val="32"/>
        </w:rPr>
      </w:pPr>
      <w:r>
        <w:rPr>
          <w:rFonts w:hint="eastAsia" w:ascii="仿宋_GB2312" w:eastAsia="仿宋_GB2312" w:hAnsiTheme="minorEastAsia"/>
          <w:sz w:val="28"/>
          <w:szCs w:val="32"/>
        </w:rPr>
        <w:t>（6）积极开展卫生知识教育和医疗保健活动，定期组织离休干部体检，有病早发现、早治疗。优先保证军休干部就医用车。</w:t>
      </w:r>
    </w:p>
    <w:p>
      <w:pPr>
        <w:jc w:val="left"/>
        <w:rPr>
          <w:rFonts w:hint="eastAsia" w:ascii="仿宋_GB2312" w:eastAsia="仿宋_GB2312" w:hAnsiTheme="minorEastAsia"/>
          <w:sz w:val="28"/>
          <w:szCs w:val="32"/>
        </w:rPr>
      </w:pPr>
      <w:r>
        <w:rPr>
          <w:rFonts w:hint="eastAsia" w:ascii="仿宋_GB2312" w:eastAsia="仿宋_GB2312" w:hAnsiTheme="minorEastAsia"/>
          <w:sz w:val="28"/>
          <w:szCs w:val="32"/>
        </w:rPr>
        <w:t>（7）为军休干部管委会创造良好的工作条件，进一步发挥军休干部作用，实现“自我教育、自我服务、自我管理”，充分体现军休干部在所中的“主人翁”地位。</w:t>
      </w:r>
    </w:p>
    <w:p>
      <w:pPr>
        <w:jc w:val="left"/>
        <w:rPr>
          <w:rFonts w:hint="eastAsia" w:ascii="仿宋_GB2312" w:eastAsia="仿宋_GB2312" w:hAnsiTheme="minorEastAsia"/>
          <w:sz w:val="28"/>
          <w:szCs w:val="32"/>
        </w:rPr>
      </w:pPr>
      <w:r>
        <w:rPr>
          <w:rFonts w:hint="eastAsia" w:ascii="仿宋_GB2312" w:eastAsia="仿宋_GB2312" w:hAnsiTheme="minorEastAsia"/>
          <w:sz w:val="28"/>
          <w:szCs w:val="32"/>
        </w:rPr>
        <w:t>（8）承办上级各部门交付的其他任务。</w:t>
      </w:r>
    </w:p>
    <w:p>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jc w:val="left"/>
        <w:rPr>
          <w:rFonts w:hint="eastAsia" w:ascii="仿宋_GB2312" w:eastAsia="仿宋_GB2312" w:hAnsiTheme="minorEastAsia"/>
          <w:sz w:val="28"/>
          <w:szCs w:val="32"/>
        </w:rPr>
      </w:pPr>
      <w:r>
        <w:rPr>
          <w:rFonts w:hint="eastAsia" w:ascii="仿宋_GB2312" w:eastAsia="仿宋_GB2312" w:hAnsiTheme="minorEastAsia"/>
          <w:sz w:val="28"/>
          <w:szCs w:val="32"/>
        </w:rPr>
        <w:t>（一）内设机构设置。怀化市军队离休退休干部服务管理中心为财政全额拨款的副处级事业单位，属怀化市退役军人事务局下设二级机构，根据工作职责，内设办公室、财务部、待遇部、文体管理部4个部门，设置有管理岗位、专业技术岗位和工勤技能三类岗位。</w:t>
      </w:r>
    </w:p>
    <w:p>
      <w:pPr>
        <w:jc w:val="left"/>
        <w:rPr>
          <w:rFonts w:ascii="仿宋_GB2312" w:eastAsia="仿宋_GB2312" w:hAnsiTheme="minorEastAsia"/>
          <w:sz w:val="28"/>
          <w:szCs w:val="32"/>
        </w:rPr>
      </w:pPr>
      <w:r>
        <w:rPr>
          <w:rFonts w:hint="eastAsia" w:ascii="仿宋_GB2312" w:eastAsia="仿宋_GB2312" w:hAnsiTheme="minorEastAsia"/>
          <w:sz w:val="28"/>
          <w:szCs w:val="32"/>
        </w:rPr>
        <w:t>（二）决算单位构成。怀化市军队离休退休干部服务管理中心202</w:t>
      </w:r>
      <w:r>
        <w:rPr>
          <w:rFonts w:hint="eastAsia" w:ascii="仿宋_GB2312" w:eastAsia="仿宋_GB2312" w:hAnsiTheme="minorEastAsia"/>
          <w:sz w:val="28"/>
          <w:szCs w:val="32"/>
          <w:lang w:val="en-US" w:eastAsia="zh-CN"/>
        </w:rPr>
        <w:t>2</w:t>
      </w:r>
      <w:r>
        <w:rPr>
          <w:rFonts w:hint="eastAsia" w:ascii="仿宋_GB2312" w:eastAsia="仿宋_GB2312" w:hAnsiTheme="minorEastAsia"/>
          <w:sz w:val="28"/>
          <w:szCs w:val="32"/>
        </w:rPr>
        <w:t>年部门决算汇总公开单位构成包括：怀化市军队离休退休干部服务管理中心本级。</w:t>
      </w: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pStyle w:val="11"/>
        <w:jc w:val="both"/>
        <w:rPr>
          <w:rFonts w:hint="eastAsia" w:ascii="方正小标宋_GBK" w:hAnsi="方正小标宋_GBK" w:eastAsia="方正小标宋_GBK" w:cs="方正小标宋_GBK"/>
          <w:sz w:val="84"/>
          <w:szCs w:val="84"/>
        </w:rPr>
      </w:pPr>
    </w:p>
    <w:p>
      <w:pPr>
        <w:pStyle w:val="11"/>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11"/>
        <w:jc w:val="center"/>
        <w:rPr>
          <w:rFonts w:hint="eastAsia" w:ascii="方正小标宋_GBK" w:hAnsi="方正小标宋_GBK" w:eastAsia="方正小标宋_GBK" w:cs="方正小标宋_GBK"/>
          <w:sz w:val="84"/>
          <w:szCs w:val="84"/>
        </w:rPr>
      </w:pPr>
    </w:p>
    <w:p>
      <w:pPr>
        <w:pStyle w:val="11"/>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jc w:val="center"/>
        <w:rPr>
          <w:sz w:val="72"/>
          <w:szCs w:val="72"/>
        </w:rPr>
      </w:pPr>
    </w:p>
    <w:p>
      <w:pPr>
        <w:jc w:val="center"/>
        <w:rPr>
          <w:rFonts w:hint="eastAsia" w:eastAsiaTheme="minorEastAsia"/>
          <w:sz w:val="72"/>
          <w:szCs w:val="72"/>
          <w:lang w:eastAsia="zh-CN"/>
        </w:rPr>
      </w:pPr>
      <w:r>
        <w:rPr>
          <w:rFonts w:hint="eastAsia"/>
          <w:sz w:val="72"/>
          <w:szCs w:val="72"/>
          <w:lang w:eastAsia="zh-CN"/>
        </w:rPr>
        <w:t>见附件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pPr>
    </w:p>
    <w:p>
      <w:pPr>
        <w:pStyle w:val="11"/>
        <w:rPr>
          <w:sz w:val="72"/>
          <w:szCs w:val="72"/>
        </w:rPr>
      </w:pPr>
    </w:p>
    <w:p>
      <w:pPr>
        <w:pStyle w:val="11"/>
        <w:rPr>
          <w:sz w:val="72"/>
          <w:szCs w:val="72"/>
        </w:rPr>
      </w:pPr>
    </w:p>
    <w:p>
      <w:pPr>
        <w:pStyle w:val="11"/>
        <w:rPr>
          <w:sz w:val="72"/>
          <w:szCs w:val="72"/>
        </w:rPr>
      </w:pPr>
    </w:p>
    <w:p>
      <w:pPr>
        <w:pStyle w:val="11"/>
        <w:rPr>
          <w:sz w:val="72"/>
          <w:szCs w:val="72"/>
        </w:rPr>
      </w:pPr>
    </w:p>
    <w:p>
      <w:pPr>
        <w:pStyle w:val="11"/>
        <w:jc w:val="center"/>
        <w:rPr>
          <w:sz w:val="72"/>
          <w:szCs w:val="72"/>
        </w:rPr>
      </w:pPr>
    </w:p>
    <w:p>
      <w:pPr>
        <w:pStyle w:val="11"/>
        <w:jc w:val="center"/>
        <w:rPr>
          <w:rFonts w:hint="eastAsia" w:ascii="方正小标宋_GBK" w:hAnsi="方正小标宋_GBK" w:eastAsia="方正小标宋_GBK" w:cs="方正小标宋_GBK"/>
          <w:sz w:val="72"/>
          <w:szCs w:val="72"/>
        </w:rPr>
      </w:pPr>
    </w:p>
    <w:p>
      <w:pPr>
        <w:pStyle w:val="11"/>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11"/>
        <w:jc w:val="center"/>
        <w:rPr>
          <w:rFonts w:hint="eastAsia" w:ascii="方正小标宋_GBK" w:hAnsi="方正小标宋_GBK" w:eastAsia="方正小标宋_GBK" w:cs="方正小标宋_GBK"/>
          <w:sz w:val="70"/>
          <w:szCs w:val="70"/>
        </w:rPr>
      </w:pPr>
    </w:p>
    <w:p>
      <w:pPr>
        <w:pStyle w:val="11"/>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2</w:t>
      </w:r>
      <w:r>
        <w:rPr>
          <w:rFonts w:hint="eastAsia" w:ascii="方正小标宋_GBK" w:hAnsi="方正小标宋_GBK" w:eastAsia="方正小标宋_GBK" w:cs="方正小标宋_GBK"/>
          <w:sz w:val="70"/>
          <w:szCs w:val="70"/>
        </w:rPr>
        <w:t>年度部门决算情况说明</w:t>
      </w:r>
    </w:p>
    <w:p>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11"/>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Times New Roman" w:hAnsi="Times New Roman" w:eastAsia="仿宋_GB2312"/>
          <w:color w:val="FFFFFF" w:themeColor="background1"/>
          <w:sz w:val="32"/>
          <w:szCs w:val="32"/>
          <w:highlight w:val="none"/>
          <w:shd w:val="clear" w:color="auto" w:fill="auto"/>
          <w:lang w:eastAsia="zh-CN"/>
          <w14:textFill>
            <w14:solidFill>
              <w14:schemeClr w14:val="bg1"/>
            </w14:solidFill>
          </w14:textFill>
        </w:rPr>
      </w:pPr>
      <w:r>
        <w:rPr>
          <w:rFonts w:hint="eastAsia" w:ascii="Times New Roman" w:hAnsi="Times New Roman" w:eastAsia="仿宋_GB2312"/>
          <w:sz w:val="32"/>
          <w:szCs w:val="32"/>
          <w:highlight w:val="none"/>
        </w:rPr>
        <w:t>202</w:t>
      </w:r>
      <w:r>
        <w:rPr>
          <w:rFonts w:hint="eastAsia" w:ascii="Times New Roman" w:hAnsi="Times New Roman" w:eastAsia="仿宋_GB2312"/>
          <w:sz w:val="32"/>
          <w:szCs w:val="32"/>
          <w:highlight w:val="none"/>
          <w:lang w:val="en-US" w:eastAsia="zh-CN"/>
        </w:rPr>
        <w:t>2</w:t>
      </w:r>
      <w:r>
        <w:rPr>
          <w:rFonts w:hint="eastAsia" w:ascii="Times New Roman" w:hAnsi="Times New Roman" w:eastAsia="仿宋_GB2312"/>
          <w:sz w:val="32"/>
          <w:szCs w:val="32"/>
          <w:highlight w:val="none"/>
        </w:rPr>
        <w:t>年度</w:t>
      </w:r>
      <w:r>
        <w:rPr>
          <w:rFonts w:hint="eastAsia" w:ascii="Times New Roman" w:hAnsi="Times New Roman" w:eastAsia="仿宋_GB2312"/>
          <w:sz w:val="32"/>
          <w:szCs w:val="32"/>
          <w:highlight w:val="none"/>
          <w:lang w:val="en-US" w:eastAsia="zh-CN"/>
        </w:rPr>
        <w:t>收、支</w:t>
      </w:r>
      <w:r>
        <w:rPr>
          <w:rFonts w:hint="eastAsia" w:ascii="Times New Roman" w:hAnsi="Times New Roman" w:eastAsia="仿宋_GB2312"/>
          <w:sz w:val="32"/>
          <w:szCs w:val="32"/>
          <w:highlight w:val="none"/>
        </w:rPr>
        <w:t>总计</w:t>
      </w:r>
      <w:r>
        <w:rPr>
          <w:rFonts w:hint="eastAsia" w:ascii="仿宋" w:eastAsia="仿宋"/>
          <w:color w:val="auto"/>
          <w:sz w:val="32"/>
          <w:highlight w:val="none"/>
          <w:lang w:val="en-US" w:eastAsia="zh-CN"/>
        </w:rPr>
        <w:t>1117.35</w:t>
      </w:r>
      <w:r>
        <w:rPr>
          <w:rFonts w:hint="eastAsia" w:ascii="Times New Roman" w:hAnsi="Times New Roman" w:eastAsia="仿宋_GB2312"/>
          <w:sz w:val="32"/>
          <w:szCs w:val="32"/>
          <w:highlight w:val="none"/>
        </w:rPr>
        <w:t>万元</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与上年相比，减少</w:t>
      </w:r>
      <w:r>
        <w:rPr>
          <w:rFonts w:hint="eastAsia" w:ascii="Times New Roman" w:hAnsi="Times New Roman" w:eastAsia="仿宋_GB2312"/>
          <w:sz w:val="32"/>
          <w:szCs w:val="32"/>
          <w:highlight w:val="none"/>
          <w:lang w:val="en-US" w:eastAsia="zh-CN"/>
        </w:rPr>
        <w:t>386.06</w:t>
      </w:r>
      <w:r>
        <w:rPr>
          <w:rFonts w:hint="eastAsia" w:ascii="Times New Roman" w:hAnsi="Times New Roman" w:eastAsia="仿宋_GB2312"/>
          <w:sz w:val="32"/>
          <w:szCs w:val="32"/>
          <w:highlight w:val="none"/>
        </w:rPr>
        <w:t>万元，减少</w:t>
      </w:r>
      <w:r>
        <w:rPr>
          <w:rFonts w:hint="eastAsia" w:ascii="Times New Roman" w:hAnsi="Times New Roman" w:eastAsia="仿宋_GB2312"/>
          <w:sz w:val="32"/>
          <w:szCs w:val="32"/>
          <w:highlight w:val="none"/>
          <w:lang w:val="en-US" w:eastAsia="zh-CN"/>
        </w:rPr>
        <w:t>25.68</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eastAsia="zh-CN"/>
        </w:rPr>
        <w:t>主要原因是机构合并，资金使用减少。</w:t>
      </w:r>
      <w:r>
        <w:rPr>
          <w:rFonts w:hint="eastAsia" w:ascii="Times New Roman" w:hAnsi="Times New Roman" w:eastAsia="仿宋_GB2312"/>
          <w:color w:val="FFFFFF" w:themeColor="background1"/>
          <w:sz w:val="32"/>
          <w:szCs w:val="32"/>
          <w:highlight w:val="none"/>
          <w:shd w:val="clear" w:color="auto" w:fill="auto"/>
          <w:lang w:eastAsia="zh-CN"/>
          <w14:textFill>
            <w14:solidFill>
              <w14:schemeClr w14:val="bg1"/>
            </w14:solidFill>
          </w14:textFill>
        </w:rPr>
        <w:t>主要是因为机构合并，资</w:t>
      </w:r>
    </w:p>
    <w:p>
      <w:pPr>
        <w:pStyle w:val="11"/>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autoSpaceDE w:val="0"/>
        <w:autoSpaceDN w:val="0"/>
        <w:adjustRightInd w:val="0"/>
        <w:spacing w:line="520" w:lineRule="exact"/>
        <w:ind w:firstLine="640"/>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年度收入合计</w:t>
      </w:r>
      <w:r>
        <w:rPr>
          <w:rFonts w:hint="eastAsia" w:ascii="仿宋" w:eastAsia="仿宋"/>
          <w:color w:val="auto"/>
          <w:sz w:val="32"/>
          <w:lang w:val="en-US" w:eastAsia="zh-CN"/>
        </w:rPr>
        <w:t>1117.35</w:t>
      </w:r>
      <w:r>
        <w:rPr>
          <w:rFonts w:hint="eastAsia" w:ascii="Times New Roman" w:hAnsi="Times New Roman" w:eastAsia="仿宋_GB2312"/>
          <w:sz w:val="32"/>
          <w:szCs w:val="32"/>
        </w:rPr>
        <w:t>万元，其中：财政拨款收入</w:t>
      </w:r>
      <w:r>
        <w:rPr>
          <w:rFonts w:hint="eastAsia" w:ascii="仿宋" w:eastAsia="仿宋"/>
          <w:color w:val="auto"/>
          <w:sz w:val="32"/>
          <w:lang w:val="en-US" w:eastAsia="zh-CN"/>
        </w:rPr>
        <w:t>1039.44</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93.03</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%；其他收入77.91万元，占</w:t>
      </w:r>
      <w:r>
        <w:rPr>
          <w:rFonts w:hint="eastAsia" w:ascii="Times New Roman" w:hAnsi="Times New Roman" w:eastAsia="仿宋_GB2312"/>
          <w:sz w:val="32"/>
          <w:szCs w:val="32"/>
          <w:lang w:val="en-US" w:eastAsia="zh-CN"/>
        </w:rPr>
        <w:t>6.97</w:t>
      </w:r>
      <w:r>
        <w:rPr>
          <w:rFonts w:hint="eastAsia" w:ascii="Times New Roman" w:hAnsi="Times New Roman" w:eastAsia="仿宋_GB2312"/>
          <w:sz w:val="32"/>
          <w:szCs w:val="32"/>
        </w:rPr>
        <w:t>%。</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cstheme="minorBidi"/>
          <w:color w:val="auto"/>
          <w:kern w:val="2"/>
          <w:sz w:val="32"/>
          <w:szCs w:val="32"/>
          <w:lang w:val="en-US" w:eastAsia="zh-CN" w:bidi="ar-SA"/>
        </w:rPr>
        <w:t>2022年度支出合计1117.35万元，其中：基本支出141.93万元，占12.70%；项目支出975.42万元，占87.30%；上缴上级支出0万元，占0%；经营支出0万元，占0%；对附属单位补助支出0万元，占0%。</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202</w:t>
      </w:r>
      <w:r>
        <w:rPr>
          <w:rFonts w:hint="eastAsia" w:ascii="Times New Roman" w:hAnsi="Times New Roman" w:eastAsia="仿宋_GB2312"/>
          <w:sz w:val="32"/>
          <w:szCs w:val="32"/>
          <w:highlight w:val="none"/>
          <w:lang w:val="en-US" w:eastAsia="zh-CN"/>
        </w:rPr>
        <w:t>2</w:t>
      </w:r>
      <w:r>
        <w:rPr>
          <w:rFonts w:hint="eastAsia" w:ascii="Times New Roman" w:hAnsi="Times New Roman" w:eastAsia="仿宋_GB2312"/>
          <w:sz w:val="32"/>
          <w:szCs w:val="32"/>
          <w:highlight w:val="none"/>
        </w:rPr>
        <w:t>年度财政拨款</w:t>
      </w:r>
      <w:r>
        <w:rPr>
          <w:rFonts w:hint="eastAsia" w:ascii="Times New Roman" w:hAnsi="Times New Roman" w:eastAsia="仿宋_GB2312"/>
          <w:sz w:val="32"/>
          <w:szCs w:val="32"/>
          <w:highlight w:val="none"/>
          <w:lang w:val="en-US" w:eastAsia="zh-CN"/>
        </w:rPr>
        <w:t>收、</w:t>
      </w:r>
      <w:r>
        <w:rPr>
          <w:rFonts w:hint="eastAsia" w:ascii="Times New Roman" w:hAnsi="Times New Roman" w:eastAsia="仿宋_GB2312"/>
          <w:sz w:val="32"/>
          <w:szCs w:val="32"/>
          <w:highlight w:val="none"/>
        </w:rPr>
        <w:t>支总计</w:t>
      </w:r>
      <w:r>
        <w:rPr>
          <w:rFonts w:hint="eastAsia" w:ascii="仿宋" w:eastAsia="仿宋"/>
          <w:color w:val="auto"/>
          <w:sz w:val="32"/>
          <w:highlight w:val="none"/>
          <w:lang w:val="en-US" w:eastAsia="zh-CN"/>
        </w:rPr>
        <w:t>1039.44</w:t>
      </w:r>
      <w:r>
        <w:rPr>
          <w:rFonts w:hint="eastAsia" w:ascii="Times New Roman" w:hAnsi="Times New Roman" w:eastAsia="仿宋_GB2312"/>
          <w:sz w:val="32"/>
          <w:szCs w:val="32"/>
          <w:highlight w:val="none"/>
        </w:rPr>
        <w:t>万元，与上年相比，减少</w:t>
      </w:r>
      <w:r>
        <w:rPr>
          <w:rFonts w:hint="eastAsia" w:ascii="Times New Roman" w:hAnsi="Times New Roman" w:eastAsia="仿宋_GB2312"/>
          <w:sz w:val="32"/>
          <w:szCs w:val="32"/>
          <w:highlight w:val="none"/>
          <w:lang w:val="en-US" w:eastAsia="zh-CN"/>
        </w:rPr>
        <w:t>382.00</w:t>
      </w:r>
      <w:r>
        <w:rPr>
          <w:rFonts w:hint="eastAsia" w:ascii="Times New Roman" w:hAnsi="Times New Roman" w:eastAsia="仿宋_GB2312"/>
          <w:sz w:val="32"/>
          <w:szCs w:val="32"/>
          <w:highlight w:val="none"/>
        </w:rPr>
        <w:t>万元，</w:t>
      </w:r>
      <w:r>
        <w:rPr>
          <w:rFonts w:hint="eastAsia" w:ascii="Times New Roman" w:hAnsi="Times New Roman" w:eastAsia="仿宋_GB2312"/>
          <w:sz w:val="32"/>
          <w:szCs w:val="32"/>
        </w:rPr>
        <w:t>减少</w:t>
      </w:r>
      <w:r>
        <w:rPr>
          <w:rFonts w:hint="eastAsia" w:ascii="Times New Roman" w:hAnsi="Times New Roman" w:eastAsia="仿宋_GB2312"/>
          <w:sz w:val="32"/>
          <w:szCs w:val="32"/>
          <w:lang w:val="en-US" w:eastAsia="zh-CN"/>
        </w:rPr>
        <w:t>26.87</w:t>
      </w:r>
      <w:r>
        <w:rPr>
          <w:rFonts w:hint="eastAsia" w:ascii="Times New Roman" w:hAnsi="Times New Roman" w:eastAsia="仿宋_GB2312"/>
          <w:sz w:val="32"/>
          <w:szCs w:val="32"/>
        </w:rPr>
        <w:t>%</w:t>
      </w:r>
      <w:r>
        <w:rPr>
          <w:rFonts w:hint="eastAsia" w:ascii="Times New Roman" w:hAnsi="Times New Roman" w:eastAsia="仿宋_GB2312"/>
          <w:sz w:val="32"/>
          <w:szCs w:val="32"/>
          <w:highlight w:val="none"/>
        </w:rPr>
        <w:t>，主要是因为</w:t>
      </w:r>
      <w:r>
        <w:rPr>
          <w:rFonts w:hint="eastAsia" w:ascii="Times New Roman" w:hAnsi="Times New Roman" w:eastAsia="仿宋_GB2312"/>
          <w:sz w:val="32"/>
          <w:szCs w:val="32"/>
          <w:highlight w:val="none"/>
          <w:lang w:val="en-US" w:eastAsia="zh-CN"/>
        </w:rPr>
        <w:t>机构与2022年下半年被合并，单位收入支出决算随之转移。</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t>五、一般公共预算财政拨款支出决算情况说明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highlight w:val="none"/>
        </w:rPr>
      </w:pPr>
      <w:r>
        <w:rPr>
          <w:rFonts w:hint="eastAsia" w:ascii="楷体" w:hAnsi="楷体" w:eastAsia="楷体" w:cs="楷体"/>
          <w:b w:val="0"/>
          <w:bCs/>
          <w:sz w:val="32"/>
          <w:szCs w:val="32"/>
          <w:highlight w:val="none"/>
        </w:rPr>
        <w:t>（一）财政拨款支出决算总体情况</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202</w:t>
      </w:r>
      <w:r>
        <w:rPr>
          <w:rFonts w:hint="eastAsia" w:ascii="Times New Roman" w:hAnsi="Times New Roman" w:eastAsia="仿宋_GB2312"/>
          <w:sz w:val="32"/>
          <w:szCs w:val="32"/>
          <w:highlight w:val="none"/>
          <w:lang w:val="en-US" w:eastAsia="zh-CN"/>
        </w:rPr>
        <w:t>2</w:t>
      </w:r>
      <w:r>
        <w:rPr>
          <w:rFonts w:hint="eastAsia" w:ascii="Times New Roman" w:hAnsi="Times New Roman" w:eastAsia="仿宋_GB2312"/>
          <w:sz w:val="32"/>
          <w:szCs w:val="32"/>
          <w:highlight w:val="none"/>
        </w:rPr>
        <w:t>年度财政拨款支出1,039.44万元，占本年支出合计的</w:t>
      </w:r>
      <w:r>
        <w:rPr>
          <w:rFonts w:hint="eastAsia" w:ascii="Times New Roman" w:hAnsi="Times New Roman" w:eastAsia="仿宋_GB2312"/>
          <w:sz w:val="32"/>
          <w:szCs w:val="32"/>
          <w:highlight w:val="none"/>
          <w:lang w:val="en-US" w:eastAsia="zh-CN"/>
        </w:rPr>
        <w:t>93.03</w:t>
      </w:r>
      <w:r>
        <w:rPr>
          <w:rFonts w:hint="eastAsia" w:ascii="Times New Roman" w:hAnsi="Times New Roman" w:eastAsia="仿宋_GB2312"/>
          <w:sz w:val="32"/>
          <w:szCs w:val="32"/>
          <w:highlight w:val="none"/>
        </w:rPr>
        <w:t>%，与上年相比，财政拨款支出减少</w:t>
      </w:r>
      <w:r>
        <w:rPr>
          <w:rFonts w:hint="eastAsia" w:ascii="Times New Roman" w:hAnsi="Times New Roman" w:eastAsia="仿宋_GB2312"/>
          <w:sz w:val="32"/>
          <w:szCs w:val="32"/>
          <w:highlight w:val="none"/>
          <w:lang w:val="en-US" w:eastAsia="zh-CN"/>
        </w:rPr>
        <w:t>382.00</w:t>
      </w:r>
      <w:r>
        <w:rPr>
          <w:rFonts w:hint="eastAsia" w:ascii="Times New Roman" w:hAnsi="Times New Roman" w:eastAsia="仿宋_GB2312"/>
          <w:sz w:val="32"/>
          <w:szCs w:val="32"/>
          <w:highlight w:val="none"/>
        </w:rPr>
        <w:t>万元，减少</w:t>
      </w:r>
      <w:r>
        <w:rPr>
          <w:rFonts w:hint="eastAsia" w:ascii="Times New Roman" w:hAnsi="Times New Roman" w:eastAsia="仿宋_GB2312"/>
          <w:sz w:val="32"/>
          <w:szCs w:val="32"/>
          <w:highlight w:val="none"/>
          <w:lang w:val="en-US" w:eastAsia="zh-CN"/>
        </w:rPr>
        <w:t>26.87</w:t>
      </w:r>
      <w:r>
        <w:rPr>
          <w:rFonts w:hint="eastAsia" w:ascii="Times New Roman" w:hAnsi="Times New Roman" w:eastAsia="仿宋_GB2312"/>
          <w:sz w:val="32"/>
          <w:szCs w:val="32"/>
          <w:highlight w:val="none"/>
        </w:rPr>
        <w:t>%，主要是因为</w:t>
      </w:r>
      <w:r>
        <w:rPr>
          <w:rFonts w:hint="eastAsia" w:ascii="Times New Roman" w:hAnsi="Times New Roman" w:eastAsia="仿宋_GB2312"/>
          <w:sz w:val="32"/>
          <w:szCs w:val="32"/>
          <w:highlight w:val="none"/>
          <w:lang w:val="en-US" w:eastAsia="zh-CN"/>
        </w:rPr>
        <w:t>机构与2022年下半年被合并，单位支出决算随之转移。</w:t>
      </w:r>
    </w:p>
    <w:p>
      <w:pPr>
        <w:pStyle w:val="11"/>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highlight w:val="none"/>
        </w:rPr>
      </w:pPr>
      <w:r>
        <w:rPr>
          <w:rFonts w:hint="eastAsia" w:ascii="楷体" w:hAnsi="楷体" w:eastAsia="楷体" w:cs="楷体"/>
          <w:b w:val="0"/>
          <w:bCs/>
          <w:sz w:val="32"/>
          <w:szCs w:val="32"/>
          <w:highlight w:val="none"/>
        </w:rPr>
        <w:t>（二）财政拨款支出决算结构情况</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202</w:t>
      </w:r>
      <w:r>
        <w:rPr>
          <w:rFonts w:hint="eastAsia" w:ascii="Times New Roman" w:hAnsi="Times New Roman" w:eastAsia="仿宋_GB2312"/>
          <w:sz w:val="32"/>
          <w:szCs w:val="32"/>
          <w:highlight w:val="none"/>
          <w:lang w:val="en-US" w:eastAsia="zh-CN"/>
        </w:rPr>
        <w:t>2</w:t>
      </w:r>
      <w:r>
        <w:rPr>
          <w:rFonts w:hint="eastAsia" w:ascii="Times New Roman" w:hAnsi="Times New Roman" w:eastAsia="仿宋_GB2312"/>
          <w:sz w:val="32"/>
          <w:szCs w:val="32"/>
          <w:highlight w:val="none"/>
        </w:rPr>
        <w:t>年度财政拨款支出1039.44万元，主要用于以下方面：社会保障和就业（类）支出1024.58万元，占98.57%；一般公共服务（类）支出11.06万元，占1.06%；卫生健康（类）支出3.80万元，占0.37%</w:t>
      </w:r>
      <w:r>
        <w:rPr>
          <w:rFonts w:hint="eastAsia" w:ascii="Times New Roman" w:hAnsi="Times New Roman" w:eastAsia="仿宋_GB2312"/>
          <w:sz w:val="32"/>
          <w:szCs w:val="32"/>
          <w:highlight w:val="none"/>
          <w:lang w:eastAsia="zh-CN"/>
        </w:rPr>
        <w:t>。</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highlight w:val="none"/>
        </w:rPr>
      </w:pPr>
      <w:r>
        <w:rPr>
          <w:rFonts w:hint="eastAsia" w:ascii="楷体" w:hAnsi="楷体" w:eastAsia="楷体" w:cs="楷体"/>
          <w:b w:val="0"/>
          <w:bCs/>
          <w:sz w:val="32"/>
          <w:szCs w:val="32"/>
          <w:highlight w:val="none"/>
        </w:rPr>
        <w:t>（三）财政拨款支出决算具体情况</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202</w:t>
      </w:r>
      <w:r>
        <w:rPr>
          <w:rFonts w:hint="eastAsia" w:ascii="Times New Roman" w:hAnsi="Times New Roman" w:eastAsia="仿宋_GB2312"/>
          <w:sz w:val="32"/>
          <w:szCs w:val="32"/>
          <w:highlight w:val="none"/>
          <w:lang w:val="en-US" w:eastAsia="zh-CN"/>
        </w:rPr>
        <w:t>2</w:t>
      </w:r>
      <w:r>
        <w:rPr>
          <w:rFonts w:hint="eastAsia" w:ascii="Times New Roman" w:hAnsi="Times New Roman" w:eastAsia="仿宋_GB2312"/>
          <w:sz w:val="32"/>
          <w:szCs w:val="32"/>
          <w:highlight w:val="none"/>
        </w:rPr>
        <w:t>年度财政拨款支出年初预算数为</w:t>
      </w:r>
      <w:r>
        <w:rPr>
          <w:rFonts w:hint="eastAsia" w:ascii="Times New Roman" w:hAnsi="Times New Roman" w:eastAsia="仿宋_GB2312"/>
          <w:sz w:val="32"/>
          <w:szCs w:val="32"/>
          <w:highlight w:val="none"/>
          <w:lang w:val="en-US" w:eastAsia="zh-CN"/>
        </w:rPr>
        <w:t>119.17</w:t>
      </w:r>
      <w:r>
        <w:rPr>
          <w:rFonts w:hint="eastAsia" w:ascii="Times New Roman" w:hAnsi="Times New Roman" w:eastAsia="仿宋_GB2312"/>
          <w:sz w:val="32"/>
          <w:szCs w:val="32"/>
          <w:highlight w:val="none"/>
        </w:rPr>
        <w:t>万元，支出决算数为1039.44万元，完成年初预算的</w:t>
      </w:r>
      <w:r>
        <w:rPr>
          <w:rFonts w:hint="eastAsia" w:ascii="Times New Roman" w:hAnsi="Times New Roman" w:eastAsia="仿宋_GB2312"/>
          <w:sz w:val="32"/>
          <w:szCs w:val="32"/>
          <w:highlight w:val="none"/>
          <w:lang w:val="en-US" w:eastAsia="zh-CN"/>
        </w:rPr>
        <w:t>872.23</w:t>
      </w:r>
      <w:r>
        <w:rPr>
          <w:rFonts w:hint="eastAsia" w:ascii="Times New Roman" w:hAnsi="Times New Roman" w:eastAsia="仿宋_GB2312"/>
          <w:sz w:val="32"/>
          <w:szCs w:val="32"/>
          <w:highlight w:val="none"/>
        </w:rPr>
        <w:t>%，其中：</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1、一般公共服务（类）一般公共服务支出（款）一般公共服务支出（项）。</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rPr>
        <w:t>年初预算为</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万元，支出决算为</w:t>
      </w:r>
      <w:r>
        <w:rPr>
          <w:rFonts w:hint="eastAsia" w:ascii="Times New Roman" w:hAnsi="Times New Roman" w:eastAsia="仿宋_GB2312"/>
          <w:sz w:val="32"/>
          <w:szCs w:val="32"/>
          <w:highlight w:val="none"/>
          <w:lang w:val="en-US" w:eastAsia="zh-CN"/>
        </w:rPr>
        <w:t>11.06</w:t>
      </w:r>
      <w:r>
        <w:rPr>
          <w:rFonts w:hint="eastAsia" w:ascii="Times New Roman" w:hAnsi="Times New Roman" w:eastAsia="仿宋_GB2312"/>
          <w:sz w:val="32"/>
          <w:szCs w:val="32"/>
          <w:highlight w:val="none"/>
        </w:rPr>
        <w:t>万元，决算数大于年初预算数的主要原因是：</w:t>
      </w:r>
      <w:r>
        <w:rPr>
          <w:rFonts w:hint="eastAsia" w:ascii="Times New Roman" w:hAnsi="Times New Roman" w:eastAsia="仿宋_GB2312"/>
          <w:sz w:val="32"/>
          <w:szCs w:val="32"/>
          <w:highlight w:val="none"/>
          <w:lang w:val="en-US" w:eastAsia="zh-CN"/>
        </w:rPr>
        <w:t>预算调整。</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color w:val="000000" w:themeColor="text1"/>
          <w:sz w:val="32"/>
          <w:szCs w:val="32"/>
          <w:highlight w:val="none"/>
          <w14:textFill>
            <w14:solidFill>
              <w14:schemeClr w14:val="tx1"/>
            </w14:solidFill>
          </w14:textFill>
        </w:rPr>
      </w:pPr>
      <w:r>
        <w:rPr>
          <w:rFonts w:hint="eastAsia" w:ascii="Times New Roman" w:hAnsi="Times New Roman" w:eastAsia="仿宋_GB2312"/>
          <w:color w:val="000000" w:themeColor="text1"/>
          <w:sz w:val="32"/>
          <w:szCs w:val="32"/>
          <w:highlight w:val="none"/>
          <w14:textFill>
            <w14:solidFill>
              <w14:schemeClr w14:val="tx1"/>
            </w14:solidFill>
          </w14:textFill>
        </w:rPr>
        <w:t>2、社会保障和就业支出（类）民政管理事务（款）行政运行（项）。</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000000" w:themeColor="text1"/>
          <w:sz w:val="32"/>
          <w:szCs w:val="32"/>
          <w:highlight w:val="none"/>
          <w:lang w:eastAsia="zh-CN"/>
          <w14:textFill>
            <w14:solidFill>
              <w14:schemeClr w14:val="tx1"/>
            </w14:solidFill>
          </w14:textFill>
        </w:rPr>
      </w:pPr>
      <w:r>
        <w:rPr>
          <w:rFonts w:hint="eastAsia" w:ascii="Times New Roman" w:hAnsi="Times New Roman" w:eastAsia="仿宋_GB2312"/>
          <w:color w:val="000000" w:themeColor="text1"/>
          <w:sz w:val="32"/>
          <w:szCs w:val="32"/>
          <w:highlight w:val="none"/>
          <w14:textFill>
            <w14:solidFill>
              <w14:schemeClr w14:val="tx1"/>
            </w14:solidFill>
          </w14:textFill>
        </w:rPr>
        <w:t>年初预算为48.92万元，支出决算为20.76万元，完成年初预算的42.43%，决算数小于年初预算数的主要原因是：</w:t>
      </w:r>
      <w:r>
        <w:rPr>
          <w:rFonts w:hint="eastAsia" w:ascii="Times New Roman" w:hAnsi="Times New Roman" w:eastAsia="仿宋_GB2312"/>
          <w:color w:val="000000" w:themeColor="text1"/>
          <w:sz w:val="32"/>
          <w:szCs w:val="32"/>
          <w:highlight w:val="none"/>
          <w:lang w:eastAsia="zh-CN"/>
          <w14:textFill>
            <w14:solidFill>
              <w14:schemeClr w14:val="tx1"/>
            </w14:solidFill>
          </w14:textFill>
        </w:rPr>
        <w:t>预算编制科目偏差。</w:t>
      </w:r>
    </w:p>
    <w:p>
      <w:pPr>
        <w:pStyle w:val="11"/>
        <w:keepNext w:val="0"/>
        <w:keepLines w:val="0"/>
        <w:pageBreakBefore w:val="0"/>
        <w:widowControl w:val="0"/>
        <w:numPr>
          <w:ilvl w:val="0"/>
          <w:numId w:val="2"/>
        </w:numPr>
        <w:kinsoku/>
        <w:wordWrap/>
        <w:overflowPunct/>
        <w:topLinePunct w:val="0"/>
        <w:bidi w:val="0"/>
        <w:snapToGrid/>
        <w:spacing w:line="600" w:lineRule="exact"/>
        <w:ind w:firstLine="800" w:firstLineChars="250"/>
        <w:textAlignment w:val="auto"/>
        <w:rPr>
          <w:rFonts w:hint="eastAsia" w:ascii="Times New Roman" w:hAnsi="Times New Roman" w:eastAsia="仿宋_GB2312"/>
          <w:color w:val="000000" w:themeColor="text1"/>
          <w:sz w:val="32"/>
          <w:szCs w:val="32"/>
          <w:highlight w:val="none"/>
          <w14:textFill>
            <w14:solidFill>
              <w14:schemeClr w14:val="tx1"/>
            </w14:solidFill>
          </w14:textFill>
        </w:rPr>
      </w:pPr>
      <w:r>
        <w:rPr>
          <w:rFonts w:hint="eastAsia" w:ascii="Times New Roman" w:hAnsi="Times New Roman" w:eastAsia="仿宋_GB2312"/>
          <w:color w:val="000000" w:themeColor="text1"/>
          <w:sz w:val="32"/>
          <w:szCs w:val="32"/>
          <w:highlight w:val="none"/>
          <w14:textFill>
            <w14:solidFill>
              <w14:schemeClr w14:val="tx1"/>
            </w14:solidFill>
          </w14:textFill>
        </w:rPr>
        <w:t>社会保障和就业支出（类）行政事业单位养老支出（款）事业单位离退休</w:t>
      </w:r>
      <w:r>
        <w:rPr>
          <w:rFonts w:hint="eastAsia" w:ascii="Times New Roman" w:hAnsi="Times New Roman" w:eastAsia="仿宋_GB2312"/>
          <w:color w:val="000000" w:themeColor="text1"/>
          <w:sz w:val="32"/>
          <w:szCs w:val="32"/>
          <w:highlight w:val="none"/>
          <w:lang w:eastAsia="zh-CN"/>
          <w14:textFill>
            <w14:solidFill>
              <w14:schemeClr w14:val="tx1"/>
            </w14:solidFill>
          </w14:textFill>
        </w:rPr>
        <w:t>、机关事业单位基本养老保险缴费支出</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及其他行政事业单位养老支出</w:t>
      </w:r>
      <w:r>
        <w:rPr>
          <w:rFonts w:hint="eastAsia" w:ascii="Times New Roman" w:hAnsi="Times New Roman" w:eastAsia="仿宋_GB2312"/>
          <w:color w:val="000000" w:themeColor="text1"/>
          <w:sz w:val="32"/>
          <w:szCs w:val="32"/>
          <w:highlight w:val="none"/>
          <w14:textFill>
            <w14:solidFill>
              <w14:schemeClr w14:val="tx1"/>
            </w14:solidFill>
          </w14:textFill>
        </w:rPr>
        <w:t>（项）</w:t>
      </w:r>
    </w:p>
    <w:p>
      <w:pPr>
        <w:pStyle w:val="11"/>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default" w:ascii="Times New Roman" w:hAnsi="Times New Roman" w:eastAsia="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olor w:val="000000" w:themeColor="text1"/>
          <w:sz w:val="32"/>
          <w:szCs w:val="32"/>
          <w:highlight w:val="none"/>
          <w14:textFill>
            <w14:solidFill>
              <w14:schemeClr w14:val="tx1"/>
            </w14:solidFill>
          </w14:textFill>
        </w:rPr>
        <w:t>年初预算为25.86万元，支出决算为28.93万元，完成年初预算的111.88%，决算数</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大</w:t>
      </w:r>
      <w:r>
        <w:rPr>
          <w:rFonts w:hint="eastAsia" w:ascii="Times New Roman" w:hAnsi="Times New Roman" w:eastAsia="仿宋_GB2312"/>
          <w:color w:val="000000" w:themeColor="text1"/>
          <w:sz w:val="32"/>
          <w:szCs w:val="32"/>
          <w:highlight w:val="none"/>
          <w14:textFill>
            <w14:solidFill>
              <w14:schemeClr w14:val="tx1"/>
            </w14:solidFill>
          </w14:textFill>
        </w:rPr>
        <w:t>于年初预算数的主要原因是：</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执行差异。</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000000" w:themeColor="text1"/>
          <w:sz w:val="32"/>
          <w:szCs w:val="32"/>
          <w:highlight w:val="cyan"/>
          <w14:textFill>
            <w14:solidFill>
              <w14:schemeClr w14:val="tx1"/>
            </w14:solidFill>
          </w14:textFill>
        </w:rPr>
      </w:pP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4</w:t>
      </w:r>
      <w:r>
        <w:rPr>
          <w:rFonts w:hint="eastAsia" w:ascii="Times New Roman" w:hAnsi="Times New Roman" w:eastAsia="仿宋_GB2312"/>
          <w:color w:val="000000" w:themeColor="text1"/>
          <w:sz w:val="32"/>
          <w:szCs w:val="32"/>
          <w:highlight w:val="none"/>
          <w14:textFill>
            <w14:solidFill>
              <w14:schemeClr w14:val="tx1"/>
            </w14:solidFill>
          </w14:textFill>
        </w:rPr>
        <w:t>、社会保障和就业支出（类）退役安置（款）</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000000" w:themeColor="text1"/>
          <w:sz w:val="32"/>
          <w:szCs w:val="32"/>
          <w:highlight w:val="none"/>
          <w14:textFill>
            <w14:solidFill>
              <w14:schemeClr w14:val="tx1"/>
            </w14:solidFill>
          </w14:textFill>
        </w:rPr>
      </w:pPr>
      <w:r>
        <w:rPr>
          <w:rFonts w:hint="eastAsia" w:ascii="Times New Roman" w:hAnsi="Times New Roman" w:eastAsia="仿宋_GB2312"/>
          <w:color w:val="000000" w:themeColor="text1"/>
          <w:sz w:val="32"/>
          <w:szCs w:val="32"/>
          <w:highlight w:val="none"/>
          <w14:textFill>
            <w14:solidFill>
              <w14:schemeClr w14:val="tx1"/>
            </w14:solidFill>
          </w14:textFill>
        </w:rPr>
        <w:t>年初预算为34.36万元，支出决算为958.89万元，完成年初预算的2790.53%，决算数</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大</w:t>
      </w:r>
      <w:r>
        <w:rPr>
          <w:rFonts w:hint="eastAsia" w:ascii="Times New Roman" w:hAnsi="Times New Roman" w:eastAsia="仿宋_GB2312"/>
          <w:color w:val="000000" w:themeColor="text1"/>
          <w:sz w:val="32"/>
          <w:szCs w:val="32"/>
          <w:highlight w:val="none"/>
          <w14:textFill>
            <w14:solidFill>
              <w14:schemeClr w14:val="tx1"/>
            </w14:solidFill>
          </w14:textFill>
        </w:rPr>
        <w:t>于年初预算数的主要原因是：中央省级下拨资金未列入市级财政预算。</w:t>
      </w:r>
    </w:p>
    <w:p>
      <w:pPr>
        <w:pStyle w:val="11"/>
        <w:keepNext w:val="0"/>
        <w:keepLines w:val="0"/>
        <w:pageBreakBefore w:val="0"/>
        <w:widowControl w:val="0"/>
        <w:numPr>
          <w:ilvl w:val="0"/>
          <w:numId w:val="3"/>
        </w:numPr>
        <w:kinsoku/>
        <w:wordWrap/>
        <w:overflowPunct/>
        <w:topLinePunct w:val="0"/>
        <w:bidi w:val="0"/>
        <w:snapToGrid/>
        <w:spacing w:line="600" w:lineRule="exact"/>
        <w:ind w:firstLine="800" w:firstLineChars="250"/>
        <w:textAlignment w:val="auto"/>
        <w:rPr>
          <w:rFonts w:hint="eastAsia" w:ascii="Times New Roman" w:hAnsi="Times New Roman" w:eastAsia="仿宋_GB2312"/>
          <w:color w:val="000000" w:themeColor="text1"/>
          <w:sz w:val="32"/>
          <w:szCs w:val="32"/>
          <w:highlight w:val="none"/>
          <w14:textFill>
            <w14:solidFill>
              <w14:schemeClr w14:val="tx1"/>
            </w14:solidFill>
          </w14:textFill>
        </w:rPr>
      </w:pPr>
      <w:r>
        <w:rPr>
          <w:rFonts w:hint="eastAsia" w:ascii="Times New Roman" w:hAnsi="Times New Roman" w:eastAsia="仿宋_GB2312"/>
          <w:color w:val="000000" w:themeColor="text1"/>
          <w:sz w:val="32"/>
          <w:szCs w:val="32"/>
          <w:highlight w:val="none"/>
          <w14:textFill>
            <w14:solidFill>
              <w14:schemeClr w14:val="tx1"/>
            </w14:solidFill>
          </w14:textFill>
        </w:rPr>
        <w:t>社会保障和就业支出（类）退役军人管理事务（款）</w:t>
      </w:r>
    </w:p>
    <w:p>
      <w:pPr>
        <w:pStyle w:val="11"/>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default" w:ascii="Times New Roman" w:hAnsi="Times New Roman" w:eastAsia="仿宋_GB2312"/>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olor w:val="000000" w:themeColor="text1"/>
          <w:sz w:val="32"/>
          <w:szCs w:val="32"/>
          <w:highlight w:val="none"/>
          <w14:textFill>
            <w14:solidFill>
              <w14:schemeClr w14:val="tx1"/>
            </w14:solidFill>
          </w14:textFill>
        </w:rPr>
        <w:t>年初预算为</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0</w:t>
      </w:r>
      <w:r>
        <w:rPr>
          <w:rFonts w:hint="eastAsia" w:ascii="Times New Roman" w:hAnsi="Times New Roman" w:eastAsia="仿宋_GB2312"/>
          <w:color w:val="000000" w:themeColor="text1"/>
          <w:sz w:val="32"/>
          <w:szCs w:val="32"/>
          <w:highlight w:val="none"/>
          <w14:textFill>
            <w14:solidFill>
              <w14:schemeClr w14:val="tx1"/>
            </w14:solidFill>
          </w14:textFill>
        </w:rPr>
        <w:t>万元，支出决算为16.00万元，决算数</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大</w:t>
      </w:r>
      <w:r>
        <w:rPr>
          <w:rFonts w:hint="eastAsia" w:ascii="Times New Roman" w:hAnsi="Times New Roman" w:eastAsia="仿宋_GB2312"/>
          <w:color w:val="000000" w:themeColor="text1"/>
          <w:sz w:val="32"/>
          <w:szCs w:val="32"/>
          <w:highlight w:val="none"/>
          <w14:textFill>
            <w14:solidFill>
              <w14:schemeClr w14:val="tx1"/>
            </w14:solidFill>
          </w14:textFill>
        </w:rPr>
        <w:t>于年初预算数的主要原因是：</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预算调整。</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color w:val="000000" w:themeColor="text1"/>
          <w:sz w:val="32"/>
          <w:szCs w:val="32"/>
          <w:highlight w:val="none"/>
          <w14:textFill>
            <w14:solidFill>
              <w14:schemeClr w14:val="tx1"/>
            </w14:solidFill>
          </w14:textFill>
        </w:rPr>
      </w:pP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6</w:t>
      </w:r>
      <w:r>
        <w:rPr>
          <w:rFonts w:hint="eastAsia" w:ascii="Times New Roman" w:hAnsi="Times New Roman" w:eastAsia="仿宋_GB2312"/>
          <w:color w:val="000000" w:themeColor="text1"/>
          <w:sz w:val="32"/>
          <w:szCs w:val="32"/>
          <w:highlight w:val="none"/>
          <w14:textFill>
            <w14:solidFill>
              <w14:schemeClr w14:val="tx1"/>
            </w14:solidFill>
          </w14:textFill>
        </w:rPr>
        <w:t>、卫生健康支出（类）行政事业单位医疗（款）行政单位医疗（项）。</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000000" w:themeColor="text1"/>
          <w:sz w:val="32"/>
          <w:szCs w:val="32"/>
          <w:highlight w:val="none"/>
          <w:lang w:eastAsia="zh-CN"/>
          <w14:textFill>
            <w14:solidFill>
              <w14:schemeClr w14:val="tx1"/>
            </w14:solidFill>
          </w14:textFill>
        </w:rPr>
      </w:pPr>
      <w:r>
        <w:rPr>
          <w:rFonts w:hint="eastAsia" w:ascii="Times New Roman" w:hAnsi="Times New Roman" w:eastAsia="仿宋_GB2312"/>
          <w:color w:val="000000" w:themeColor="text1"/>
          <w:sz w:val="32"/>
          <w:szCs w:val="32"/>
          <w:highlight w:val="none"/>
          <w14:textFill>
            <w14:solidFill>
              <w14:schemeClr w14:val="tx1"/>
            </w14:solidFill>
          </w14:textFill>
        </w:rPr>
        <w:t>年初预算为</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4.16</w:t>
      </w:r>
      <w:r>
        <w:rPr>
          <w:rFonts w:hint="eastAsia" w:ascii="Times New Roman" w:hAnsi="Times New Roman" w:eastAsia="仿宋_GB2312"/>
          <w:color w:val="000000" w:themeColor="text1"/>
          <w:sz w:val="32"/>
          <w:szCs w:val="32"/>
          <w:highlight w:val="none"/>
          <w14:textFill>
            <w14:solidFill>
              <w14:schemeClr w14:val="tx1"/>
            </w14:solidFill>
          </w14:textFill>
        </w:rPr>
        <w:t>万元，支出决算为</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3.80</w:t>
      </w:r>
      <w:r>
        <w:rPr>
          <w:rFonts w:hint="eastAsia" w:ascii="Times New Roman" w:hAnsi="Times New Roman" w:eastAsia="仿宋_GB2312"/>
          <w:color w:val="000000" w:themeColor="text1"/>
          <w:sz w:val="32"/>
          <w:szCs w:val="32"/>
          <w:highlight w:val="none"/>
          <w14:textFill>
            <w14:solidFill>
              <w14:schemeClr w14:val="tx1"/>
            </w14:solidFill>
          </w14:textFill>
        </w:rPr>
        <w:t>万元，完成年初预算的</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91.35</w:t>
      </w:r>
      <w:r>
        <w:rPr>
          <w:rFonts w:hint="eastAsia" w:ascii="Times New Roman" w:hAnsi="Times New Roman" w:eastAsia="仿宋_GB2312"/>
          <w:color w:val="000000" w:themeColor="text1"/>
          <w:sz w:val="32"/>
          <w:szCs w:val="32"/>
          <w:highlight w:val="none"/>
          <w14:textFill>
            <w14:solidFill>
              <w14:schemeClr w14:val="tx1"/>
            </w14:solidFill>
          </w14:textFill>
        </w:rPr>
        <w:t>%，决算数</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小</w:t>
      </w:r>
      <w:r>
        <w:rPr>
          <w:rFonts w:hint="eastAsia" w:ascii="Times New Roman" w:hAnsi="Times New Roman" w:eastAsia="仿宋_GB2312"/>
          <w:color w:val="000000" w:themeColor="text1"/>
          <w:sz w:val="32"/>
          <w:szCs w:val="32"/>
          <w:highlight w:val="none"/>
          <w14:textFill>
            <w14:solidFill>
              <w14:schemeClr w14:val="tx1"/>
            </w14:solidFill>
          </w14:textFill>
        </w:rPr>
        <w:t>于年初预算数的主要原因是：</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执行差异。</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color w:val="000000" w:themeColor="text1"/>
          <w:sz w:val="32"/>
          <w:szCs w:val="32"/>
          <w:highlight w:val="none"/>
          <w14:textFill>
            <w14:solidFill>
              <w14:schemeClr w14:val="tx1"/>
            </w14:solidFill>
          </w14:textFill>
        </w:rPr>
      </w:pP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7</w:t>
      </w:r>
      <w:r>
        <w:rPr>
          <w:rFonts w:hint="eastAsia" w:ascii="Times New Roman" w:hAnsi="Times New Roman" w:eastAsia="仿宋_GB2312"/>
          <w:color w:val="000000" w:themeColor="text1"/>
          <w:sz w:val="32"/>
          <w:szCs w:val="32"/>
          <w:highlight w:val="none"/>
          <w14:textFill>
            <w14:solidFill>
              <w14:schemeClr w14:val="tx1"/>
            </w14:solidFill>
          </w14:textFill>
        </w:rPr>
        <w:t>、外交支出（类）国际发展合作（款）行政运行（项）。</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highlight w:val="cyan"/>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5.87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%，决算数</w:t>
      </w:r>
      <w:r>
        <w:rPr>
          <w:rFonts w:hint="eastAsia" w:ascii="Times New Roman" w:hAnsi="Times New Roman" w:eastAsia="仿宋_GB2312"/>
          <w:sz w:val="32"/>
          <w:szCs w:val="32"/>
          <w:highlight w:val="none"/>
          <w:lang w:val="en-US" w:eastAsia="zh-CN"/>
        </w:rPr>
        <w:t>小</w:t>
      </w:r>
      <w:r>
        <w:rPr>
          <w:rFonts w:hint="eastAsia" w:ascii="Times New Roman" w:hAnsi="Times New Roman" w:eastAsia="仿宋_GB2312"/>
          <w:sz w:val="32"/>
          <w:szCs w:val="32"/>
          <w:highlight w:val="none"/>
        </w:rPr>
        <w:t>于年初预算数的主要原因是：</w:t>
      </w:r>
      <w:r>
        <w:rPr>
          <w:rFonts w:hint="eastAsia" w:ascii="Times New Roman" w:hAnsi="Times New Roman" w:eastAsia="仿宋_GB2312"/>
          <w:sz w:val="32"/>
          <w:szCs w:val="32"/>
          <w:highlight w:val="none"/>
          <w:lang w:val="en-US" w:eastAsia="zh-CN"/>
        </w:rPr>
        <w:t>预算编制科目错误。</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年度财政拨款基本支出141.93万元，其中：</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rPr>
        <w:t>83.82万元，占基本支出的</w:t>
      </w:r>
      <w:r>
        <w:rPr>
          <w:rFonts w:hint="eastAsia" w:ascii="Times New Roman" w:hAnsi="Times New Roman" w:eastAsia="仿宋_GB2312"/>
          <w:sz w:val="32"/>
          <w:szCs w:val="32"/>
          <w:lang w:val="en-US" w:eastAsia="zh-CN"/>
        </w:rPr>
        <w:t>59.06</w:t>
      </w:r>
      <w:r>
        <w:rPr>
          <w:rFonts w:hint="eastAsia" w:ascii="Times New Roman" w:hAnsi="Times New Roman" w:eastAsia="仿宋_GB2312"/>
          <w:sz w:val="32"/>
          <w:szCs w:val="32"/>
        </w:rPr>
        <w:t>%,主要包括基本工资、津贴补贴、奖金、伙食补助费</w:t>
      </w:r>
      <w:r>
        <w:rPr>
          <w:rFonts w:hint="eastAsia" w:ascii="Times New Roman" w:hAnsi="Times New Roman" w:eastAsia="仿宋_GB2312"/>
          <w:sz w:val="32"/>
          <w:szCs w:val="32"/>
          <w:lang w:eastAsia="zh-CN"/>
        </w:rPr>
        <w:t>、对个人和家庭的补助。</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b/>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58.11</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40.94</w:t>
      </w:r>
      <w:r>
        <w:rPr>
          <w:rFonts w:hint="eastAsia" w:ascii="Times New Roman" w:hAnsi="Times New Roman" w:eastAsia="仿宋_GB2312"/>
          <w:sz w:val="32"/>
          <w:szCs w:val="32"/>
        </w:rPr>
        <w:t>%，主要包括办公费、劳务费</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 xml:space="preserve">  委托业务费</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工会经费</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福利费</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其他商品服务支出</w:t>
      </w:r>
      <w:r>
        <w:rPr>
          <w:rFonts w:hint="eastAsia" w:ascii="Times New Roman" w:hAnsi="Times New Roman" w:eastAsia="仿宋_GB2312"/>
          <w:sz w:val="32"/>
          <w:szCs w:val="32"/>
        </w:rPr>
        <w:t>。</w:t>
      </w:r>
    </w:p>
    <w:p>
      <w:pPr>
        <w:pStyle w:val="11"/>
        <w:keepNext w:val="0"/>
        <w:keepLines w:val="0"/>
        <w:pageBreakBefore w:val="0"/>
        <w:widowControl w:val="0"/>
        <w:numPr>
          <w:ilvl w:val="0"/>
          <w:numId w:val="4"/>
        </w:numPr>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财政拨款三公经费支出决算情况说明</w:t>
      </w:r>
    </w:p>
    <w:p>
      <w:pPr>
        <w:pStyle w:val="11"/>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“三公”经费财政拨款支出预算为</w:t>
      </w:r>
      <w:r>
        <w:rPr>
          <w:rFonts w:hint="eastAsia" w:ascii="Times New Roman" w:hAnsi="Times New Roman" w:eastAsia="仿宋_GB2312"/>
          <w:sz w:val="32"/>
          <w:szCs w:val="32"/>
          <w:highlight w:val="none"/>
          <w:lang w:val="en-US" w:eastAsia="zh-CN"/>
        </w:rPr>
        <w:t>11.73</w:t>
      </w:r>
      <w:r>
        <w:rPr>
          <w:rFonts w:hint="eastAsia" w:ascii="Times New Roman" w:hAnsi="Times New Roman" w:eastAsia="仿宋_GB2312"/>
          <w:sz w:val="32"/>
          <w:szCs w:val="32"/>
          <w:highlight w:val="none"/>
        </w:rPr>
        <w:t>万元，支出决算为</w:t>
      </w:r>
      <w:r>
        <w:rPr>
          <w:rFonts w:hint="eastAsia" w:ascii="Times New Roman" w:hAnsi="Times New Roman" w:eastAsia="仿宋_GB2312"/>
          <w:sz w:val="32"/>
          <w:szCs w:val="32"/>
          <w:highlight w:val="none"/>
          <w:lang w:val="en-US" w:eastAsia="zh-CN"/>
        </w:rPr>
        <w:t>2.84</w:t>
      </w:r>
      <w:r>
        <w:rPr>
          <w:rFonts w:hint="eastAsia" w:ascii="Times New Roman" w:hAnsi="Times New Roman" w:eastAsia="仿宋_GB2312"/>
          <w:sz w:val="32"/>
          <w:szCs w:val="32"/>
          <w:highlight w:val="none"/>
        </w:rPr>
        <w:t>万元，完成预算的</w:t>
      </w:r>
      <w:r>
        <w:rPr>
          <w:rFonts w:hint="eastAsia" w:ascii="Times New Roman" w:hAnsi="Times New Roman" w:eastAsia="仿宋_GB2312"/>
          <w:sz w:val="32"/>
          <w:szCs w:val="32"/>
          <w:highlight w:val="none"/>
          <w:lang w:val="en-US" w:eastAsia="zh-CN"/>
        </w:rPr>
        <w:t>24.21</w:t>
      </w:r>
      <w:r>
        <w:rPr>
          <w:rFonts w:hint="eastAsia" w:ascii="Times New Roman" w:hAnsi="Times New Roman" w:eastAsia="仿宋_GB2312"/>
          <w:sz w:val="32"/>
          <w:szCs w:val="32"/>
          <w:highlight w:val="none"/>
        </w:rPr>
        <w:t>%，其中：</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因公出国（境）费支出预算为</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万元，支出决算为</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rPr>
        <w:t>公务接待费支出预算为</w:t>
      </w:r>
      <w:r>
        <w:rPr>
          <w:rFonts w:hint="eastAsia" w:ascii="Times New Roman" w:hAnsi="Times New Roman" w:eastAsia="仿宋_GB2312"/>
          <w:sz w:val="32"/>
          <w:szCs w:val="32"/>
          <w:highlight w:val="none"/>
          <w:lang w:val="en-US" w:eastAsia="zh-CN"/>
        </w:rPr>
        <w:t>0.16</w:t>
      </w:r>
      <w:r>
        <w:rPr>
          <w:rFonts w:hint="eastAsia" w:ascii="Times New Roman" w:hAnsi="Times New Roman" w:eastAsia="仿宋_GB2312"/>
          <w:sz w:val="32"/>
          <w:szCs w:val="32"/>
          <w:highlight w:val="none"/>
        </w:rPr>
        <w:t>万元，支出决算为</w:t>
      </w:r>
      <w:r>
        <w:rPr>
          <w:rFonts w:hint="eastAsia" w:ascii="Times New Roman" w:hAnsi="Times New Roman" w:eastAsia="仿宋_GB2312"/>
          <w:sz w:val="32"/>
          <w:szCs w:val="32"/>
          <w:highlight w:val="none"/>
          <w:lang w:val="en-US" w:eastAsia="zh-CN"/>
        </w:rPr>
        <w:t>0.16</w:t>
      </w:r>
      <w:r>
        <w:rPr>
          <w:rFonts w:hint="eastAsia" w:ascii="Times New Roman" w:hAnsi="Times New Roman" w:eastAsia="仿宋_GB2312"/>
          <w:sz w:val="32"/>
          <w:szCs w:val="32"/>
          <w:highlight w:val="none"/>
        </w:rPr>
        <w:t>万元，完成预算的</w:t>
      </w:r>
      <w:r>
        <w:rPr>
          <w:rFonts w:hint="eastAsia" w:ascii="Times New Roman" w:hAnsi="Times New Roman" w:eastAsia="仿宋_GB2312"/>
          <w:sz w:val="32"/>
          <w:szCs w:val="32"/>
          <w:highlight w:val="none"/>
          <w:lang w:val="en-US" w:eastAsia="zh-CN"/>
        </w:rPr>
        <w:t>100</w:t>
      </w:r>
      <w:r>
        <w:rPr>
          <w:rFonts w:hint="eastAsia" w:ascii="Times New Roman" w:hAnsi="Times New Roman" w:eastAsia="仿宋_GB2312"/>
          <w:sz w:val="32"/>
          <w:szCs w:val="32"/>
          <w:highlight w:val="none"/>
        </w:rPr>
        <w:t>%，与上年相比</w:t>
      </w:r>
      <w:r>
        <w:rPr>
          <w:rFonts w:hint="eastAsia" w:ascii="Times New Roman" w:hAnsi="Times New Roman" w:eastAsia="仿宋_GB2312"/>
          <w:sz w:val="32"/>
          <w:szCs w:val="32"/>
          <w:highlight w:val="none"/>
          <w:lang w:val="en-US" w:eastAsia="zh-CN"/>
        </w:rPr>
        <w:t>增加0.16</w:t>
      </w:r>
      <w:r>
        <w:rPr>
          <w:rFonts w:hint="eastAsia" w:ascii="Times New Roman" w:hAnsi="Times New Roman" w:eastAsia="仿宋_GB2312"/>
          <w:sz w:val="32"/>
          <w:szCs w:val="32"/>
          <w:highlight w:val="none"/>
        </w:rPr>
        <w:t>万元，</w:t>
      </w:r>
      <w:r>
        <w:rPr>
          <w:rFonts w:hint="eastAsia" w:ascii="Times New Roman" w:hAnsi="Times New Roman" w:eastAsia="仿宋_GB2312"/>
          <w:sz w:val="32"/>
          <w:szCs w:val="32"/>
          <w:highlight w:val="none"/>
          <w:lang w:val="en-US" w:eastAsia="zh-CN"/>
        </w:rPr>
        <w:t>增加</w:t>
      </w:r>
      <w:r>
        <w:rPr>
          <w:rFonts w:hint="eastAsia" w:ascii="Times New Roman" w:hAnsi="Times New Roman" w:eastAsia="仿宋_GB2312"/>
          <w:sz w:val="32"/>
          <w:szCs w:val="32"/>
          <w:highlight w:val="none"/>
        </w:rPr>
        <w:t>的主要原因是</w:t>
      </w:r>
      <w:r>
        <w:rPr>
          <w:rFonts w:hint="eastAsia" w:ascii="Times New Roman" w:hAnsi="Times New Roman" w:eastAsia="仿宋_GB2312"/>
          <w:sz w:val="32"/>
          <w:szCs w:val="32"/>
          <w:highlight w:val="none"/>
          <w:lang w:val="en-US" w:eastAsia="zh-CN"/>
        </w:rPr>
        <w:t>上年度无发生额</w:t>
      </w:r>
      <w:r>
        <w:rPr>
          <w:rFonts w:hint="eastAsia" w:ascii="Times New Roman" w:hAnsi="Times New Roman" w:eastAsia="仿宋_GB2312"/>
          <w:sz w:val="32"/>
          <w:szCs w:val="32"/>
          <w:highlight w:val="none"/>
        </w:rPr>
        <w:t>。</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公务用车购置费支出预算为</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万元，支出决算为</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公务用车运行维护费支出预算为</w:t>
      </w:r>
      <w:r>
        <w:rPr>
          <w:rFonts w:hint="eastAsia" w:ascii="Times New Roman" w:hAnsi="Times New Roman" w:eastAsia="仿宋_GB2312"/>
          <w:sz w:val="32"/>
          <w:szCs w:val="32"/>
          <w:highlight w:val="none"/>
          <w:lang w:val="en-US" w:eastAsia="zh-CN"/>
        </w:rPr>
        <w:t>9.45</w:t>
      </w:r>
      <w:r>
        <w:rPr>
          <w:rFonts w:hint="eastAsia" w:ascii="Times New Roman" w:hAnsi="Times New Roman" w:eastAsia="仿宋_GB2312"/>
          <w:sz w:val="32"/>
          <w:szCs w:val="32"/>
          <w:highlight w:val="none"/>
        </w:rPr>
        <w:t>万元，支出决算为</w:t>
      </w:r>
      <w:r>
        <w:rPr>
          <w:rFonts w:hint="eastAsia" w:ascii="Times New Roman" w:hAnsi="Times New Roman" w:eastAsia="仿宋_GB2312"/>
          <w:sz w:val="32"/>
          <w:szCs w:val="32"/>
          <w:highlight w:val="none"/>
          <w:lang w:val="en-US" w:eastAsia="zh-CN"/>
        </w:rPr>
        <w:t>2.68</w:t>
      </w:r>
      <w:r>
        <w:rPr>
          <w:rFonts w:hint="eastAsia" w:ascii="Times New Roman" w:hAnsi="Times New Roman" w:eastAsia="仿宋_GB2312"/>
          <w:sz w:val="32"/>
          <w:szCs w:val="32"/>
          <w:highlight w:val="none"/>
        </w:rPr>
        <w:t>万元，完成预算的</w:t>
      </w:r>
      <w:r>
        <w:rPr>
          <w:rFonts w:hint="eastAsia" w:ascii="Times New Roman" w:hAnsi="Times New Roman" w:eastAsia="仿宋_GB2312"/>
          <w:sz w:val="32"/>
          <w:szCs w:val="32"/>
          <w:highlight w:val="none"/>
          <w:lang w:val="en-US" w:eastAsia="zh-CN"/>
        </w:rPr>
        <w:t>28.36</w:t>
      </w:r>
      <w:r>
        <w:rPr>
          <w:rFonts w:hint="eastAsia" w:ascii="Times New Roman" w:hAnsi="Times New Roman" w:eastAsia="仿宋_GB2312"/>
          <w:sz w:val="32"/>
          <w:szCs w:val="32"/>
          <w:highlight w:val="none"/>
        </w:rPr>
        <w:t>%，决算数小于预算数的主要原因是</w:t>
      </w:r>
      <w:r>
        <w:rPr>
          <w:rFonts w:hint="eastAsia" w:ascii="Times New Roman" w:hAnsi="Times New Roman" w:eastAsia="仿宋_GB2312"/>
          <w:sz w:val="32"/>
          <w:szCs w:val="32"/>
          <w:highlight w:val="none"/>
          <w:lang w:val="en-US" w:eastAsia="zh-CN"/>
        </w:rPr>
        <w:t>本机构被合并，对应支出随之转移</w:t>
      </w:r>
      <w:r>
        <w:rPr>
          <w:rFonts w:hint="eastAsia" w:ascii="Times New Roman" w:hAnsi="Times New Roman" w:eastAsia="仿宋_GB2312"/>
          <w:sz w:val="32"/>
          <w:szCs w:val="32"/>
          <w:highlight w:val="none"/>
        </w:rPr>
        <w:t>，与上年相比减少</w:t>
      </w:r>
      <w:r>
        <w:rPr>
          <w:rFonts w:hint="eastAsia" w:ascii="Times New Roman" w:hAnsi="Times New Roman" w:eastAsia="仿宋_GB2312"/>
          <w:sz w:val="32"/>
          <w:szCs w:val="32"/>
          <w:highlight w:val="none"/>
          <w:lang w:val="en-US" w:eastAsia="zh-CN"/>
        </w:rPr>
        <w:t>4.09</w:t>
      </w:r>
      <w:r>
        <w:rPr>
          <w:rFonts w:hint="eastAsia" w:ascii="Times New Roman" w:hAnsi="Times New Roman" w:eastAsia="仿宋_GB2312"/>
          <w:sz w:val="32"/>
          <w:szCs w:val="32"/>
          <w:highlight w:val="none"/>
        </w:rPr>
        <w:t>万元，减少</w:t>
      </w:r>
      <w:r>
        <w:rPr>
          <w:rFonts w:hint="eastAsia" w:ascii="Times New Roman" w:hAnsi="Times New Roman" w:eastAsia="仿宋_GB2312"/>
          <w:sz w:val="32"/>
          <w:szCs w:val="32"/>
          <w:highlight w:val="none"/>
          <w:lang w:val="en-US" w:eastAsia="zh-CN"/>
        </w:rPr>
        <w:t>60.41</w:t>
      </w:r>
      <w:r>
        <w:rPr>
          <w:rFonts w:hint="eastAsia" w:ascii="Times New Roman" w:hAnsi="Times New Roman" w:eastAsia="仿宋_GB2312"/>
          <w:sz w:val="32"/>
          <w:szCs w:val="32"/>
          <w:highlight w:val="none"/>
        </w:rPr>
        <w:t>%，减少的主要原因是</w:t>
      </w:r>
      <w:r>
        <w:rPr>
          <w:rFonts w:hint="eastAsia" w:ascii="Times New Roman" w:hAnsi="Times New Roman" w:eastAsia="仿宋_GB2312"/>
          <w:sz w:val="32"/>
          <w:szCs w:val="32"/>
          <w:highlight w:val="none"/>
          <w:lang w:val="en-US" w:eastAsia="zh-CN"/>
        </w:rPr>
        <w:t>本机构被合并，支出随之转移</w:t>
      </w:r>
      <w:r>
        <w:rPr>
          <w:rFonts w:hint="eastAsia" w:ascii="Times New Roman" w:hAnsi="Times New Roman" w:eastAsia="仿宋_GB2312"/>
          <w:sz w:val="32"/>
          <w:szCs w:val="32"/>
          <w:highlight w:val="none"/>
        </w:rPr>
        <w:t>。</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highlight w:val="none"/>
        </w:rPr>
      </w:pPr>
      <w:r>
        <w:rPr>
          <w:rFonts w:hint="eastAsia" w:ascii="楷体" w:hAnsi="楷体" w:eastAsia="楷体" w:cs="楷体"/>
          <w:b/>
          <w:bCs w:val="0"/>
          <w:sz w:val="32"/>
          <w:szCs w:val="32"/>
          <w:highlight w:val="none"/>
        </w:rPr>
        <w:t>（二）“三公”经费财政拨款支出决算具体情况说明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highlight w:val="none"/>
        </w:rPr>
        <w:t>202</w:t>
      </w:r>
      <w:r>
        <w:rPr>
          <w:rFonts w:hint="eastAsia" w:ascii="Times New Roman" w:hAnsi="Times New Roman" w:eastAsia="仿宋_GB2312"/>
          <w:sz w:val="32"/>
          <w:szCs w:val="32"/>
          <w:highlight w:val="none"/>
          <w:lang w:val="en-US" w:eastAsia="zh-CN"/>
        </w:rPr>
        <w:t>2</w:t>
      </w:r>
      <w:r>
        <w:rPr>
          <w:rFonts w:hint="eastAsia" w:ascii="Times New Roman" w:hAnsi="Times New Roman" w:eastAsia="仿宋_GB2312"/>
          <w:sz w:val="32"/>
          <w:szCs w:val="32"/>
          <w:highlight w:val="none"/>
        </w:rPr>
        <w:t>年度“三公”经费财政拨款支出决算中，公务</w:t>
      </w:r>
      <w:r>
        <w:rPr>
          <w:rFonts w:hint="eastAsia" w:ascii="Times New Roman" w:hAnsi="Times New Roman" w:eastAsia="仿宋_GB2312"/>
          <w:sz w:val="32"/>
          <w:szCs w:val="32"/>
        </w:rPr>
        <w:t>接待费支出决算</w:t>
      </w:r>
      <w:r>
        <w:rPr>
          <w:rFonts w:hint="eastAsia" w:ascii="Times New Roman" w:hAnsi="Times New Roman" w:eastAsia="仿宋_GB2312"/>
          <w:sz w:val="32"/>
          <w:szCs w:val="32"/>
          <w:lang w:val="en-US" w:eastAsia="zh-CN"/>
        </w:rPr>
        <w:t>0.16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5.63</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2.68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94.37</w:t>
      </w:r>
      <w:r>
        <w:rPr>
          <w:rFonts w:hint="eastAsia" w:ascii="Times New Roman" w:hAnsi="Times New Roman" w:eastAsia="仿宋_GB2312"/>
          <w:sz w:val="32"/>
          <w:szCs w:val="32"/>
        </w:rPr>
        <w:t>%。其中：</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楷体" w:hAnsi="楷体" w:eastAsia="仿宋_GB2312" w:cs="楷体"/>
          <w:b/>
          <w:bCs/>
          <w:i/>
          <w:color w:val="auto"/>
          <w:sz w:val="32"/>
          <w:szCs w:val="32"/>
          <w:lang w:val="en-US"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Times New Roman" w:hAnsi="Times New Roman" w:eastAsia="仿宋_GB2312"/>
          <w:sz w:val="32"/>
          <w:szCs w:val="32"/>
          <w:lang w:eastAsia="zh-CN"/>
        </w:rPr>
        <w:t>。</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2、公务接待费支出决算为</w:t>
      </w:r>
      <w:r>
        <w:rPr>
          <w:rFonts w:hint="eastAsia" w:ascii="Times New Roman" w:hAnsi="Times New Roman" w:eastAsia="仿宋_GB2312"/>
          <w:sz w:val="32"/>
          <w:szCs w:val="32"/>
          <w:highlight w:val="none"/>
          <w:lang w:val="en-US" w:eastAsia="zh-CN"/>
        </w:rPr>
        <w:t>0.16</w:t>
      </w:r>
      <w:r>
        <w:rPr>
          <w:rFonts w:hint="eastAsia" w:ascii="Times New Roman" w:hAnsi="Times New Roman" w:eastAsia="仿宋_GB2312"/>
          <w:sz w:val="32"/>
          <w:szCs w:val="32"/>
          <w:highlight w:val="none"/>
        </w:rPr>
        <w:t>万元，全年共接待来访团组</w:t>
      </w:r>
      <w:r>
        <w:rPr>
          <w:rFonts w:hint="eastAsia" w:ascii="Times New Roman" w:hAnsi="Times New Roman" w:eastAsia="仿宋_GB2312"/>
          <w:sz w:val="32"/>
          <w:szCs w:val="32"/>
          <w:highlight w:val="none"/>
          <w:lang w:val="en-US" w:eastAsia="zh-CN"/>
        </w:rPr>
        <w:t>2</w:t>
      </w:r>
      <w:r>
        <w:rPr>
          <w:rFonts w:hint="eastAsia" w:ascii="Times New Roman" w:hAnsi="Times New Roman" w:eastAsia="仿宋_GB2312"/>
          <w:sz w:val="32"/>
          <w:szCs w:val="32"/>
          <w:highlight w:val="none"/>
        </w:rPr>
        <w:t>个、来宾</w:t>
      </w:r>
      <w:r>
        <w:rPr>
          <w:rFonts w:hint="eastAsia" w:ascii="Times New Roman" w:hAnsi="Times New Roman" w:eastAsia="仿宋_GB2312"/>
          <w:sz w:val="32"/>
          <w:szCs w:val="32"/>
          <w:highlight w:val="none"/>
          <w:lang w:val="en-US" w:eastAsia="zh-CN"/>
        </w:rPr>
        <w:t>11人，1</w:t>
      </w:r>
      <w:r>
        <w:rPr>
          <w:rFonts w:hint="eastAsia" w:ascii="Times New Roman" w:hAnsi="Times New Roman" w:eastAsia="仿宋_GB2312"/>
          <w:sz w:val="32"/>
          <w:szCs w:val="32"/>
          <w:highlight w:val="none"/>
        </w:rPr>
        <w:t>次</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主要是</w:t>
      </w:r>
      <w:r>
        <w:rPr>
          <w:rFonts w:hint="eastAsia" w:ascii="Times New Roman" w:hAnsi="Times New Roman" w:eastAsia="仿宋_GB2312"/>
          <w:sz w:val="32"/>
          <w:szCs w:val="32"/>
          <w:highlight w:val="none"/>
          <w:lang w:eastAsia="zh-CN"/>
        </w:rPr>
        <w:t>军休业务交流</w:t>
      </w:r>
      <w:r>
        <w:rPr>
          <w:rFonts w:hint="eastAsia" w:ascii="Times New Roman" w:hAnsi="Times New Roman" w:eastAsia="仿宋_GB2312"/>
          <w:sz w:val="32"/>
          <w:szCs w:val="32"/>
          <w:highlight w:val="none"/>
        </w:rPr>
        <w:t>发生的接待支出。</w:t>
      </w:r>
    </w:p>
    <w:p>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2.68</w:t>
      </w:r>
      <w:r>
        <w:rPr>
          <w:rFonts w:hint="eastAsia" w:ascii="Times New Roman" w:hAnsi="Times New Roman" w:eastAsia="仿宋_GB2312"/>
          <w:sz w:val="32"/>
          <w:szCs w:val="32"/>
        </w:rPr>
        <w:t>万元，其中：公务用</w:t>
      </w:r>
      <w:r>
        <w:rPr>
          <w:rFonts w:hint="eastAsia" w:ascii="Times New Roman" w:hAnsi="Times New Roman" w:eastAsia="仿宋_GB2312"/>
          <w:sz w:val="32"/>
          <w:szCs w:val="32"/>
          <w:highlight w:val="none"/>
        </w:rPr>
        <w:t>车购置费</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万元，更新公务用车</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辆</w:t>
      </w:r>
      <w:r>
        <w:rPr>
          <w:rFonts w:hint="eastAsia" w:ascii="Times New Roman" w:hAnsi="Times New Roman" w:eastAsia="仿宋_GB2312"/>
          <w:color w:val="000000" w:themeColor="text1"/>
          <w:sz w:val="32"/>
          <w:szCs w:val="32"/>
          <w:highlight w:val="none"/>
          <w14:textFill>
            <w14:solidFill>
              <w14:schemeClr w14:val="tx1"/>
            </w14:solidFill>
          </w14:textFill>
        </w:rPr>
        <w:t>。</w:t>
      </w:r>
      <w:r>
        <w:rPr>
          <w:rFonts w:hint="eastAsia" w:ascii="Times New Roman" w:hAnsi="Times New Roman" w:eastAsia="仿宋_GB2312"/>
          <w:sz w:val="32"/>
          <w:szCs w:val="32"/>
          <w:highlight w:val="none"/>
        </w:rPr>
        <w:t>公务用车运行维护费</w:t>
      </w:r>
      <w:r>
        <w:rPr>
          <w:rFonts w:hint="eastAsia" w:ascii="Times New Roman" w:hAnsi="Times New Roman" w:eastAsia="仿宋_GB2312"/>
          <w:sz w:val="32"/>
          <w:szCs w:val="32"/>
          <w:highlight w:val="none"/>
          <w:lang w:val="en-US" w:eastAsia="zh-CN"/>
        </w:rPr>
        <w:t>2.68</w:t>
      </w:r>
      <w:r>
        <w:rPr>
          <w:rFonts w:hint="eastAsia" w:ascii="Times New Roman" w:hAnsi="Times New Roman" w:eastAsia="仿宋_GB2312"/>
          <w:sz w:val="32"/>
          <w:szCs w:val="32"/>
          <w:highlight w:val="none"/>
        </w:rPr>
        <w:t>万元，主要是</w:t>
      </w:r>
      <w:r>
        <w:rPr>
          <w:rFonts w:hint="eastAsia" w:ascii="仿宋_GB2312" w:hAnsi="仿宋" w:eastAsia="仿宋_GB2312" w:cs="仿宋"/>
          <w:color w:val="auto"/>
          <w:kern w:val="2"/>
          <w:sz w:val="32"/>
          <w:szCs w:val="32"/>
          <w:highlight w:val="none"/>
          <w:lang w:val="en-US" w:eastAsia="zh-CN" w:bidi="ar-SA"/>
        </w:rPr>
        <w:t>老干服务用车开支</w:t>
      </w:r>
      <w:r>
        <w:rPr>
          <w:rFonts w:hint="eastAsia" w:ascii="Times New Roman" w:hAnsi="Times New Roman" w:eastAsia="仿宋_GB2312"/>
          <w:sz w:val="32"/>
          <w:szCs w:val="32"/>
          <w:highlight w:val="none"/>
        </w:rPr>
        <w:t>，截止202</w:t>
      </w:r>
      <w:r>
        <w:rPr>
          <w:rFonts w:hint="eastAsia" w:ascii="Times New Roman" w:hAnsi="Times New Roman" w:eastAsia="仿宋_GB2312"/>
          <w:sz w:val="32"/>
          <w:szCs w:val="32"/>
          <w:highlight w:val="none"/>
          <w:lang w:val="en-US" w:eastAsia="zh-CN"/>
        </w:rPr>
        <w:t>2</w:t>
      </w:r>
      <w:r>
        <w:rPr>
          <w:rFonts w:hint="eastAsia" w:ascii="Times New Roman" w:hAnsi="Times New Roman" w:eastAsia="仿宋_GB2312"/>
          <w:sz w:val="32"/>
          <w:szCs w:val="32"/>
          <w:highlight w:val="none"/>
        </w:rPr>
        <w:t>年12月31日，我单位开支财政拨款的公务用车保有量为</w:t>
      </w:r>
      <w:r>
        <w:rPr>
          <w:rFonts w:hint="eastAsia" w:ascii="Times New Roman" w:hAnsi="Times New Roman" w:eastAsia="仿宋_GB2312"/>
          <w:sz w:val="32"/>
          <w:szCs w:val="32"/>
          <w:highlight w:val="none"/>
          <w:lang w:val="en-US" w:eastAsia="zh-CN"/>
        </w:rPr>
        <w:t>2</w:t>
      </w:r>
      <w:r>
        <w:rPr>
          <w:rFonts w:hint="eastAsia" w:ascii="Times New Roman" w:hAnsi="Times New Roman" w:eastAsia="仿宋_GB2312"/>
          <w:sz w:val="32"/>
          <w:szCs w:val="32"/>
        </w:rPr>
        <w:t>辆。</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pPr>
        <w:pStyle w:val="11"/>
        <w:keepNext w:val="0"/>
        <w:keepLines w:val="0"/>
        <w:pageBreakBefore w:val="0"/>
        <w:widowControl w:val="0"/>
        <w:kinsoku/>
        <w:wordWrap/>
        <w:overflowPunct/>
        <w:topLinePunct w:val="0"/>
        <w:bidi w:val="0"/>
        <w:snapToGrid/>
        <w:spacing w:line="600" w:lineRule="exact"/>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年度政府性基金预算财政拨款收入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rPr>
      </w:pPr>
      <w:r>
        <w:rPr>
          <w:rFonts w:hint="eastAsia" w:ascii="Times New Roman" w:hAnsi="Times New Roman" w:eastAsia="仿宋_GB2312"/>
          <w:sz w:val="32"/>
          <w:szCs w:val="32"/>
          <w:lang w:val="en-US" w:eastAsia="zh-CN"/>
        </w:rPr>
        <w:t>我单位无政府性基金收支</w:t>
      </w:r>
      <w:r>
        <w:rPr>
          <w:rFonts w:hint="eastAsia" w:ascii="Times New Roman" w:hAnsi="Times New Roman" w:eastAsia="仿宋_GB2312"/>
          <w:sz w:val="32"/>
          <w:szCs w:val="32"/>
        </w:rPr>
        <w:t>。</w:t>
      </w:r>
    </w:p>
    <w:p>
      <w:pPr>
        <w:pStyle w:val="11"/>
        <w:numPr>
          <w:ilvl w:val="0"/>
          <w:numId w:val="0"/>
        </w:numPr>
        <w:ind w:leftChars="200"/>
        <w:rPr>
          <w:rFonts w:hint="eastAsia" w:ascii="黑体" w:hAnsi="黑体" w:eastAsia="黑体" w:cs="黑体"/>
          <w:color w:val="auto"/>
          <w:kern w:val="2"/>
          <w:sz w:val="32"/>
          <w:szCs w:val="32"/>
          <w:lang w:eastAsia="zh-CN"/>
        </w:rPr>
      </w:pPr>
      <w:r>
        <w:rPr>
          <w:rFonts w:hint="eastAsia" w:hAnsi="黑体" w:cs="黑体"/>
          <w:color w:val="auto"/>
          <w:kern w:val="2"/>
          <w:sz w:val="32"/>
          <w:szCs w:val="32"/>
          <w:lang w:eastAsia="zh-CN"/>
        </w:rPr>
        <w:t>九、</w:t>
      </w:r>
      <w:r>
        <w:rPr>
          <w:rFonts w:hint="eastAsia" w:ascii="黑体" w:hAnsi="黑体" w:eastAsia="黑体" w:cs="黑体"/>
          <w:color w:val="auto"/>
          <w:kern w:val="2"/>
          <w:sz w:val="32"/>
          <w:szCs w:val="32"/>
          <w:lang w:eastAsia="zh-CN"/>
        </w:rPr>
        <w:t>国有资本经营预算财政拨款</w:t>
      </w:r>
      <w:r>
        <w:rPr>
          <w:rFonts w:hint="eastAsia" w:hAnsi="黑体" w:cs="黑体"/>
          <w:color w:val="auto"/>
          <w:kern w:val="2"/>
          <w:sz w:val="32"/>
          <w:szCs w:val="32"/>
          <w:lang w:eastAsia="zh-CN"/>
        </w:rPr>
        <w:t>收入</w:t>
      </w:r>
      <w:r>
        <w:rPr>
          <w:rFonts w:hint="eastAsia" w:ascii="黑体" w:hAnsi="黑体" w:eastAsia="黑体" w:cs="黑体"/>
          <w:color w:val="auto"/>
          <w:kern w:val="2"/>
          <w:sz w:val="32"/>
          <w:szCs w:val="32"/>
          <w:lang w:eastAsia="zh-CN"/>
        </w:rPr>
        <w:t>支出决算情况</w:t>
      </w:r>
    </w:p>
    <w:p>
      <w:pPr>
        <w:pStyle w:val="11"/>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b/>
          <w:sz w:val="32"/>
          <w:szCs w:val="32"/>
        </w:rPr>
      </w:pPr>
      <w:r>
        <w:rPr>
          <w:rFonts w:hint="eastAsia" w:ascii="仿宋" w:hAnsi="仿宋" w:eastAsia="仿宋" w:cs="仿宋"/>
          <w:color w:val="auto"/>
          <w:kern w:val="2"/>
          <w:sz w:val="32"/>
          <w:szCs w:val="32"/>
          <w:lang w:eastAsia="zh-CN"/>
        </w:rPr>
        <w:t>本单位无国有资本经营预算收入和支出。</w:t>
      </w:r>
    </w:p>
    <w:p>
      <w:pPr>
        <w:pStyle w:val="11"/>
        <w:keepNext w:val="0"/>
        <w:keepLines w:val="0"/>
        <w:pageBreakBefore w:val="0"/>
        <w:widowControl w:val="0"/>
        <w:numPr>
          <w:ilvl w:val="0"/>
          <w:numId w:val="0"/>
        </w:numPr>
        <w:kinsoku/>
        <w:wordWrap/>
        <w:overflowPunct/>
        <w:topLinePunct w:val="0"/>
        <w:bidi w:val="0"/>
        <w:snapToGrid/>
        <w:spacing w:line="600" w:lineRule="exact"/>
        <w:ind w:leftChars="200" w:firstLine="320" w:firstLineChars="100"/>
        <w:textAlignment w:val="auto"/>
        <w:rPr>
          <w:rFonts w:hint="eastAsia" w:ascii="Times New Roman" w:hAnsi="Times New Roman" w:eastAsia="仿宋_GB2312"/>
          <w:b/>
          <w:sz w:val="32"/>
          <w:szCs w:val="32"/>
        </w:rPr>
      </w:pPr>
      <w:r>
        <w:rPr>
          <w:rFonts w:hint="eastAsia" w:ascii="Times New Roman" w:hAnsi="Times New Roman" w:eastAsia="仿宋_GB2312"/>
          <w:b/>
          <w:sz w:val="32"/>
          <w:szCs w:val="32"/>
          <w:lang w:eastAsia="zh-CN"/>
        </w:rPr>
        <w:t>十、</w:t>
      </w:r>
      <w:r>
        <w:rPr>
          <w:rFonts w:hint="eastAsia" w:ascii="Times New Roman" w:hAnsi="Times New Roman" w:eastAsia="仿宋_GB2312"/>
          <w:b/>
          <w:sz w:val="32"/>
          <w:szCs w:val="32"/>
        </w:rPr>
        <w:t>关于机关运行经费支出说明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highlight w:val="none"/>
          <w:lang w:eastAsia="zh-CN"/>
        </w:rPr>
        <w:t>我单位为事业单位，无机关运行经费支出。</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一</w:t>
      </w:r>
      <w:r>
        <w:rPr>
          <w:rFonts w:hint="eastAsia" w:ascii="黑体" w:hAnsi="黑体" w:eastAsia="黑体" w:cs="黑体"/>
          <w:b w:val="0"/>
          <w:bCs/>
          <w:sz w:val="32"/>
          <w:szCs w:val="32"/>
        </w:rPr>
        <w:t>、一般性支出情况说明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无会议、节庆等活动</w:t>
      </w:r>
      <w:r>
        <w:rPr>
          <w:rFonts w:hint="eastAsia" w:ascii="Times New Roman" w:hAnsi="Times New Roman" w:eastAsia="仿宋_GB2312"/>
          <w:sz w:val="32"/>
          <w:szCs w:val="32"/>
        </w:rPr>
        <w:t>。</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二</w:t>
      </w:r>
      <w:r>
        <w:rPr>
          <w:rFonts w:hint="eastAsia" w:ascii="黑体" w:hAnsi="黑体" w:eastAsia="黑体" w:cs="黑体"/>
          <w:b w:val="0"/>
          <w:bCs/>
          <w:sz w:val="32"/>
          <w:szCs w:val="32"/>
        </w:rPr>
        <w:t>、关于政府采购支出说明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highlight w:val="none"/>
        </w:rPr>
        <w:t>本部门202</w:t>
      </w:r>
      <w:r>
        <w:rPr>
          <w:rFonts w:hint="eastAsia" w:ascii="Times New Roman" w:hAnsi="Times New Roman" w:eastAsia="仿宋_GB2312"/>
          <w:sz w:val="32"/>
          <w:szCs w:val="32"/>
          <w:highlight w:val="none"/>
          <w:lang w:val="en-US" w:eastAsia="zh-CN"/>
        </w:rPr>
        <w:t>2</w:t>
      </w:r>
      <w:r>
        <w:rPr>
          <w:rFonts w:hint="eastAsia" w:ascii="Times New Roman" w:hAnsi="Times New Roman" w:eastAsia="仿宋_GB2312"/>
          <w:sz w:val="32"/>
          <w:szCs w:val="32"/>
          <w:highlight w:val="none"/>
        </w:rPr>
        <w:t>年度政府采购支出总额</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highlight w:val="none"/>
        </w:rPr>
        <w:t>万元，其中：政府采</w:t>
      </w:r>
      <w:r>
        <w:rPr>
          <w:rFonts w:hint="eastAsia" w:ascii="Times New Roman" w:hAnsi="Times New Roman" w:eastAsia="仿宋_GB2312"/>
          <w:sz w:val="32"/>
          <w:szCs w:val="32"/>
        </w:rPr>
        <w:t>购货物支出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 xml:space="preserve"> 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%。货物采购授予中小企业合同金额占货物支出金额的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%，工程采购授予中小企业合同金额占工程支出金额的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%，服务采购授予中小企业合同金额占服务支出金额的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三</w:t>
      </w:r>
      <w:r>
        <w:rPr>
          <w:rFonts w:hint="eastAsia" w:ascii="黑体" w:hAnsi="黑体" w:eastAsia="黑体" w:cs="黑体"/>
          <w:b w:val="0"/>
          <w:bCs/>
          <w:sz w:val="32"/>
          <w:szCs w:val="32"/>
        </w:rPr>
        <w:t>、关于国有资产占用情况说明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截至202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年12月31日，本单位共有车辆</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辆，其中，主要领导干部用车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辆，机要通信用车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辆、应急保障用车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辆、执法执勤用车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辆、特种专业技术用车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辆、其他用车</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辆，其他用车</w:t>
      </w:r>
      <w:r>
        <w:rPr>
          <w:rFonts w:hint="eastAsia" w:ascii="Times New Roman" w:hAnsi="Times New Roman" w:eastAsia="仿宋_GB2312"/>
          <w:sz w:val="32"/>
          <w:szCs w:val="32"/>
          <w:lang w:val="en-US" w:eastAsia="zh-CN"/>
        </w:rPr>
        <w:t>主要用于老干服务用车</w:t>
      </w:r>
      <w:r>
        <w:rPr>
          <w:rFonts w:hint="eastAsia" w:ascii="Times New Roman" w:hAnsi="Times New Roman" w:eastAsia="仿宋_GB2312"/>
          <w:sz w:val="32"/>
          <w:szCs w:val="32"/>
        </w:rPr>
        <w:t>；单位价值50万元以上通用设备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台（套）；单位价值100万元以上专用设备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四</w:t>
      </w:r>
      <w:r>
        <w:rPr>
          <w:rFonts w:hint="eastAsia" w:ascii="黑体" w:hAnsi="黑体" w:eastAsia="黑体" w:cs="黑体"/>
          <w:b w:val="0"/>
          <w:bCs/>
          <w:sz w:val="32"/>
          <w:szCs w:val="32"/>
        </w:rPr>
        <w:t>、关于</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黑体" w:hAnsi="黑体" w:eastAsia="黑体" w:cs="黑体"/>
          <w:b w:val="0"/>
          <w:bCs/>
          <w:sz w:val="32"/>
          <w:szCs w:val="32"/>
        </w:rPr>
        <w:t>年度预算绩效情况的说明</w:t>
      </w:r>
    </w:p>
    <w:p>
      <w:pPr>
        <w:pStyle w:val="11"/>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（一）</w:t>
      </w:r>
      <w:r>
        <w:rPr>
          <w:rFonts w:hint="eastAsia" w:ascii="楷体" w:hAnsi="楷体" w:eastAsia="楷体" w:cs="楷体"/>
          <w:b/>
          <w:bCs/>
          <w:sz w:val="32"/>
          <w:szCs w:val="32"/>
        </w:rPr>
        <w:t>部门整体支出绩效情况</w:t>
      </w:r>
    </w:p>
    <w:p>
      <w:pPr>
        <w:pStyle w:val="11"/>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lang w:val="en-US" w:eastAsia="zh-CN"/>
        </w:rPr>
        <w:t>2022</w:t>
      </w:r>
      <w:r>
        <w:rPr>
          <w:rFonts w:hint="eastAsia" w:ascii="Times New Roman" w:hAnsi="Times New Roman" w:eastAsia="仿宋_GB2312"/>
          <w:sz w:val="32"/>
          <w:szCs w:val="32"/>
        </w:rPr>
        <w:t>年</w:t>
      </w:r>
      <w:r>
        <w:rPr>
          <w:rFonts w:hint="eastAsia" w:ascii="Times New Roman" w:hAnsi="Times New Roman" w:eastAsia="仿宋_GB2312"/>
          <w:sz w:val="32"/>
          <w:szCs w:val="32"/>
          <w:lang w:val="en-US" w:eastAsia="zh-CN"/>
        </w:rPr>
        <w:t>本</w:t>
      </w:r>
      <w:r>
        <w:rPr>
          <w:rFonts w:hint="eastAsia" w:ascii="Times New Roman" w:hAnsi="Times New Roman" w:eastAsia="仿宋_GB2312"/>
          <w:sz w:val="32"/>
          <w:szCs w:val="32"/>
        </w:rPr>
        <w:t>单位</w:t>
      </w:r>
      <w:r>
        <w:rPr>
          <w:rFonts w:hint="eastAsia" w:ascii="Times New Roman" w:hAnsi="Times New Roman" w:eastAsia="仿宋_GB2312"/>
          <w:sz w:val="32"/>
          <w:szCs w:val="32"/>
          <w:lang w:val="en-US" w:eastAsia="zh-CN"/>
        </w:rPr>
        <w:t>加强</w:t>
      </w:r>
      <w:r>
        <w:rPr>
          <w:rFonts w:hint="eastAsia" w:ascii="Times New Roman" w:hAnsi="Times New Roman" w:eastAsia="仿宋_GB2312"/>
          <w:sz w:val="32"/>
          <w:szCs w:val="32"/>
        </w:rPr>
        <w:t>预算绩效管理工作，实现预算部门绩效管理的全覆盖。通过设定年度绩效目标</w:t>
      </w:r>
      <w:r>
        <w:rPr>
          <w:rFonts w:hint="eastAsia" w:ascii="Times New Roman" w:hAnsi="Times New Roman" w:eastAsia="仿宋_GB2312"/>
          <w:sz w:val="32"/>
          <w:szCs w:val="32"/>
          <w:lang w:val="en-US" w:eastAsia="zh-CN"/>
        </w:rPr>
        <w:t>内容</w:t>
      </w:r>
      <w:r>
        <w:rPr>
          <w:rFonts w:hint="eastAsia" w:ascii="Times New Roman" w:hAnsi="Times New Roman" w:eastAsia="仿宋_GB2312"/>
          <w:sz w:val="32"/>
          <w:szCs w:val="32"/>
        </w:rPr>
        <w:t>，形成</w:t>
      </w:r>
      <w:r>
        <w:rPr>
          <w:rFonts w:hint="eastAsia" w:ascii="Times New Roman" w:hAnsi="Times New Roman" w:eastAsia="仿宋_GB2312"/>
          <w:sz w:val="32"/>
          <w:szCs w:val="32"/>
          <w:lang w:val="en-US" w:eastAsia="zh-CN"/>
        </w:rPr>
        <w:t>了</w:t>
      </w:r>
      <w:r>
        <w:rPr>
          <w:rFonts w:hint="eastAsia" w:ascii="Times New Roman" w:hAnsi="Times New Roman" w:eastAsia="仿宋_GB2312"/>
          <w:sz w:val="32"/>
          <w:szCs w:val="32"/>
        </w:rPr>
        <w:t>以绩效为目标、以结果为导向的绩效</w:t>
      </w:r>
      <w:r>
        <w:rPr>
          <w:rFonts w:hint="eastAsia" w:ascii="Times New Roman" w:hAnsi="Times New Roman" w:eastAsia="仿宋_GB2312"/>
          <w:sz w:val="32"/>
          <w:szCs w:val="32"/>
          <w:lang w:val="en-US" w:eastAsia="zh-CN"/>
        </w:rPr>
        <w:t>管理模式</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2022年本</w:t>
      </w:r>
      <w:r>
        <w:rPr>
          <w:rFonts w:hint="eastAsia" w:ascii="Times New Roman" w:hAnsi="Times New Roman" w:eastAsia="仿宋_GB2312"/>
          <w:sz w:val="32"/>
          <w:szCs w:val="32"/>
        </w:rPr>
        <w:t>单位根据要求积极开展了预算部门绩效自评工作，对部门整体支出绩效做出了客观评价并形成了部门整体绩效</w:t>
      </w:r>
      <w:r>
        <w:rPr>
          <w:rFonts w:hint="eastAsia" w:ascii="Times New Roman" w:hAnsi="Times New Roman" w:eastAsia="仿宋_GB2312"/>
          <w:sz w:val="32"/>
          <w:szCs w:val="32"/>
          <w:lang w:val="en-US" w:eastAsia="zh-CN"/>
        </w:rPr>
        <w:t>自评</w:t>
      </w:r>
      <w:r>
        <w:rPr>
          <w:rFonts w:hint="eastAsia" w:ascii="Times New Roman" w:hAnsi="Times New Roman" w:eastAsia="仿宋_GB2312"/>
          <w:sz w:val="32"/>
          <w:szCs w:val="32"/>
        </w:rPr>
        <w:t>报告，并予以公开，详见附件。</w:t>
      </w:r>
    </w:p>
    <w:p>
      <w:pPr>
        <w:pStyle w:val="11"/>
        <w:keepNext w:val="0"/>
        <w:keepLines w:val="0"/>
        <w:pageBreakBefore w:val="0"/>
        <w:widowControl w:val="0"/>
        <w:numPr>
          <w:ilvl w:val="0"/>
          <w:numId w:val="5"/>
        </w:numPr>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rPr>
        <w:t>存在的问题及原因分析</w:t>
      </w:r>
    </w:p>
    <w:p>
      <w:pPr>
        <w:pStyle w:val="11"/>
        <w:keepNext w:val="0"/>
        <w:keepLines w:val="0"/>
        <w:pageBreakBefore w:val="0"/>
        <w:widowControl w:val="0"/>
        <w:numPr>
          <w:ilvl w:val="0"/>
          <w:numId w:val="0"/>
        </w:numPr>
        <w:kinsoku/>
        <w:wordWrap/>
        <w:overflowPunct/>
        <w:topLinePunct w:val="0"/>
        <w:bidi w:val="0"/>
        <w:snapToGrid/>
        <w:spacing w:line="600" w:lineRule="exact"/>
        <w:ind w:firstLine="640" w:firstLineChars="200"/>
        <w:jc w:val="left"/>
        <w:textAlignment w:val="auto"/>
        <w:rPr>
          <w:rFonts w:hint="eastAsia" w:eastAsia="黑体"/>
          <w:sz w:val="72"/>
          <w:szCs w:val="72"/>
          <w:lang w:eastAsia="zh-CN"/>
        </w:rPr>
      </w:pPr>
      <w:r>
        <w:rPr>
          <w:rFonts w:hint="eastAsia" w:ascii="Times New Roman" w:hAnsi="Times New Roman" w:eastAsia="仿宋_GB2312"/>
          <w:sz w:val="32"/>
          <w:szCs w:val="32"/>
          <w:lang w:eastAsia="zh-CN"/>
        </w:rPr>
        <w:t>见附件</w:t>
      </w: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both"/>
        <w:rPr>
          <w:rFonts w:hint="eastAsia" w:ascii="方正小标宋_GBK" w:hAnsi="方正小标宋_GBK" w:eastAsia="方正小标宋_GBK" w:cs="方正小标宋_GBK"/>
          <w:sz w:val="72"/>
          <w:szCs w:val="72"/>
        </w:rPr>
      </w:pPr>
    </w:p>
    <w:p>
      <w:pPr>
        <w:pStyle w:val="11"/>
        <w:jc w:val="center"/>
        <w:rPr>
          <w:rFonts w:hint="eastAsia" w:ascii="方正小标宋_GBK" w:hAnsi="方正小标宋_GBK" w:eastAsia="方正小标宋_GBK" w:cs="方正小标宋_GBK"/>
          <w:sz w:val="72"/>
          <w:szCs w:val="72"/>
        </w:rPr>
      </w:pPr>
    </w:p>
    <w:p>
      <w:pPr>
        <w:pStyle w:val="11"/>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hint="eastAsia" w:ascii="方正小标宋_GBK" w:hAnsi="方正小标宋_GBK" w:eastAsia="方正小标宋_GBK" w:cs="方正小标宋_GBK"/>
          <w:color w:val="000000"/>
          <w:kern w:val="0"/>
          <w:sz w:val="70"/>
          <w:szCs w:val="70"/>
        </w:rPr>
      </w:pPr>
    </w:p>
    <w:p>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pPr>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一、机关运行经费：为保障行政单位（包括参照公务员法管理的事业单位）运行，用一般公共预算拨款安排，用于购买货物和服务的各项资金，包括办公及印刷费、邮电费、差旅费、会议费、福利费、日常维修费、办公用房水电费、办公用房取暖费、办公用房物业管理费、公务用车运行维护费以及其他费用，即为行政单位和参照公务员法管理事业单位一般公共预算财政拨款基本支出中的公用经费支出。</w:t>
      </w:r>
    </w:p>
    <w:p>
      <w:pPr>
        <w:widowControl/>
        <w:jc w:val="left"/>
        <w:rPr>
          <w:rFonts w:eastAsia="黑体" w:cs="黑体" w:asciiTheme="minorEastAsia" w:hAnsiTheme="minorEastAsia"/>
          <w:color w:val="000000"/>
          <w:kern w:val="0"/>
          <w:sz w:val="28"/>
          <w:szCs w:val="32"/>
        </w:rPr>
      </w:pPr>
      <w:r>
        <w:rPr>
          <w:rFonts w:hint="eastAsia" w:cs="黑体" w:asciiTheme="minorEastAsia" w:hAnsiTheme="minorEastAsia"/>
          <w:color w:val="000000"/>
          <w:kern w:val="0"/>
          <w:sz w:val="32"/>
          <w:szCs w:val="32"/>
        </w:rPr>
        <w:t>二、“三公”经费：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both"/>
        <w:rPr>
          <w:rFonts w:hint="eastAsia" w:eastAsia="黑体"/>
          <w:sz w:val="72"/>
          <w:szCs w:val="72"/>
          <w:lang w:val="en-US" w:eastAsia="zh-CN"/>
        </w:rPr>
      </w:pPr>
      <w:r>
        <w:rPr>
          <w:rFonts w:hint="eastAsia"/>
          <w:sz w:val="72"/>
          <w:szCs w:val="72"/>
          <w:lang w:val="en-US" w:eastAsia="zh-CN"/>
        </w:rPr>
        <w:t xml:space="preserve"> </w:t>
      </w:r>
    </w:p>
    <w:p>
      <w:pPr>
        <w:pStyle w:val="11"/>
        <w:jc w:val="center"/>
        <w:rPr>
          <w:sz w:val="72"/>
          <w:szCs w:val="72"/>
        </w:rPr>
      </w:pPr>
    </w:p>
    <w:p>
      <w:pPr>
        <w:pStyle w:val="11"/>
        <w:jc w:val="both"/>
        <w:rPr>
          <w:sz w:val="72"/>
          <w:szCs w:val="72"/>
        </w:rPr>
      </w:pPr>
    </w:p>
    <w:p>
      <w:pPr>
        <w:pStyle w:val="11"/>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rPr>
          <w:rFonts w:cs="黑体" w:asciiTheme="minorEastAsia" w:hAnsiTheme="minorEastAsia"/>
          <w:color w:val="000000"/>
          <w:kern w:val="0"/>
          <w:sz w:val="32"/>
          <w:szCs w:val="32"/>
        </w:rPr>
      </w:pPr>
      <w:r>
        <w:rPr>
          <w:rFonts w:cs="黑体" w:asciiTheme="minorEastAsia" w:hAnsiTheme="minorEastAsia"/>
          <w:color w:val="000000"/>
          <w:kern w:val="0"/>
          <w:sz w:val="32"/>
          <w:szCs w:val="32"/>
        </w:rPr>
        <w:br w:type="page"/>
      </w:r>
    </w:p>
    <w:p>
      <w:pPr>
        <w:widowControl/>
        <w:shd w:val="clear" w:color="auto" w:fill="FFFFFF"/>
        <w:spacing w:line="600" w:lineRule="atLeast"/>
        <w:ind w:firstLine="640"/>
        <w:jc w:val="center"/>
        <w:rPr>
          <w:rFonts w:hint="eastAsia" w:ascii="楷体" w:hAnsi="楷体" w:eastAsia="楷体"/>
          <w:b/>
          <w:spacing w:val="-2"/>
          <w:sz w:val="44"/>
          <w:szCs w:val="44"/>
        </w:rPr>
      </w:pPr>
    </w:p>
    <w:p>
      <w:pPr>
        <w:widowControl/>
        <w:shd w:val="clear" w:color="auto" w:fill="FFFFFF"/>
        <w:spacing w:line="600" w:lineRule="atLeast"/>
        <w:ind w:firstLine="640"/>
        <w:jc w:val="center"/>
        <w:rPr>
          <w:rFonts w:hint="eastAsia" w:ascii="楷体" w:hAnsi="楷体" w:eastAsia="楷体"/>
          <w:b/>
          <w:spacing w:val="-2"/>
          <w:sz w:val="44"/>
          <w:szCs w:val="44"/>
        </w:rPr>
      </w:pPr>
      <w:r>
        <w:rPr>
          <w:rFonts w:hint="eastAsia" w:ascii="楷体" w:hAnsi="楷体" w:eastAsia="楷体"/>
          <w:b/>
          <w:spacing w:val="-2"/>
          <w:sz w:val="44"/>
          <w:szCs w:val="44"/>
        </w:rPr>
        <w:t>怀化市军队离休退休干部服务管理中心</w:t>
      </w:r>
    </w:p>
    <w:p>
      <w:pPr>
        <w:widowControl/>
        <w:shd w:val="clear" w:color="auto" w:fill="FFFFFF"/>
        <w:spacing w:line="600" w:lineRule="atLeast"/>
        <w:ind w:firstLine="640"/>
        <w:jc w:val="center"/>
        <w:rPr>
          <w:rFonts w:hint="eastAsia" w:ascii="楷体" w:hAnsi="楷体" w:eastAsia="楷体"/>
          <w:b/>
          <w:spacing w:val="-2"/>
          <w:sz w:val="44"/>
          <w:szCs w:val="44"/>
        </w:rPr>
      </w:pPr>
      <w:r>
        <w:rPr>
          <w:rFonts w:hint="eastAsia" w:ascii="楷体" w:hAnsi="楷体" w:eastAsia="楷体"/>
          <w:b/>
          <w:spacing w:val="-2"/>
          <w:sz w:val="44"/>
          <w:szCs w:val="44"/>
          <w:lang w:val="en-US" w:eastAsia="zh-CN"/>
        </w:rPr>
        <w:t>2022年</w:t>
      </w:r>
      <w:r>
        <w:rPr>
          <w:rFonts w:hint="eastAsia" w:ascii="楷体" w:hAnsi="楷体" w:eastAsia="楷体"/>
          <w:b/>
          <w:spacing w:val="-2"/>
          <w:sz w:val="44"/>
          <w:szCs w:val="44"/>
        </w:rPr>
        <w:t>整体支出绩效评价报告</w:t>
      </w:r>
    </w:p>
    <w:p>
      <w:pPr>
        <w:widowControl/>
        <w:shd w:val="clear" w:color="auto" w:fill="FFFFFF"/>
        <w:spacing w:line="600" w:lineRule="atLeast"/>
        <w:ind w:firstLine="640"/>
        <w:jc w:val="center"/>
        <w:rPr>
          <w:rFonts w:hint="eastAsia" w:ascii="楷体" w:hAnsi="楷体" w:eastAsia="楷体"/>
          <w:b/>
          <w:spacing w:val="-2"/>
          <w:sz w:val="44"/>
          <w:szCs w:val="44"/>
        </w:rPr>
      </w:pPr>
    </w:p>
    <w:p>
      <w:pPr>
        <w:widowControl/>
        <w:shd w:val="clear" w:color="auto" w:fill="FFFFFF"/>
        <w:spacing w:line="600" w:lineRule="atLeast"/>
        <w:ind w:firstLine="640"/>
        <w:rPr>
          <w:rFonts w:hint="eastAsia" w:eastAsia="仿宋_GB2312"/>
          <w:b/>
          <w:spacing w:val="-2"/>
          <w:w w:val="100"/>
          <w:sz w:val="32"/>
          <w:szCs w:val="44"/>
        </w:rPr>
      </w:pPr>
      <w:r>
        <w:rPr>
          <w:rFonts w:hint="eastAsia" w:ascii="仿宋" w:hAnsi="仿宋" w:eastAsia="仿宋"/>
          <w:spacing w:val="-2"/>
          <w:w w:val="100"/>
          <w:sz w:val="32"/>
          <w:szCs w:val="32"/>
        </w:rPr>
        <w:t>我</w:t>
      </w:r>
      <w:r>
        <w:rPr>
          <w:rFonts w:hint="eastAsia" w:ascii="仿宋" w:hAnsi="仿宋" w:eastAsia="仿宋"/>
          <w:spacing w:val="-2"/>
          <w:w w:val="100"/>
          <w:sz w:val="32"/>
          <w:szCs w:val="32"/>
          <w:lang w:val="en-US" w:eastAsia="zh-CN"/>
        </w:rPr>
        <w:t>中心</w:t>
      </w:r>
      <w:r>
        <w:rPr>
          <w:rFonts w:hint="eastAsia" w:ascii="仿宋" w:hAnsi="仿宋" w:eastAsia="仿宋"/>
          <w:spacing w:val="-2"/>
          <w:w w:val="100"/>
          <w:sz w:val="32"/>
          <w:szCs w:val="32"/>
        </w:rPr>
        <w:t>对部门整体支出进行了绩效评价，现报告如下:</w:t>
      </w:r>
    </w:p>
    <w:p>
      <w:pPr>
        <w:widowControl/>
        <w:shd w:val="clear" w:color="auto" w:fill="FFFFFF"/>
        <w:spacing w:line="600" w:lineRule="atLeast"/>
        <w:ind w:firstLine="640"/>
        <w:rPr>
          <w:rFonts w:ascii="楷体" w:hAnsi="楷体" w:eastAsia="楷体"/>
          <w:b/>
          <w:spacing w:val="-2"/>
          <w:sz w:val="32"/>
          <w:szCs w:val="21"/>
        </w:rPr>
      </w:pPr>
      <w:r>
        <w:rPr>
          <w:rFonts w:ascii="楷体" w:hAnsi="楷体" w:eastAsia="楷体"/>
          <w:b/>
          <w:spacing w:val="-2"/>
          <w:sz w:val="32"/>
          <w:szCs w:val="32"/>
        </w:rPr>
        <w:t>一、部门概况</w:t>
      </w:r>
    </w:p>
    <w:p>
      <w:pPr>
        <w:widowControl/>
        <w:shd w:val="clear" w:color="auto" w:fill="FFFFFF"/>
        <w:spacing w:line="600" w:lineRule="atLeast"/>
        <w:ind w:firstLine="640"/>
        <w:rPr>
          <w:rFonts w:ascii="仿宋" w:hAnsi="仿宋" w:eastAsia="仿宋"/>
          <w:spacing w:val="-2"/>
          <w:sz w:val="32"/>
          <w:szCs w:val="32"/>
        </w:rPr>
      </w:pPr>
      <w:r>
        <w:rPr>
          <w:rFonts w:ascii="仿宋" w:hAnsi="仿宋" w:eastAsia="仿宋"/>
          <w:spacing w:val="-2"/>
          <w:sz w:val="32"/>
          <w:szCs w:val="32"/>
        </w:rPr>
        <w:t>（一）部门基本情况。</w:t>
      </w:r>
    </w:p>
    <w:p>
      <w:pPr>
        <w:widowControl/>
        <w:shd w:val="clear" w:color="auto" w:fill="FFFFFF"/>
        <w:spacing w:line="600" w:lineRule="atLeast"/>
        <w:ind w:firstLine="640"/>
        <w:rPr>
          <w:rFonts w:hint="eastAsia" w:ascii="仿宋" w:hAnsi="仿宋" w:eastAsia="仿宋"/>
          <w:spacing w:val="-2"/>
          <w:sz w:val="32"/>
          <w:szCs w:val="32"/>
          <w:lang w:eastAsia="zh-CN"/>
        </w:rPr>
      </w:pPr>
      <w:r>
        <w:rPr>
          <w:rFonts w:hint="eastAsia" w:ascii="仿宋" w:hAnsi="仿宋" w:eastAsia="仿宋"/>
          <w:b/>
          <w:bCs/>
          <w:spacing w:val="-2"/>
          <w:sz w:val="32"/>
          <w:szCs w:val="32"/>
        </w:rPr>
        <w:t>机构及人数</w:t>
      </w:r>
      <w:r>
        <w:rPr>
          <w:rFonts w:hint="eastAsia" w:ascii="仿宋" w:hAnsi="仿宋" w:eastAsia="仿宋"/>
          <w:b/>
          <w:bCs/>
          <w:spacing w:val="-2"/>
          <w:sz w:val="32"/>
          <w:szCs w:val="32"/>
          <w:lang w:eastAsia="zh-CN"/>
        </w:rPr>
        <w:t>：</w:t>
      </w:r>
      <w:r>
        <w:rPr>
          <w:rFonts w:hint="eastAsia" w:ascii="仿宋" w:hAnsi="仿宋" w:eastAsia="仿宋"/>
          <w:spacing w:val="-2"/>
          <w:sz w:val="32"/>
          <w:szCs w:val="32"/>
        </w:rPr>
        <w:t>怀化市军队离休退休干部服务管理中心为财政全额拨款事业单位，内设办公室、财务部、待遇部、文体管理部4个</w:t>
      </w:r>
      <w:r>
        <w:rPr>
          <w:rFonts w:hint="eastAsia" w:ascii="仿宋" w:hAnsi="仿宋" w:eastAsia="仿宋"/>
          <w:spacing w:val="-2"/>
          <w:sz w:val="32"/>
          <w:szCs w:val="32"/>
          <w:lang w:val="en-US" w:eastAsia="zh-CN"/>
        </w:rPr>
        <w:t>股室</w:t>
      </w:r>
      <w:r>
        <w:rPr>
          <w:rFonts w:hint="eastAsia" w:ascii="仿宋" w:hAnsi="仿宋" w:eastAsia="仿宋"/>
          <w:spacing w:val="-2"/>
          <w:sz w:val="32"/>
          <w:szCs w:val="32"/>
        </w:rPr>
        <w:t>。</w:t>
      </w:r>
      <w:r>
        <w:rPr>
          <w:rFonts w:hint="eastAsia" w:ascii="仿宋" w:hAnsi="仿宋" w:eastAsia="仿宋"/>
          <w:spacing w:val="-2"/>
          <w:sz w:val="32"/>
          <w:szCs w:val="32"/>
          <w:lang w:eastAsia="zh-CN"/>
        </w:rPr>
        <w:t>202</w:t>
      </w:r>
      <w:r>
        <w:rPr>
          <w:rFonts w:hint="eastAsia" w:ascii="仿宋" w:hAnsi="仿宋" w:eastAsia="仿宋"/>
          <w:spacing w:val="-2"/>
          <w:sz w:val="32"/>
          <w:szCs w:val="32"/>
          <w:lang w:val="en-US" w:eastAsia="zh-CN"/>
        </w:rPr>
        <w:t>2</w:t>
      </w:r>
      <w:r>
        <w:rPr>
          <w:rFonts w:hint="eastAsia" w:ascii="仿宋" w:hAnsi="仿宋" w:eastAsia="仿宋"/>
          <w:spacing w:val="-2"/>
          <w:sz w:val="32"/>
          <w:szCs w:val="32"/>
          <w:lang w:eastAsia="zh-CN"/>
        </w:rPr>
        <w:t>年核定全额拨款事业单位编制1</w:t>
      </w:r>
      <w:r>
        <w:rPr>
          <w:rFonts w:hint="eastAsia" w:ascii="仿宋" w:hAnsi="仿宋" w:eastAsia="仿宋"/>
          <w:spacing w:val="-2"/>
          <w:sz w:val="32"/>
          <w:szCs w:val="32"/>
          <w:lang w:val="en-US" w:eastAsia="zh-CN"/>
        </w:rPr>
        <w:t>0</w:t>
      </w:r>
      <w:r>
        <w:rPr>
          <w:rFonts w:hint="eastAsia" w:ascii="仿宋" w:hAnsi="仿宋" w:eastAsia="仿宋"/>
          <w:spacing w:val="-2"/>
          <w:sz w:val="32"/>
          <w:szCs w:val="32"/>
          <w:lang w:eastAsia="zh-CN"/>
        </w:rPr>
        <w:t>名，年末纳入一般公共预算财政拨款开支人数</w:t>
      </w:r>
      <w:r>
        <w:rPr>
          <w:rFonts w:hint="eastAsia" w:ascii="仿宋" w:hAnsi="仿宋" w:eastAsia="仿宋"/>
          <w:spacing w:val="-2"/>
          <w:sz w:val="32"/>
          <w:szCs w:val="32"/>
          <w:lang w:val="en-US" w:eastAsia="zh-CN"/>
        </w:rPr>
        <w:t>8</w:t>
      </w:r>
      <w:r>
        <w:rPr>
          <w:rFonts w:hint="eastAsia" w:ascii="仿宋" w:hAnsi="仿宋" w:eastAsia="仿宋"/>
          <w:spacing w:val="-2"/>
          <w:sz w:val="32"/>
          <w:szCs w:val="32"/>
          <w:lang w:eastAsia="zh-CN"/>
        </w:rPr>
        <w:t>人，财政供应人员控制率</w:t>
      </w:r>
      <w:r>
        <w:rPr>
          <w:rFonts w:hint="eastAsia" w:ascii="仿宋" w:hAnsi="仿宋" w:eastAsia="仿宋"/>
          <w:spacing w:val="-2"/>
          <w:sz w:val="32"/>
          <w:szCs w:val="32"/>
          <w:lang w:val="en-US" w:eastAsia="zh-CN"/>
        </w:rPr>
        <w:t>80</w:t>
      </w:r>
      <w:r>
        <w:rPr>
          <w:rFonts w:hint="eastAsia" w:ascii="仿宋" w:hAnsi="仿宋" w:eastAsia="仿宋"/>
          <w:spacing w:val="-2"/>
          <w:sz w:val="32"/>
          <w:szCs w:val="32"/>
          <w:lang w:eastAsia="zh-CN"/>
        </w:rPr>
        <w:t>%，未超过编制，控制较好。</w:t>
      </w:r>
    </w:p>
    <w:p>
      <w:pPr>
        <w:widowControl/>
        <w:shd w:val="clear" w:color="auto" w:fill="FFFFFF"/>
        <w:spacing w:line="600" w:lineRule="atLeast"/>
        <w:ind w:firstLine="640"/>
        <w:rPr>
          <w:rFonts w:hint="eastAsia" w:ascii="仿宋" w:hAnsi="仿宋" w:eastAsia="仿宋"/>
          <w:spacing w:val="-2"/>
          <w:sz w:val="32"/>
          <w:szCs w:val="32"/>
        </w:rPr>
      </w:pPr>
      <w:r>
        <w:rPr>
          <w:rFonts w:hint="eastAsia" w:ascii="仿宋" w:hAnsi="仿宋" w:eastAsia="仿宋"/>
          <w:b/>
          <w:bCs/>
          <w:spacing w:val="-2"/>
          <w:sz w:val="32"/>
          <w:szCs w:val="32"/>
          <w:lang w:val="en-US" w:eastAsia="zh-CN"/>
        </w:rPr>
        <w:t>主要职能：</w:t>
      </w:r>
      <w:r>
        <w:rPr>
          <w:rFonts w:hint="eastAsia" w:ascii="仿宋" w:hAnsi="仿宋" w:eastAsia="仿宋"/>
          <w:b w:val="0"/>
          <w:bCs w:val="0"/>
          <w:spacing w:val="-2"/>
          <w:sz w:val="32"/>
          <w:szCs w:val="32"/>
          <w:lang w:val="en-US" w:eastAsia="zh-CN"/>
        </w:rPr>
        <w:t>1.</w:t>
      </w:r>
      <w:r>
        <w:rPr>
          <w:rFonts w:hint="eastAsia" w:ascii="仿宋" w:hAnsi="仿宋" w:eastAsia="仿宋"/>
          <w:b w:val="0"/>
          <w:bCs w:val="0"/>
          <w:spacing w:val="-2"/>
          <w:sz w:val="32"/>
          <w:szCs w:val="32"/>
        </w:rPr>
        <w:t>严</w:t>
      </w:r>
      <w:r>
        <w:rPr>
          <w:rFonts w:hint="eastAsia" w:ascii="仿宋" w:hAnsi="仿宋" w:eastAsia="仿宋"/>
          <w:spacing w:val="-2"/>
          <w:sz w:val="32"/>
          <w:szCs w:val="32"/>
        </w:rPr>
        <w:t>格执行国家安置政策，积极做好军休干部的接收安置工作；</w:t>
      </w:r>
      <w:r>
        <w:rPr>
          <w:rFonts w:hint="eastAsia" w:ascii="仿宋" w:hAnsi="仿宋" w:eastAsia="仿宋"/>
          <w:spacing w:val="-2"/>
          <w:sz w:val="32"/>
          <w:szCs w:val="32"/>
          <w:lang w:val="en-US" w:eastAsia="zh-CN"/>
        </w:rPr>
        <w:t>2.</w:t>
      </w:r>
      <w:r>
        <w:rPr>
          <w:rFonts w:hint="eastAsia" w:ascii="仿宋" w:hAnsi="仿宋" w:eastAsia="仿宋"/>
          <w:spacing w:val="-2"/>
          <w:sz w:val="32"/>
          <w:szCs w:val="32"/>
        </w:rPr>
        <w:t>积极开展各项政治活动，落实军休干部政治待遇；</w:t>
      </w:r>
      <w:r>
        <w:rPr>
          <w:rFonts w:hint="eastAsia" w:ascii="仿宋" w:hAnsi="仿宋" w:eastAsia="仿宋"/>
          <w:spacing w:val="-2"/>
          <w:sz w:val="32"/>
          <w:szCs w:val="32"/>
          <w:lang w:val="en-US" w:eastAsia="zh-CN"/>
        </w:rPr>
        <w:t>3.</w:t>
      </w:r>
      <w:r>
        <w:rPr>
          <w:rFonts w:hint="eastAsia" w:ascii="仿宋" w:hAnsi="仿宋" w:eastAsia="仿宋"/>
          <w:spacing w:val="-2"/>
          <w:sz w:val="32"/>
          <w:szCs w:val="32"/>
        </w:rPr>
        <w:t>切实做好军休干部离退休费发放；</w:t>
      </w:r>
      <w:r>
        <w:rPr>
          <w:rFonts w:hint="eastAsia" w:ascii="仿宋" w:hAnsi="仿宋" w:eastAsia="仿宋"/>
          <w:spacing w:val="-2"/>
          <w:sz w:val="32"/>
          <w:szCs w:val="32"/>
          <w:lang w:val="en-US" w:eastAsia="zh-CN"/>
        </w:rPr>
        <w:t>4.</w:t>
      </w:r>
      <w:r>
        <w:rPr>
          <w:rFonts w:hint="eastAsia" w:ascii="仿宋" w:hAnsi="仿宋" w:eastAsia="仿宋"/>
          <w:spacing w:val="-2"/>
          <w:sz w:val="32"/>
          <w:szCs w:val="32"/>
        </w:rPr>
        <w:t>积极做好军休干部医疗保障工作；</w:t>
      </w:r>
      <w:r>
        <w:rPr>
          <w:rFonts w:hint="eastAsia" w:ascii="仿宋" w:hAnsi="仿宋" w:eastAsia="仿宋"/>
          <w:spacing w:val="-2"/>
          <w:sz w:val="32"/>
          <w:szCs w:val="32"/>
          <w:lang w:val="en-US" w:eastAsia="zh-CN"/>
        </w:rPr>
        <w:t>5.</w:t>
      </w:r>
      <w:r>
        <w:rPr>
          <w:rFonts w:hint="eastAsia" w:ascii="仿宋" w:hAnsi="仿宋" w:eastAsia="仿宋"/>
          <w:spacing w:val="-2"/>
          <w:sz w:val="32"/>
          <w:szCs w:val="32"/>
        </w:rPr>
        <w:t>深入开展各种形式的活动，丰富军休干部晚年生活，弘扬军休文化；</w:t>
      </w:r>
      <w:r>
        <w:rPr>
          <w:rFonts w:hint="eastAsia" w:ascii="仿宋" w:hAnsi="仿宋" w:eastAsia="仿宋"/>
          <w:spacing w:val="-2"/>
          <w:sz w:val="32"/>
          <w:szCs w:val="32"/>
          <w:lang w:val="en-US" w:eastAsia="zh-CN"/>
        </w:rPr>
        <w:t>6.</w:t>
      </w:r>
      <w:r>
        <w:rPr>
          <w:rFonts w:hint="eastAsia" w:ascii="仿宋" w:hAnsi="仿宋" w:eastAsia="仿宋"/>
          <w:spacing w:val="-2"/>
          <w:sz w:val="32"/>
          <w:szCs w:val="32"/>
        </w:rPr>
        <w:t>完成主管部门交办的其他工作。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right="0" w:firstLine="632" w:firstLineChars="200"/>
        <w:jc w:val="both"/>
        <w:textAlignment w:val="auto"/>
        <w:rPr>
          <w:rFonts w:hint="eastAsia" w:ascii="仿宋" w:hAnsi="仿宋" w:eastAsia="仿宋" w:cs="Times New Roman"/>
          <w:spacing w:val="-2"/>
          <w:kern w:val="2"/>
          <w:sz w:val="32"/>
          <w:szCs w:val="32"/>
          <w:lang w:val="en-US" w:eastAsia="zh-CN" w:bidi="ar-SA"/>
        </w:rPr>
      </w:pPr>
      <w:r>
        <w:rPr>
          <w:rFonts w:hint="eastAsia" w:ascii="仿宋" w:hAnsi="仿宋" w:eastAsia="仿宋"/>
          <w:b/>
          <w:bCs/>
          <w:spacing w:val="-2"/>
          <w:sz w:val="32"/>
          <w:szCs w:val="32"/>
          <w:highlight w:val="none"/>
        </w:rPr>
        <w:t>重点工作计划</w:t>
      </w:r>
      <w:r>
        <w:rPr>
          <w:rFonts w:hint="eastAsia" w:ascii="仿宋" w:hAnsi="仿宋" w:eastAsia="仿宋"/>
          <w:b/>
          <w:bCs/>
          <w:spacing w:val="-2"/>
          <w:sz w:val="32"/>
          <w:szCs w:val="32"/>
          <w:highlight w:val="none"/>
          <w:lang w:eastAsia="zh-CN"/>
        </w:rPr>
        <w:t>：</w:t>
      </w:r>
      <w:r>
        <w:rPr>
          <w:rFonts w:hint="eastAsia" w:ascii="仿宋" w:hAnsi="仿宋" w:eastAsia="仿宋"/>
          <w:b w:val="0"/>
          <w:bCs w:val="0"/>
          <w:spacing w:val="-2"/>
          <w:sz w:val="32"/>
          <w:szCs w:val="32"/>
          <w:highlight w:val="none"/>
          <w:lang w:val="en-US" w:eastAsia="zh-CN"/>
        </w:rPr>
        <w:t>1.</w:t>
      </w:r>
      <w:r>
        <w:rPr>
          <w:rFonts w:hint="eastAsia" w:ascii="仿宋" w:hAnsi="仿宋" w:eastAsia="仿宋" w:cs="Times New Roman"/>
          <w:b w:val="0"/>
          <w:bCs w:val="0"/>
          <w:spacing w:val="-2"/>
          <w:kern w:val="2"/>
          <w:sz w:val="32"/>
          <w:szCs w:val="32"/>
          <w:lang w:val="en-US" w:eastAsia="zh-CN" w:bidi="ar-SA"/>
        </w:rPr>
        <w:t>根据</w:t>
      </w:r>
      <w:r>
        <w:rPr>
          <w:rFonts w:hint="eastAsia" w:ascii="仿宋" w:hAnsi="仿宋" w:eastAsia="仿宋" w:cs="Times New Roman"/>
          <w:spacing w:val="-2"/>
          <w:kern w:val="2"/>
          <w:sz w:val="32"/>
          <w:szCs w:val="32"/>
          <w:lang w:val="en-US" w:eastAsia="zh-CN" w:bidi="ar-SA"/>
        </w:rPr>
        <w:t>省厅下达的军休人员移交安置计划，按照工作程序和要求做好2022年军队退休人员移交安置的组织协调和接收安置工作；2.落实好军休人员的政治和生活待遇；3.积极组织开展适合军休干部的文化体育活动；4.加强自身建设，深化创先争优意识；5.进一步加强军休工作调研和宣传；6.加强自身建设，建设务实高效，廉洁勤政的单位；7.做好服务用房装修、规范管理工作。</w:t>
      </w:r>
    </w:p>
    <w:p>
      <w:pPr>
        <w:widowControl/>
        <w:shd w:val="clear" w:color="auto" w:fill="FFFFFF"/>
        <w:spacing w:line="600" w:lineRule="atLeast"/>
        <w:ind w:firstLine="640"/>
        <w:rPr>
          <w:rFonts w:hint="eastAsia" w:ascii="仿宋" w:hAnsi="仿宋" w:eastAsia="仿宋" w:cs="Times New Roman"/>
          <w:spacing w:val="-2"/>
          <w:sz w:val="32"/>
          <w:szCs w:val="32"/>
        </w:rPr>
      </w:pPr>
      <w:r>
        <w:rPr>
          <w:rFonts w:ascii="仿宋" w:hAnsi="仿宋" w:eastAsia="仿宋"/>
          <w:spacing w:val="-2"/>
          <w:sz w:val="32"/>
          <w:szCs w:val="32"/>
        </w:rPr>
        <w:t>（二）部门整</w:t>
      </w:r>
      <w:r>
        <w:rPr>
          <w:rFonts w:hint="eastAsia" w:ascii="仿宋" w:hAnsi="仿宋" w:eastAsia="仿宋" w:cs="Times New Roman"/>
          <w:spacing w:val="-2"/>
          <w:sz w:val="32"/>
          <w:szCs w:val="32"/>
        </w:rPr>
        <w:t>体支出规模、使用方向和主要内容、涉及范围等。</w:t>
      </w:r>
    </w:p>
    <w:p>
      <w:pPr>
        <w:widowControl/>
        <w:shd w:val="clear" w:color="auto" w:fill="FFFFFF"/>
        <w:spacing w:line="600" w:lineRule="atLeast"/>
        <w:ind w:firstLine="640"/>
        <w:rPr>
          <w:rFonts w:hint="eastAsia" w:ascii="仿宋" w:hAnsi="仿宋" w:eastAsia="仿宋" w:cs="Times New Roman"/>
          <w:spacing w:val="-2"/>
          <w:sz w:val="32"/>
          <w:szCs w:val="32"/>
        </w:rPr>
      </w:pPr>
      <w:r>
        <w:rPr>
          <w:rFonts w:hint="eastAsia" w:ascii="仿宋" w:hAnsi="仿宋" w:eastAsia="仿宋" w:cs="Times New Roman"/>
          <w:spacing w:val="-2"/>
          <w:sz w:val="32"/>
          <w:szCs w:val="32"/>
          <w:lang w:val="en-US" w:eastAsia="zh-CN"/>
        </w:rPr>
        <w:t>1.</w:t>
      </w:r>
      <w:r>
        <w:rPr>
          <w:rFonts w:hint="eastAsia" w:ascii="仿宋" w:hAnsi="仿宋" w:eastAsia="仿宋" w:cs="Times New Roman"/>
          <w:spacing w:val="-2"/>
          <w:sz w:val="32"/>
          <w:szCs w:val="32"/>
        </w:rPr>
        <w:t>202</w:t>
      </w:r>
      <w:r>
        <w:rPr>
          <w:rFonts w:hint="eastAsia" w:ascii="仿宋" w:hAnsi="仿宋" w:eastAsia="仿宋" w:cs="Times New Roman"/>
          <w:spacing w:val="-2"/>
          <w:sz w:val="32"/>
          <w:szCs w:val="32"/>
          <w:lang w:val="en-US" w:eastAsia="zh-CN"/>
        </w:rPr>
        <w:t>2</w:t>
      </w:r>
      <w:r>
        <w:rPr>
          <w:rFonts w:hint="eastAsia" w:ascii="仿宋" w:hAnsi="仿宋" w:eastAsia="仿宋" w:cs="Times New Roman"/>
          <w:spacing w:val="-2"/>
          <w:sz w:val="32"/>
          <w:szCs w:val="32"/>
        </w:rPr>
        <w:t>年部门预算情况 </w:t>
      </w:r>
    </w:p>
    <w:p>
      <w:pPr>
        <w:widowControl/>
        <w:shd w:val="clear" w:color="auto" w:fill="FFFFFF"/>
        <w:spacing w:line="600" w:lineRule="atLeast"/>
        <w:ind w:firstLine="640"/>
        <w:rPr>
          <w:rFonts w:hint="eastAsia" w:ascii="仿宋" w:hAnsi="仿宋" w:eastAsia="仿宋"/>
          <w:spacing w:val="-2"/>
          <w:sz w:val="32"/>
          <w:szCs w:val="32"/>
          <w:highlight w:val="none"/>
        </w:rPr>
      </w:pPr>
      <w:r>
        <w:rPr>
          <w:rFonts w:hint="eastAsia" w:ascii="仿宋" w:hAnsi="仿宋" w:eastAsia="仿宋"/>
          <w:spacing w:val="-2"/>
          <w:sz w:val="32"/>
          <w:szCs w:val="32"/>
        </w:rPr>
        <w:t>根据《怀化市财政局关于批复下达202</w:t>
      </w:r>
      <w:r>
        <w:rPr>
          <w:rFonts w:hint="eastAsia" w:ascii="仿宋" w:hAnsi="仿宋" w:eastAsia="仿宋"/>
          <w:spacing w:val="-2"/>
          <w:sz w:val="32"/>
          <w:szCs w:val="32"/>
          <w:lang w:val="en-US" w:eastAsia="zh-CN"/>
        </w:rPr>
        <w:t>2</w:t>
      </w:r>
      <w:r>
        <w:rPr>
          <w:rFonts w:hint="eastAsia" w:ascii="仿宋" w:hAnsi="仿宋" w:eastAsia="仿宋"/>
          <w:spacing w:val="-2"/>
          <w:sz w:val="32"/>
          <w:szCs w:val="32"/>
        </w:rPr>
        <w:t>年市直部门预算的通知》，202</w:t>
      </w:r>
      <w:r>
        <w:rPr>
          <w:rFonts w:hint="eastAsia" w:ascii="仿宋" w:hAnsi="仿宋" w:eastAsia="仿宋"/>
          <w:spacing w:val="-2"/>
          <w:sz w:val="32"/>
          <w:szCs w:val="32"/>
          <w:lang w:val="en-US" w:eastAsia="zh-CN"/>
        </w:rPr>
        <w:t>2</w:t>
      </w:r>
      <w:r>
        <w:rPr>
          <w:rFonts w:hint="eastAsia" w:ascii="仿宋" w:hAnsi="仿宋" w:eastAsia="仿宋"/>
          <w:spacing w:val="-2"/>
          <w:sz w:val="32"/>
          <w:szCs w:val="32"/>
          <w:highlight w:val="none"/>
        </w:rPr>
        <w:t>年我</w:t>
      </w:r>
      <w:r>
        <w:rPr>
          <w:rFonts w:hint="eastAsia" w:ascii="仿宋" w:hAnsi="仿宋" w:eastAsia="仿宋"/>
          <w:spacing w:val="-2"/>
          <w:sz w:val="32"/>
          <w:szCs w:val="32"/>
          <w:highlight w:val="none"/>
          <w:lang w:val="en-US" w:eastAsia="zh-CN"/>
        </w:rPr>
        <w:t>中心</w:t>
      </w:r>
      <w:r>
        <w:rPr>
          <w:rFonts w:hint="eastAsia" w:ascii="仿宋" w:hAnsi="仿宋" w:eastAsia="仿宋"/>
          <w:spacing w:val="-2"/>
          <w:sz w:val="32"/>
          <w:szCs w:val="32"/>
          <w:highlight w:val="none"/>
        </w:rPr>
        <w:t>年初预算收入119.17万元，其中，一般公共预算拨款收入</w:t>
      </w:r>
      <w:r>
        <w:rPr>
          <w:rFonts w:hint="eastAsia" w:ascii="仿宋" w:hAnsi="仿宋" w:eastAsia="仿宋"/>
          <w:spacing w:val="-2"/>
          <w:sz w:val="32"/>
          <w:szCs w:val="32"/>
          <w:highlight w:val="none"/>
          <w:lang w:val="en-US" w:eastAsia="zh-CN"/>
        </w:rPr>
        <w:t>119.17</w:t>
      </w:r>
      <w:r>
        <w:rPr>
          <w:rFonts w:hint="eastAsia" w:ascii="仿宋" w:hAnsi="仿宋" w:eastAsia="仿宋"/>
          <w:spacing w:val="-2"/>
          <w:sz w:val="32"/>
          <w:szCs w:val="32"/>
          <w:highlight w:val="none"/>
        </w:rPr>
        <w:t>万元</w:t>
      </w:r>
      <w:r>
        <w:rPr>
          <w:rFonts w:hint="eastAsia" w:ascii="仿宋" w:hAnsi="仿宋" w:eastAsia="仿宋"/>
          <w:spacing w:val="-2"/>
          <w:sz w:val="32"/>
          <w:szCs w:val="32"/>
          <w:highlight w:val="none"/>
          <w:lang w:eastAsia="zh-CN"/>
        </w:rPr>
        <w:t>，</w:t>
      </w:r>
      <w:r>
        <w:rPr>
          <w:rFonts w:hint="eastAsia" w:ascii="仿宋" w:hAnsi="仿宋" w:eastAsia="仿宋"/>
          <w:spacing w:val="-2"/>
          <w:sz w:val="32"/>
          <w:szCs w:val="32"/>
          <w:highlight w:val="none"/>
          <w:lang w:val="en-US" w:eastAsia="zh-CN"/>
        </w:rPr>
        <w:t>上年结转0万元</w:t>
      </w:r>
      <w:r>
        <w:rPr>
          <w:rFonts w:hint="eastAsia" w:ascii="仿宋" w:hAnsi="仿宋" w:eastAsia="仿宋"/>
          <w:spacing w:val="-2"/>
          <w:sz w:val="32"/>
          <w:szCs w:val="32"/>
          <w:highlight w:val="none"/>
        </w:rPr>
        <w:t>。年初支出总预算</w:t>
      </w:r>
      <w:r>
        <w:rPr>
          <w:rFonts w:hint="eastAsia" w:ascii="仿宋" w:hAnsi="仿宋" w:eastAsia="仿宋"/>
          <w:spacing w:val="-2"/>
          <w:sz w:val="32"/>
          <w:szCs w:val="32"/>
          <w:highlight w:val="none"/>
          <w:lang w:val="en-US" w:eastAsia="zh-CN"/>
        </w:rPr>
        <w:t>119.17</w:t>
      </w:r>
      <w:r>
        <w:rPr>
          <w:rFonts w:hint="eastAsia" w:ascii="仿宋" w:hAnsi="仿宋" w:eastAsia="仿宋"/>
          <w:spacing w:val="-2"/>
          <w:sz w:val="32"/>
          <w:szCs w:val="32"/>
          <w:highlight w:val="none"/>
        </w:rPr>
        <w:t>万元，其中：基本支出</w:t>
      </w:r>
      <w:r>
        <w:rPr>
          <w:rFonts w:hint="eastAsia" w:ascii="仿宋" w:hAnsi="仿宋" w:eastAsia="仿宋"/>
          <w:spacing w:val="-2"/>
          <w:sz w:val="32"/>
          <w:szCs w:val="32"/>
          <w:highlight w:val="none"/>
          <w:lang w:val="en-US" w:eastAsia="zh-CN"/>
        </w:rPr>
        <w:t>81.25</w:t>
      </w:r>
      <w:r>
        <w:rPr>
          <w:rFonts w:hint="eastAsia" w:ascii="仿宋" w:hAnsi="仿宋" w:eastAsia="仿宋"/>
          <w:spacing w:val="-2"/>
          <w:sz w:val="32"/>
          <w:szCs w:val="32"/>
          <w:highlight w:val="none"/>
        </w:rPr>
        <w:t>万元（工资福利支出</w:t>
      </w:r>
      <w:r>
        <w:rPr>
          <w:rFonts w:hint="eastAsia" w:ascii="仿宋" w:hAnsi="仿宋" w:eastAsia="仿宋"/>
          <w:spacing w:val="-2"/>
          <w:sz w:val="32"/>
          <w:szCs w:val="32"/>
          <w:highlight w:val="none"/>
          <w:lang w:val="en-US" w:eastAsia="zh-CN"/>
        </w:rPr>
        <w:t>69.25</w:t>
      </w:r>
      <w:r>
        <w:rPr>
          <w:rFonts w:hint="eastAsia" w:ascii="仿宋" w:hAnsi="仿宋" w:eastAsia="仿宋"/>
          <w:spacing w:val="-2"/>
          <w:sz w:val="32"/>
          <w:szCs w:val="32"/>
          <w:highlight w:val="none"/>
        </w:rPr>
        <w:t>万元，商品和服务支出12万元），项目支出</w:t>
      </w:r>
      <w:r>
        <w:rPr>
          <w:rFonts w:hint="eastAsia" w:ascii="仿宋" w:hAnsi="仿宋" w:eastAsia="仿宋"/>
          <w:spacing w:val="-2"/>
          <w:sz w:val="32"/>
          <w:szCs w:val="32"/>
          <w:highlight w:val="none"/>
          <w:lang w:val="en-US" w:eastAsia="zh-CN"/>
        </w:rPr>
        <w:t>37.92</w:t>
      </w:r>
      <w:r>
        <w:rPr>
          <w:rFonts w:hint="eastAsia" w:ascii="仿宋" w:hAnsi="仿宋" w:eastAsia="仿宋"/>
          <w:spacing w:val="-2"/>
          <w:sz w:val="32"/>
          <w:szCs w:val="32"/>
          <w:highlight w:val="none"/>
        </w:rPr>
        <w:t>万元。 </w:t>
      </w:r>
    </w:p>
    <w:p>
      <w:pPr>
        <w:widowControl/>
        <w:shd w:val="clear" w:color="auto" w:fill="FFFFFF"/>
        <w:spacing w:line="600" w:lineRule="atLeast"/>
        <w:ind w:firstLine="640"/>
        <w:rPr>
          <w:rFonts w:hint="eastAsia" w:ascii="仿宋" w:hAnsi="仿宋" w:eastAsia="仿宋"/>
          <w:spacing w:val="-2"/>
          <w:sz w:val="32"/>
          <w:szCs w:val="32"/>
          <w:highlight w:val="none"/>
        </w:rPr>
      </w:pPr>
      <w:r>
        <w:rPr>
          <w:rFonts w:hint="eastAsia" w:ascii="仿宋" w:hAnsi="仿宋" w:eastAsia="仿宋"/>
          <w:spacing w:val="-2"/>
          <w:sz w:val="32"/>
          <w:szCs w:val="32"/>
          <w:highlight w:val="none"/>
        </w:rPr>
        <w:t>202</w:t>
      </w:r>
      <w:r>
        <w:rPr>
          <w:rFonts w:hint="eastAsia" w:ascii="仿宋" w:hAnsi="仿宋" w:eastAsia="仿宋"/>
          <w:spacing w:val="-2"/>
          <w:sz w:val="32"/>
          <w:szCs w:val="32"/>
          <w:highlight w:val="none"/>
          <w:lang w:val="en-US" w:eastAsia="zh-CN"/>
        </w:rPr>
        <w:t>2</w:t>
      </w:r>
      <w:r>
        <w:rPr>
          <w:rFonts w:hint="eastAsia" w:ascii="仿宋" w:hAnsi="仿宋" w:eastAsia="仿宋"/>
          <w:spacing w:val="-2"/>
          <w:sz w:val="32"/>
          <w:szCs w:val="32"/>
          <w:highlight w:val="none"/>
        </w:rPr>
        <w:t>年收入预算调整数</w:t>
      </w:r>
      <w:r>
        <w:rPr>
          <w:rFonts w:hint="eastAsia" w:ascii="仿宋" w:hAnsi="仿宋" w:eastAsia="仿宋"/>
          <w:spacing w:val="-2"/>
          <w:sz w:val="32"/>
          <w:szCs w:val="32"/>
          <w:highlight w:val="none"/>
          <w:lang w:val="en-US" w:eastAsia="zh-CN"/>
        </w:rPr>
        <w:t>998.18</w:t>
      </w:r>
      <w:r>
        <w:rPr>
          <w:rFonts w:hint="eastAsia" w:ascii="仿宋" w:hAnsi="仿宋" w:eastAsia="仿宋"/>
          <w:spacing w:val="-2"/>
          <w:sz w:val="32"/>
          <w:szCs w:val="32"/>
          <w:highlight w:val="none"/>
        </w:rPr>
        <w:t>万元</w:t>
      </w:r>
      <w:r>
        <w:rPr>
          <w:rFonts w:hint="eastAsia" w:ascii="仿宋" w:hAnsi="仿宋" w:eastAsia="仿宋"/>
          <w:spacing w:val="-2"/>
          <w:sz w:val="32"/>
          <w:szCs w:val="32"/>
          <w:highlight w:val="none"/>
          <w:lang w:eastAsia="zh-CN"/>
        </w:rPr>
        <w:t>，</w:t>
      </w:r>
      <w:r>
        <w:rPr>
          <w:rFonts w:hint="eastAsia" w:ascii="仿宋" w:hAnsi="仿宋" w:eastAsia="仿宋"/>
          <w:spacing w:val="-2"/>
          <w:sz w:val="32"/>
          <w:szCs w:val="32"/>
          <w:highlight w:val="none"/>
        </w:rPr>
        <w:t>其中财政拨款收入调整预算数</w:t>
      </w:r>
      <w:r>
        <w:rPr>
          <w:rFonts w:hint="eastAsia" w:ascii="仿宋" w:hAnsi="仿宋" w:eastAsia="仿宋"/>
          <w:spacing w:val="-2"/>
          <w:sz w:val="32"/>
          <w:szCs w:val="32"/>
          <w:highlight w:val="none"/>
          <w:lang w:val="en-US" w:eastAsia="zh-CN"/>
        </w:rPr>
        <w:t>998.18</w:t>
      </w:r>
      <w:r>
        <w:rPr>
          <w:rFonts w:hint="eastAsia" w:ascii="仿宋" w:hAnsi="仿宋" w:eastAsia="仿宋"/>
          <w:spacing w:val="-2"/>
          <w:sz w:val="32"/>
          <w:szCs w:val="32"/>
          <w:highlight w:val="none"/>
        </w:rPr>
        <w:t>万元</w:t>
      </w:r>
      <w:r>
        <w:rPr>
          <w:rFonts w:hint="eastAsia" w:ascii="仿宋" w:hAnsi="仿宋" w:eastAsia="仿宋"/>
          <w:spacing w:val="-2"/>
          <w:sz w:val="32"/>
          <w:szCs w:val="32"/>
          <w:highlight w:val="none"/>
          <w:lang w:eastAsia="zh-CN"/>
        </w:rPr>
        <w:t>。</w:t>
      </w:r>
      <w:r>
        <w:rPr>
          <w:rFonts w:hint="eastAsia" w:ascii="仿宋" w:hAnsi="仿宋" w:eastAsia="仿宋"/>
          <w:spacing w:val="-2"/>
          <w:sz w:val="32"/>
          <w:szCs w:val="32"/>
          <w:highlight w:val="none"/>
        </w:rPr>
        <w:t>支出预算调整预算数</w:t>
      </w:r>
      <w:r>
        <w:rPr>
          <w:rFonts w:hint="eastAsia" w:ascii="仿宋" w:hAnsi="仿宋" w:eastAsia="仿宋"/>
          <w:spacing w:val="-2"/>
          <w:sz w:val="32"/>
          <w:szCs w:val="32"/>
          <w:highlight w:val="none"/>
          <w:lang w:val="en-US" w:eastAsia="zh-CN"/>
        </w:rPr>
        <w:t>998.18</w:t>
      </w:r>
      <w:r>
        <w:rPr>
          <w:rFonts w:hint="eastAsia" w:ascii="仿宋" w:hAnsi="仿宋" w:eastAsia="仿宋"/>
          <w:spacing w:val="-2"/>
          <w:sz w:val="32"/>
          <w:szCs w:val="32"/>
          <w:highlight w:val="none"/>
        </w:rPr>
        <w:t>万元，与年初预算安排的差额主要是年中追加</w:t>
      </w:r>
      <w:r>
        <w:rPr>
          <w:rFonts w:hint="eastAsia" w:ascii="仿宋" w:hAnsi="仿宋" w:eastAsia="仿宋"/>
          <w:spacing w:val="-2"/>
          <w:sz w:val="32"/>
          <w:szCs w:val="32"/>
          <w:highlight w:val="none"/>
          <w:lang w:val="en-US" w:eastAsia="zh-CN"/>
        </w:rPr>
        <w:t>退役安置补助经费</w:t>
      </w:r>
      <w:r>
        <w:rPr>
          <w:rFonts w:hint="eastAsia" w:ascii="仿宋" w:hAnsi="仿宋" w:eastAsia="仿宋"/>
          <w:spacing w:val="-2"/>
          <w:sz w:val="32"/>
          <w:szCs w:val="32"/>
          <w:highlight w:val="none"/>
        </w:rPr>
        <w:t>。 </w:t>
      </w:r>
    </w:p>
    <w:p>
      <w:pPr>
        <w:widowControl/>
        <w:shd w:val="clear" w:color="auto" w:fill="FFFFFF"/>
        <w:spacing w:line="600" w:lineRule="atLeast"/>
        <w:ind w:firstLine="640"/>
        <w:rPr>
          <w:rFonts w:hint="eastAsia" w:ascii="仿宋" w:hAnsi="仿宋" w:eastAsia="仿宋"/>
          <w:spacing w:val="-2"/>
          <w:sz w:val="32"/>
          <w:szCs w:val="32"/>
          <w:highlight w:val="none"/>
        </w:rPr>
      </w:pPr>
      <w:r>
        <w:rPr>
          <w:rFonts w:hint="eastAsia" w:ascii="仿宋" w:hAnsi="仿宋" w:eastAsia="仿宋"/>
          <w:spacing w:val="-2"/>
          <w:sz w:val="32"/>
          <w:szCs w:val="32"/>
          <w:highlight w:val="none"/>
          <w:lang w:val="en-US" w:eastAsia="zh-CN"/>
        </w:rPr>
        <w:t>2.</w:t>
      </w:r>
      <w:r>
        <w:rPr>
          <w:rFonts w:hint="eastAsia" w:ascii="仿宋" w:hAnsi="仿宋" w:eastAsia="仿宋"/>
          <w:spacing w:val="-2"/>
          <w:sz w:val="32"/>
          <w:szCs w:val="32"/>
          <w:highlight w:val="none"/>
        </w:rPr>
        <w:t>202</w:t>
      </w:r>
      <w:r>
        <w:rPr>
          <w:rFonts w:hint="eastAsia" w:ascii="仿宋" w:hAnsi="仿宋" w:eastAsia="仿宋"/>
          <w:spacing w:val="-2"/>
          <w:sz w:val="32"/>
          <w:szCs w:val="32"/>
          <w:highlight w:val="none"/>
          <w:lang w:val="en-US" w:eastAsia="zh-CN"/>
        </w:rPr>
        <w:t>2</w:t>
      </w:r>
      <w:r>
        <w:rPr>
          <w:rFonts w:hint="eastAsia" w:ascii="仿宋" w:hAnsi="仿宋" w:eastAsia="仿宋"/>
          <w:spacing w:val="-2"/>
          <w:sz w:val="32"/>
          <w:szCs w:val="32"/>
          <w:highlight w:val="none"/>
        </w:rPr>
        <w:t>年部门决算情况 </w:t>
      </w:r>
    </w:p>
    <w:p>
      <w:pPr>
        <w:widowControl/>
        <w:shd w:val="clear" w:color="auto" w:fill="FFFFFF"/>
        <w:spacing w:line="600" w:lineRule="atLeast"/>
        <w:ind w:firstLine="640"/>
        <w:rPr>
          <w:rFonts w:hint="eastAsia" w:ascii="仿宋" w:hAnsi="仿宋" w:eastAsia="仿宋"/>
          <w:spacing w:val="-2"/>
          <w:sz w:val="32"/>
          <w:szCs w:val="32"/>
          <w:highlight w:val="none"/>
        </w:rPr>
      </w:pPr>
      <w:r>
        <w:rPr>
          <w:rFonts w:hint="eastAsia" w:ascii="仿宋" w:hAnsi="仿宋" w:eastAsia="仿宋"/>
          <w:spacing w:val="-2"/>
          <w:sz w:val="32"/>
          <w:szCs w:val="32"/>
          <w:highlight w:val="none"/>
        </w:rPr>
        <w:t>202</w:t>
      </w:r>
      <w:r>
        <w:rPr>
          <w:rFonts w:hint="eastAsia" w:ascii="仿宋" w:hAnsi="仿宋" w:eastAsia="仿宋"/>
          <w:spacing w:val="-2"/>
          <w:sz w:val="32"/>
          <w:szCs w:val="32"/>
          <w:highlight w:val="none"/>
          <w:lang w:val="en-US" w:eastAsia="zh-CN"/>
        </w:rPr>
        <w:t>2</w:t>
      </w:r>
      <w:r>
        <w:rPr>
          <w:rFonts w:hint="eastAsia" w:ascii="仿宋" w:hAnsi="仿宋" w:eastAsia="仿宋"/>
          <w:spacing w:val="-2"/>
          <w:sz w:val="32"/>
          <w:szCs w:val="32"/>
          <w:highlight w:val="none"/>
        </w:rPr>
        <w:t>年度决算年初结转和结余</w:t>
      </w:r>
      <w:r>
        <w:rPr>
          <w:rFonts w:hint="eastAsia" w:ascii="仿宋" w:hAnsi="仿宋" w:eastAsia="仿宋"/>
          <w:spacing w:val="-2"/>
          <w:sz w:val="32"/>
          <w:szCs w:val="32"/>
          <w:highlight w:val="none"/>
          <w:lang w:val="en-US" w:eastAsia="zh-CN"/>
        </w:rPr>
        <w:t>0</w:t>
      </w:r>
      <w:r>
        <w:rPr>
          <w:rFonts w:hint="eastAsia" w:ascii="仿宋" w:hAnsi="仿宋" w:eastAsia="仿宋"/>
          <w:spacing w:val="-2"/>
          <w:sz w:val="32"/>
          <w:szCs w:val="32"/>
          <w:highlight w:val="none"/>
        </w:rPr>
        <w:t>万元，本年收入</w:t>
      </w:r>
      <w:r>
        <w:rPr>
          <w:rFonts w:hint="eastAsia" w:ascii="Times New Roman" w:hAnsi="Times New Roman" w:eastAsia="仿宋_GB2312" w:cstheme="minorBidi"/>
          <w:color w:val="auto"/>
          <w:kern w:val="2"/>
          <w:sz w:val="32"/>
          <w:szCs w:val="32"/>
          <w:highlight w:val="none"/>
          <w:lang w:val="en-US" w:eastAsia="zh-CN" w:bidi="ar-SA"/>
        </w:rPr>
        <w:t>1117.35</w:t>
      </w:r>
      <w:r>
        <w:rPr>
          <w:rFonts w:hint="eastAsia" w:ascii="仿宋" w:hAnsi="仿宋" w:eastAsia="仿宋"/>
          <w:spacing w:val="-2"/>
          <w:sz w:val="32"/>
          <w:szCs w:val="32"/>
          <w:highlight w:val="none"/>
        </w:rPr>
        <w:t>万元。202</w:t>
      </w:r>
      <w:r>
        <w:rPr>
          <w:rFonts w:hint="eastAsia" w:ascii="仿宋" w:hAnsi="仿宋" w:eastAsia="仿宋"/>
          <w:spacing w:val="-2"/>
          <w:sz w:val="32"/>
          <w:szCs w:val="32"/>
          <w:highlight w:val="none"/>
          <w:lang w:val="en-US" w:eastAsia="zh-CN"/>
        </w:rPr>
        <w:t>2</w:t>
      </w:r>
      <w:r>
        <w:rPr>
          <w:rFonts w:hint="eastAsia" w:ascii="仿宋" w:hAnsi="仿宋" w:eastAsia="仿宋"/>
          <w:spacing w:val="-2"/>
          <w:sz w:val="32"/>
          <w:szCs w:val="32"/>
          <w:highlight w:val="none"/>
        </w:rPr>
        <w:t>年度决算总</w:t>
      </w:r>
      <w:r>
        <w:rPr>
          <w:rFonts w:hint="eastAsia" w:ascii="Times New Roman" w:hAnsi="Times New Roman" w:eastAsia="仿宋_GB2312" w:cstheme="minorBidi"/>
          <w:color w:val="auto"/>
          <w:kern w:val="2"/>
          <w:sz w:val="32"/>
          <w:szCs w:val="32"/>
          <w:highlight w:val="none"/>
          <w:lang w:val="en-US" w:eastAsia="zh-CN" w:bidi="ar-SA"/>
        </w:rPr>
        <w:t>支出1117.35万元，其中：基本支出141.93万元，占12.70%；项目支出975.42万元，占87.30%</w:t>
      </w:r>
      <w:r>
        <w:rPr>
          <w:rFonts w:hint="eastAsia" w:ascii="仿宋" w:hAnsi="仿宋" w:eastAsia="仿宋"/>
          <w:spacing w:val="-2"/>
          <w:sz w:val="32"/>
          <w:szCs w:val="32"/>
          <w:highlight w:val="none"/>
        </w:rPr>
        <w:t>。202</w:t>
      </w:r>
      <w:r>
        <w:rPr>
          <w:rFonts w:hint="eastAsia" w:ascii="仿宋" w:hAnsi="仿宋" w:eastAsia="仿宋"/>
          <w:spacing w:val="-2"/>
          <w:sz w:val="32"/>
          <w:szCs w:val="32"/>
          <w:highlight w:val="none"/>
          <w:lang w:val="en-US" w:eastAsia="zh-CN"/>
        </w:rPr>
        <w:t>2</w:t>
      </w:r>
      <w:r>
        <w:rPr>
          <w:rFonts w:hint="eastAsia" w:ascii="仿宋" w:hAnsi="仿宋" w:eastAsia="仿宋"/>
          <w:spacing w:val="-2"/>
          <w:sz w:val="32"/>
          <w:szCs w:val="32"/>
          <w:highlight w:val="none"/>
        </w:rPr>
        <w:t>年年末结转和结余0万元。</w:t>
      </w:r>
    </w:p>
    <w:p>
      <w:pPr>
        <w:widowControl/>
        <w:shd w:val="clear" w:color="auto" w:fill="FFFFFF"/>
        <w:spacing w:line="600" w:lineRule="atLeast"/>
        <w:ind w:firstLine="640"/>
        <w:rPr>
          <w:rFonts w:hint="eastAsia" w:ascii="仿宋" w:hAnsi="仿宋" w:eastAsia="仿宋"/>
          <w:spacing w:val="-2"/>
          <w:sz w:val="32"/>
          <w:szCs w:val="32"/>
        </w:rPr>
      </w:pPr>
      <w:r>
        <w:rPr>
          <w:rFonts w:hint="eastAsia" w:ascii="仿宋" w:hAnsi="仿宋" w:eastAsia="仿宋"/>
          <w:spacing w:val="-2"/>
          <w:sz w:val="32"/>
          <w:szCs w:val="32"/>
          <w:lang w:val="en-US" w:eastAsia="zh-CN"/>
        </w:rPr>
        <w:t>3.</w:t>
      </w:r>
      <w:r>
        <w:rPr>
          <w:rFonts w:hint="eastAsia" w:ascii="仿宋" w:hAnsi="仿宋" w:eastAsia="仿宋"/>
          <w:spacing w:val="-2"/>
          <w:sz w:val="32"/>
          <w:szCs w:val="32"/>
        </w:rPr>
        <w:t>主要内容及涉及范围</w:t>
      </w:r>
    </w:p>
    <w:p>
      <w:pPr>
        <w:widowControl/>
        <w:shd w:val="clear" w:color="auto" w:fill="FFFFFF"/>
        <w:spacing w:line="600" w:lineRule="atLeast"/>
        <w:ind w:firstLine="640"/>
        <w:rPr>
          <w:rFonts w:hint="eastAsia" w:ascii="仿宋" w:hAnsi="仿宋" w:eastAsia="仿宋"/>
          <w:spacing w:val="-2"/>
          <w:sz w:val="32"/>
          <w:szCs w:val="32"/>
        </w:rPr>
      </w:pPr>
      <w:r>
        <w:rPr>
          <w:rFonts w:hint="eastAsia" w:ascii="仿宋" w:hAnsi="仿宋" w:eastAsia="仿宋"/>
          <w:spacing w:val="-2"/>
          <w:sz w:val="32"/>
          <w:szCs w:val="32"/>
          <w:lang w:val="en-US" w:eastAsia="zh-CN"/>
        </w:rPr>
        <w:t>部</w:t>
      </w:r>
      <w:r>
        <w:rPr>
          <w:rFonts w:hint="eastAsia" w:ascii="仿宋" w:hAnsi="仿宋" w:eastAsia="仿宋"/>
          <w:spacing w:val="-2"/>
          <w:sz w:val="32"/>
          <w:szCs w:val="32"/>
        </w:rPr>
        <w:t>门整体支出主要分为部门人员经费开支、机构日常运行经费开支及专项业务费以及项目开支。通过项目实施，提高</w:t>
      </w:r>
      <w:r>
        <w:rPr>
          <w:rFonts w:hint="eastAsia" w:ascii="仿宋" w:hAnsi="仿宋" w:eastAsia="仿宋"/>
          <w:spacing w:val="-2"/>
          <w:sz w:val="32"/>
          <w:szCs w:val="32"/>
          <w:lang w:val="en-US" w:eastAsia="zh-CN"/>
        </w:rPr>
        <w:t>了我中心</w:t>
      </w:r>
      <w:r>
        <w:rPr>
          <w:rFonts w:hint="eastAsia" w:ascii="仿宋" w:hAnsi="仿宋" w:eastAsia="仿宋"/>
          <w:spacing w:val="-2"/>
          <w:sz w:val="32"/>
          <w:szCs w:val="32"/>
        </w:rPr>
        <w:t>离退休干部服务工作水平</w:t>
      </w:r>
      <w:r>
        <w:rPr>
          <w:rFonts w:hint="eastAsia" w:ascii="仿宋" w:hAnsi="仿宋" w:eastAsia="仿宋"/>
          <w:spacing w:val="-2"/>
          <w:sz w:val="32"/>
          <w:szCs w:val="32"/>
          <w:lang w:eastAsia="zh-CN"/>
        </w:rPr>
        <w:t>，</w:t>
      </w:r>
      <w:r>
        <w:rPr>
          <w:rFonts w:hint="eastAsia" w:ascii="仿宋" w:hAnsi="仿宋" w:eastAsia="仿宋"/>
          <w:spacing w:val="-2"/>
          <w:sz w:val="32"/>
          <w:szCs w:val="32"/>
          <w:lang w:val="en-US" w:eastAsia="zh-CN"/>
        </w:rPr>
        <w:t>为</w:t>
      </w:r>
      <w:r>
        <w:rPr>
          <w:rFonts w:hint="eastAsia" w:ascii="仿宋" w:hAnsi="仿宋" w:eastAsia="仿宋"/>
          <w:spacing w:val="-2"/>
          <w:sz w:val="32"/>
          <w:szCs w:val="32"/>
        </w:rPr>
        <w:t>深化军休机构改革</w:t>
      </w:r>
      <w:r>
        <w:rPr>
          <w:rFonts w:hint="eastAsia" w:ascii="仿宋" w:hAnsi="仿宋" w:eastAsia="仿宋"/>
          <w:spacing w:val="-2"/>
          <w:sz w:val="32"/>
          <w:szCs w:val="32"/>
          <w:lang w:eastAsia="zh-CN"/>
        </w:rPr>
        <w:t>、</w:t>
      </w:r>
      <w:r>
        <w:rPr>
          <w:rFonts w:hint="eastAsia" w:ascii="仿宋" w:hAnsi="仿宋" w:eastAsia="仿宋"/>
          <w:spacing w:val="-2"/>
          <w:sz w:val="32"/>
          <w:szCs w:val="32"/>
          <w:lang w:val="en-US" w:eastAsia="zh-CN"/>
        </w:rPr>
        <w:t>落实</w:t>
      </w:r>
      <w:r>
        <w:rPr>
          <w:rFonts w:hint="eastAsia" w:ascii="仿宋" w:hAnsi="仿宋" w:eastAsia="仿宋"/>
          <w:spacing w:val="-2"/>
          <w:sz w:val="32"/>
          <w:szCs w:val="32"/>
        </w:rPr>
        <w:t>离退休干部</w:t>
      </w:r>
      <w:r>
        <w:rPr>
          <w:rFonts w:hint="eastAsia" w:ascii="仿宋" w:hAnsi="仿宋" w:eastAsia="仿宋"/>
          <w:spacing w:val="-2"/>
          <w:sz w:val="32"/>
          <w:szCs w:val="32"/>
          <w:lang w:val="en-US" w:eastAsia="zh-CN"/>
        </w:rPr>
        <w:t>待遇提供了有力保障</w:t>
      </w:r>
      <w:r>
        <w:rPr>
          <w:rFonts w:hint="eastAsia" w:ascii="仿宋" w:hAnsi="仿宋" w:eastAsia="仿宋"/>
          <w:spacing w:val="-2"/>
          <w:sz w:val="32"/>
          <w:szCs w:val="32"/>
        </w:rPr>
        <w:t>。</w:t>
      </w:r>
    </w:p>
    <w:p>
      <w:pPr>
        <w:widowControl/>
        <w:shd w:val="clear" w:color="auto" w:fill="FFFFFF"/>
        <w:spacing w:line="600" w:lineRule="atLeast"/>
        <w:ind w:firstLine="640"/>
        <w:rPr>
          <w:rFonts w:ascii="楷体" w:hAnsi="楷体" w:eastAsia="楷体"/>
          <w:b/>
          <w:spacing w:val="-2"/>
          <w:sz w:val="32"/>
          <w:szCs w:val="21"/>
        </w:rPr>
      </w:pPr>
      <w:r>
        <w:rPr>
          <w:rFonts w:ascii="楷体" w:hAnsi="楷体" w:eastAsia="楷体"/>
          <w:b/>
          <w:spacing w:val="-2"/>
          <w:sz w:val="32"/>
          <w:szCs w:val="32"/>
        </w:rPr>
        <w:t>二、部门整体支出管理及使用情况</w:t>
      </w:r>
    </w:p>
    <w:p>
      <w:pPr>
        <w:widowControl/>
        <w:shd w:val="clear" w:color="auto" w:fill="FFFFFF"/>
        <w:spacing w:line="600" w:lineRule="atLeast"/>
        <w:ind w:firstLine="643"/>
        <w:rPr>
          <w:rFonts w:ascii="仿宋" w:hAnsi="仿宋" w:eastAsia="仿宋"/>
          <w:b/>
          <w:spacing w:val="-2"/>
          <w:sz w:val="32"/>
          <w:szCs w:val="21"/>
          <w:highlight w:val="none"/>
        </w:rPr>
      </w:pPr>
      <w:r>
        <w:rPr>
          <w:rFonts w:ascii="仿宋" w:hAnsi="仿宋" w:eastAsia="仿宋"/>
          <w:b/>
          <w:spacing w:val="-2"/>
          <w:sz w:val="32"/>
          <w:szCs w:val="32"/>
          <w:highlight w:val="none"/>
        </w:rPr>
        <w:t>（一）基本支出</w:t>
      </w:r>
    </w:p>
    <w:p>
      <w:pPr>
        <w:widowControl/>
        <w:shd w:val="clear" w:color="auto" w:fill="FFFFFF"/>
        <w:spacing w:line="600" w:lineRule="atLeast"/>
        <w:ind w:firstLine="640"/>
        <w:rPr>
          <w:rFonts w:hint="eastAsia" w:ascii="仿宋" w:hAnsi="仿宋" w:eastAsia="仿宋"/>
          <w:spacing w:val="-2"/>
          <w:sz w:val="32"/>
          <w:szCs w:val="32"/>
          <w:highlight w:val="none"/>
        </w:rPr>
      </w:pPr>
      <w:r>
        <w:rPr>
          <w:rFonts w:hint="eastAsia" w:ascii="仿宋" w:hAnsi="仿宋" w:eastAsia="仿宋"/>
          <w:spacing w:val="-2"/>
          <w:sz w:val="32"/>
          <w:szCs w:val="32"/>
          <w:highlight w:val="none"/>
        </w:rPr>
        <w:t>20</w:t>
      </w:r>
      <w:r>
        <w:rPr>
          <w:rFonts w:hint="eastAsia" w:ascii="仿宋" w:hAnsi="仿宋" w:eastAsia="仿宋"/>
          <w:spacing w:val="-2"/>
          <w:sz w:val="32"/>
          <w:szCs w:val="32"/>
          <w:highlight w:val="none"/>
          <w:lang w:val="en-US" w:eastAsia="zh-CN"/>
        </w:rPr>
        <w:t>22</w:t>
      </w:r>
      <w:r>
        <w:rPr>
          <w:rFonts w:hint="eastAsia" w:ascii="仿宋" w:hAnsi="仿宋" w:eastAsia="仿宋"/>
          <w:spacing w:val="-2"/>
          <w:sz w:val="32"/>
          <w:szCs w:val="32"/>
          <w:highlight w:val="none"/>
        </w:rPr>
        <w:t>年基本支出</w:t>
      </w:r>
      <w:r>
        <w:rPr>
          <w:rFonts w:hint="eastAsia" w:ascii="仿宋" w:hAnsi="仿宋" w:eastAsia="仿宋"/>
          <w:spacing w:val="-2"/>
          <w:sz w:val="32"/>
          <w:szCs w:val="32"/>
          <w:highlight w:val="none"/>
          <w:lang w:val="en-US" w:eastAsia="zh-CN"/>
        </w:rPr>
        <w:t>141.93</w:t>
      </w:r>
      <w:r>
        <w:rPr>
          <w:rFonts w:hint="eastAsia" w:ascii="仿宋" w:hAnsi="仿宋" w:eastAsia="仿宋"/>
          <w:spacing w:val="-2"/>
          <w:sz w:val="32"/>
          <w:szCs w:val="32"/>
          <w:highlight w:val="none"/>
        </w:rPr>
        <w:t>万元 ，具体包括：</w:t>
      </w:r>
    </w:p>
    <w:p>
      <w:pPr>
        <w:widowControl/>
        <w:shd w:val="clear" w:color="auto" w:fill="FFFFFF"/>
        <w:spacing w:line="600" w:lineRule="atLeast"/>
        <w:ind w:firstLine="640"/>
        <w:rPr>
          <w:rFonts w:hint="eastAsia" w:ascii="仿宋" w:hAnsi="仿宋" w:eastAsia="仿宋"/>
          <w:spacing w:val="-2"/>
          <w:sz w:val="32"/>
          <w:szCs w:val="32"/>
          <w:highlight w:val="cyan"/>
          <w:lang w:eastAsia="zh-CN"/>
        </w:rPr>
      </w:pPr>
      <w:r>
        <w:rPr>
          <w:rFonts w:hint="eastAsia" w:ascii="仿宋" w:hAnsi="仿宋" w:eastAsia="仿宋"/>
          <w:spacing w:val="-2"/>
          <w:sz w:val="32"/>
          <w:szCs w:val="32"/>
          <w:highlight w:val="none"/>
          <w:lang w:val="en-US" w:eastAsia="zh-CN"/>
        </w:rPr>
        <w:t>1.</w:t>
      </w:r>
      <w:r>
        <w:rPr>
          <w:rFonts w:hint="eastAsia" w:ascii="仿宋" w:hAnsi="仿宋" w:eastAsia="仿宋"/>
          <w:spacing w:val="-2"/>
          <w:sz w:val="32"/>
          <w:szCs w:val="32"/>
          <w:highlight w:val="none"/>
        </w:rPr>
        <w:t>工资福利支出</w:t>
      </w:r>
      <w:r>
        <w:rPr>
          <w:rFonts w:hint="eastAsia" w:ascii="仿宋" w:hAnsi="仿宋" w:eastAsia="仿宋"/>
          <w:spacing w:val="-2"/>
          <w:sz w:val="32"/>
          <w:szCs w:val="32"/>
          <w:highlight w:val="none"/>
          <w:lang w:val="en-US" w:eastAsia="zh-CN"/>
        </w:rPr>
        <w:t>64.44</w:t>
      </w:r>
      <w:r>
        <w:rPr>
          <w:rFonts w:hint="eastAsia" w:ascii="仿宋" w:hAnsi="仿宋" w:eastAsia="仿宋"/>
          <w:spacing w:val="-2"/>
          <w:sz w:val="32"/>
          <w:szCs w:val="32"/>
          <w:highlight w:val="none"/>
        </w:rPr>
        <w:t>万元。主要包括在职人员基本工资</w:t>
      </w:r>
      <w:r>
        <w:rPr>
          <w:rFonts w:hint="eastAsia" w:ascii="仿宋" w:hAnsi="仿宋" w:eastAsia="仿宋"/>
          <w:spacing w:val="-2"/>
          <w:sz w:val="32"/>
          <w:szCs w:val="32"/>
          <w:highlight w:val="none"/>
          <w:lang w:val="en-US" w:eastAsia="zh-CN"/>
        </w:rPr>
        <w:t>18.55万元</w:t>
      </w:r>
      <w:r>
        <w:rPr>
          <w:rFonts w:hint="eastAsia" w:ascii="仿宋" w:hAnsi="仿宋" w:eastAsia="仿宋"/>
          <w:spacing w:val="-2"/>
          <w:sz w:val="32"/>
          <w:szCs w:val="32"/>
          <w:highlight w:val="none"/>
        </w:rPr>
        <w:t>、津贴补贴</w:t>
      </w:r>
      <w:r>
        <w:rPr>
          <w:rFonts w:hint="eastAsia" w:ascii="仿宋" w:hAnsi="仿宋" w:eastAsia="仿宋"/>
          <w:spacing w:val="-2"/>
          <w:sz w:val="32"/>
          <w:szCs w:val="32"/>
          <w:highlight w:val="none"/>
          <w:lang w:val="en-US" w:eastAsia="zh-CN"/>
        </w:rPr>
        <w:t>13.49万元</w:t>
      </w:r>
      <w:r>
        <w:rPr>
          <w:rFonts w:hint="eastAsia" w:ascii="仿宋" w:hAnsi="仿宋" w:eastAsia="仿宋"/>
          <w:spacing w:val="-2"/>
          <w:sz w:val="32"/>
          <w:szCs w:val="32"/>
          <w:highlight w:val="none"/>
        </w:rPr>
        <w:t>、奖金</w:t>
      </w:r>
      <w:r>
        <w:rPr>
          <w:rFonts w:hint="eastAsia" w:ascii="仿宋" w:hAnsi="仿宋" w:eastAsia="仿宋"/>
          <w:spacing w:val="-2"/>
          <w:sz w:val="32"/>
          <w:szCs w:val="32"/>
          <w:highlight w:val="none"/>
          <w:lang w:val="en-US" w:eastAsia="zh-CN"/>
        </w:rPr>
        <w:t>19.67 万元</w:t>
      </w:r>
      <w:r>
        <w:rPr>
          <w:rFonts w:hint="eastAsia" w:ascii="仿宋" w:hAnsi="仿宋" w:eastAsia="仿宋"/>
          <w:spacing w:val="-2"/>
          <w:sz w:val="32"/>
          <w:szCs w:val="32"/>
          <w:highlight w:val="none"/>
        </w:rPr>
        <w:t>、机关事业单位基本养老保险缴费</w:t>
      </w:r>
      <w:r>
        <w:rPr>
          <w:rFonts w:hint="eastAsia" w:ascii="仿宋" w:hAnsi="仿宋" w:eastAsia="仿宋"/>
          <w:spacing w:val="-2"/>
          <w:sz w:val="32"/>
          <w:szCs w:val="32"/>
          <w:highlight w:val="none"/>
          <w:lang w:val="en-US" w:eastAsia="zh-CN"/>
        </w:rPr>
        <w:t>8.36万元</w:t>
      </w:r>
      <w:r>
        <w:rPr>
          <w:rFonts w:hint="eastAsia" w:ascii="仿宋" w:hAnsi="仿宋" w:eastAsia="仿宋"/>
          <w:spacing w:val="-2"/>
          <w:sz w:val="32"/>
          <w:szCs w:val="32"/>
          <w:highlight w:val="none"/>
        </w:rPr>
        <w:t>、</w:t>
      </w:r>
      <w:r>
        <w:rPr>
          <w:rFonts w:hint="eastAsia" w:ascii="仿宋" w:hAnsi="仿宋" w:eastAsia="仿宋"/>
          <w:spacing w:val="-2"/>
          <w:sz w:val="32"/>
          <w:szCs w:val="32"/>
          <w:highlight w:val="none"/>
          <w:lang w:eastAsia="zh-CN"/>
        </w:rPr>
        <w:t>职</w:t>
      </w:r>
      <w:r>
        <w:rPr>
          <w:rFonts w:hint="eastAsia" w:ascii="仿宋" w:hAnsi="仿宋" w:eastAsia="仿宋"/>
          <w:spacing w:val="-2"/>
          <w:sz w:val="32"/>
          <w:szCs w:val="32"/>
          <w:highlight w:val="none"/>
        </w:rPr>
        <w:t>工基本医疗保险缴费</w:t>
      </w:r>
      <w:r>
        <w:rPr>
          <w:rFonts w:hint="eastAsia" w:ascii="仿宋" w:hAnsi="仿宋" w:eastAsia="仿宋"/>
          <w:spacing w:val="-2"/>
          <w:sz w:val="32"/>
          <w:szCs w:val="32"/>
          <w:highlight w:val="none"/>
          <w:lang w:val="en-US" w:eastAsia="zh-CN"/>
        </w:rPr>
        <w:t>3.8万元</w:t>
      </w:r>
      <w:r>
        <w:rPr>
          <w:rFonts w:hint="eastAsia" w:ascii="仿宋" w:hAnsi="仿宋" w:eastAsia="仿宋"/>
          <w:spacing w:val="-2"/>
          <w:sz w:val="32"/>
          <w:szCs w:val="32"/>
          <w:highlight w:val="none"/>
        </w:rPr>
        <w:t>、其他社会保障缴费</w:t>
      </w:r>
      <w:r>
        <w:rPr>
          <w:rFonts w:hint="eastAsia" w:ascii="仿宋" w:hAnsi="仿宋" w:eastAsia="仿宋"/>
          <w:spacing w:val="-2"/>
          <w:sz w:val="32"/>
          <w:szCs w:val="32"/>
          <w:highlight w:val="none"/>
          <w:lang w:val="en-US" w:eastAsia="zh-CN"/>
        </w:rPr>
        <w:t>0.31万元</w:t>
      </w:r>
      <w:r>
        <w:rPr>
          <w:rFonts w:hint="eastAsia" w:ascii="仿宋" w:hAnsi="仿宋" w:eastAsia="仿宋"/>
          <w:spacing w:val="-2"/>
          <w:sz w:val="32"/>
          <w:szCs w:val="32"/>
          <w:highlight w:val="none"/>
        </w:rPr>
        <w:t>，</w:t>
      </w:r>
      <w:r>
        <w:rPr>
          <w:rFonts w:hint="eastAsia" w:ascii="仿宋" w:hAnsi="仿宋" w:eastAsia="仿宋"/>
          <w:spacing w:val="-2"/>
          <w:sz w:val="32"/>
          <w:szCs w:val="32"/>
          <w:highlight w:val="none"/>
          <w:lang w:eastAsia="zh-CN"/>
        </w:rPr>
        <w:t>较</w:t>
      </w:r>
      <w:r>
        <w:rPr>
          <w:rFonts w:hint="eastAsia" w:ascii="仿宋" w:hAnsi="仿宋" w:eastAsia="仿宋"/>
          <w:spacing w:val="-2"/>
          <w:sz w:val="32"/>
          <w:szCs w:val="32"/>
          <w:highlight w:val="none"/>
        </w:rPr>
        <w:t>上年</w:t>
      </w:r>
      <w:r>
        <w:rPr>
          <w:rFonts w:hint="eastAsia" w:ascii="仿宋" w:hAnsi="仿宋" w:eastAsia="仿宋"/>
          <w:spacing w:val="-2"/>
          <w:sz w:val="32"/>
          <w:szCs w:val="32"/>
          <w:highlight w:val="none"/>
          <w:lang w:val="en-US" w:eastAsia="zh-CN"/>
        </w:rPr>
        <w:t>85.36</w:t>
      </w:r>
      <w:r>
        <w:rPr>
          <w:rFonts w:hint="eastAsia" w:ascii="仿宋" w:hAnsi="仿宋" w:eastAsia="仿宋"/>
          <w:spacing w:val="-2"/>
          <w:sz w:val="32"/>
          <w:szCs w:val="32"/>
          <w:highlight w:val="none"/>
        </w:rPr>
        <w:t>万元</w:t>
      </w:r>
      <w:r>
        <w:rPr>
          <w:rFonts w:hint="eastAsia" w:ascii="仿宋" w:hAnsi="仿宋" w:eastAsia="仿宋"/>
          <w:spacing w:val="-2"/>
          <w:sz w:val="32"/>
          <w:szCs w:val="32"/>
          <w:highlight w:val="none"/>
          <w:lang w:eastAsia="zh-CN"/>
        </w:rPr>
        <w:t>，减少</w:t>
      </w:r>
      <w:r>
        <w:rPr>
          <w:rFonts w:hint="eastAsia" w:ascii="仿宋" w:hAnsi="仿宋" w:eastAsia="仿宋"/>
          <w:spacing w:val="-2"/>
          <w:sz w:val="32"/>
          <w:szCs w:val="32"/>
          <w:highlight w:val="none"/>
          <w:lang w:val="en-US" w:eastAsia="zh-CN"/>
        </w:rPr>
        <w:t>20.92万元，减少24.51</w:t>
      </w:r>
      <w:r>
        <w:rPr>
          <w:rFonts w:hint="eastAsia" w:ascii="仿宋" w:hAnsi="仿宋" w:eastAsia="仿宋"/>
          <w:spacing w:val="-2"/>
          <w:sz w:val="32"/>
          <w:szCs w:val="32"/>
          <w:highlight w:val="none"/>
        </w:rPr>
        <w:t>%，</w:t>
      </w:r>
      <w:r>
        <w:rPr>
          <w:rFonts w:hint="eastAsia" w:ascii="仿宋" w:hAnsi="仿宋" w:eastAsia="仿宋"/>
          <w:spacing w:val="-2"/>
          <w:sz w:val="32"/>
          <w:szCs w:val="32"/>
          <w:highlight w:val="none"/>
          <w:lang w:eastAsia="zh-CN"/>
        </w:rPr>
        <w:t>减少的</w:t>
      </w:r>
      <w:r>
        <w:rPr>
          <w:rFonts w:hint="eastAsia" w:ascii="仿宋" w:hAnsi="仿宋" w:eastAsia="仿宋"/>
          <w:spacing w:val="-2"/>
          <w:sz w:val="32"/>
          <w:szCs w:val="32"/>
          <w:highlight w:val="none"/>
        </w:rPr>
        <w:t>原因</w:t>
      </w:r>
      <w:r>
        <w:rPr>
          <w:rFonts w:hint="eastAsia" w:ascii="仿宋" w:hAnsi="仿宋" w:eastAsia="仿宋"/>
          <w:spacing w:val="-2"/>
          <w:sz w:val="32"/>
          <w:szCs w:val="32"/>
          <w:highlight w:val="none"/>
          <w:lang w:val="en-US" w:eastAsia="zh-CN"/>
        </w:rPr>
        <w:t>为下半年机构合并后工资、住房公积金支出减少</w:t>
      </w:r>
      <w:r>
        <w:rPr>
          <w:rFonts w:hint="eastAsia" w:ascii="仿宋" w:hAnsi="仿宋" w:eastAsia="仿宋"/>
          <w:spacing w:val="-2"/>
          <w:sz w:val="32"/>
          <w:szCs w:val="32"/>
          <w:highlight w:val="none"/>
          <w:lang w:eastAsia="zh-CN"/>
        </w:rPr>
        <w:t>。</w:t>
      </w:r>
    </w:p>
    <w:p>
      <w:pPr>
        <w:widowControl/>
        <w:shd w:val="clear" w:color="auto" w:fill="FFFFFF"/>
        <w:spacing w:line="600" w:lineRule="atLeast"/>
        <w:ind w:firstLine="640"/>
        <w:rPr>
          <w:rFonts w:hint="eastAsia" w:ascii="仿宋" w:hAnsi="仿宋" w:eastAsia="仿宋"/>
          <w:spacing w:val="-2"/>
          <w:sz w:val="32"/>
          <w:szCs w:val="32"/>
          <w:highlight w:val="cyan"/>
        </w:rPr>
      </w:pPr>
    </w:p>
    <w:p>
      <w:pPr>
        <w:widowControl/>
        <w:shd w:val="clear" w:color="auto" w:fill="FFFFFF"/>
        <w:spacing w:line="600" w:lineRule="atLeast"/>
        <w:ind w:firstLine="640"/>
        <w:rPr>
          <w:rFonts w:hint="eastAsia" w:ascii="仿宋" w:hAnsi="仿宋" w:eastAsia="仿宋"/>
          <w:spacing w:val="-2"/>
          <w:sz w:val="32"/>
          <w:szCs w:val="32"/>
          <w:highlight w:val="cyan"/>
          <w:lang w:val="en-US" w:eastAsia="zh-CN"/>
        </w:rPr>
      </w:pPr>
      <w:r>
        <w:rPr>
          <w:rFonts w:hint="eastAsia" w:ascii="仿宋" w:hAnsi="仿宋" w:eastAsia="仿宋"/>
          <w:spacing w:val="-2"/>
          <w:sz w:val="32"/>
          <w:szCs w:val="32"/>
          <w:highlight w:val="none"/>
          <w:lang w:val="en-US" w:eastAsia="zh-CN"/>
        </w:rPr>
        <w:t>2.</w:t>
      </w:r>
      <w:r>
        <w:rPr>
          <w:rFonts w:hint="eastAsia" w:ascii="仿宋" w:hAnsi="仿宋" w:eastAsia="仿宋"/>
          <w:spacing w:val="-2"/>
          <w:sz w:val="32"/>
          <w:szCs w:val="32"/>
          <w:highlight w:val="none"/>
        </w:rPr>
        <w:t>一般商品和服务支出</w:t>
      </w:r>
      <w:r>
        <w:rPr>
          <w:rFonts w:hint="eastAsia" w:ascii="仿宋" w:hAnsi="仿宋" w:eastAsia="仿宋"/>
          <w:spacing w:val="-2"/>
          <w:sz w:val="32"/>
          <w:szCs w:val="32"/>
          <w:highlight w:val="none"/>
          <w:lang w:val="en-US" w:eastAsia="zh-CN"/>
        </w:rPr>
        <w:t>58.11</w:t>
      </w:r>
      <w:r>
        <w:rPr>
          <w:rFonts w:hint="eastAsia" w:ascii="仿宋" w:hAnsi="仿宋" w:eastAsia="仿宋"/>
          <w:spacing w:val="-2"/>
          <w:sz w:val="32"/>
          <w:szCs w:val="32"/>
          <w:highlight w:val="none"/>
        </w:rPr>
        <w:t>万元。</w:t>
      </w:r>
      <w:r>
        <w:rPr>
          <w:rFonts w:hint="eastAsia" w:ascii="仿宋" w:hAnsi="仿宋" w:eastAsia="仿宋"/>
          <w:spacing w:val="-2"/>
          <w:sz w:val="32"/>
          <w:szCs w:val="32"/>
          <w:highlight w:val="none"/>
          <w:lang w:val="en-US" w:eastAsia="zh-CN"/>
        </w:rPr>
        <w:t>主要</w:t>
      </w:r>
      <w:r>
        <w:rPr>
          <w:rFonts w:hint="eastAsia" w:ascii="仿宋" w:hAnsi="仿宋" w:eastAsia="仿宋"/>
          <w:spacing w:val="-2"/>
          <w:sz w:val="32"/>
          <w:szCs w:val="32"/>
          <w:highlight w:val="none"/>
        </w:rPr>
        <w:t>包括日常运行</w:t>
      </w:r>
      <w:r>
        <w:rPr>
          <w:rFonts w:hint="eastAsia" w:ascii="仿宋" w:hAnsi="仿宋" w:eastAsia="仿宋"/>
          <w:spacing w:val="-2"/>
          <w:sz w:val="32"/>
          <w:szCs w:val="32"/>
          <w:highlight w:val="none"/>
          <w:lang w:eastAsia="zh-CN"/>
        </w:rPr>
        <w:t>所需的</w:t>
      </w:r>
      <w:r>
        <w:rPr>
          <w:rFonts w:hint="eastAsia" w:ascii="仿宋" w:hAnsi="仿宋" w:eastAsia="仿宋"/>
          <w:spacing w:val="-2"/>
          <w:sz w:val="32"/>
          <w:szCs w:val="32"/>
          <w:highlight w:val="none"/>
        </w:rPr>
        <w:t>正常办公经费</w:t>
      </w:r>
      <w:r>
        <w:rPr>
          <w:rFonts w:hint="eastAsia" w:ascii="仿宋" w:hAnsi="仿宋" w:eastAsia="仿宋"/>
          <w:spacing w:val="-2"/>
          <w:sz w:val="32"/>
          <w:szCs w:val="32"/>
          <w:highlight w:val="none"/>
          <w:lang w:val="en-US" w:eastAsia="zh-CN"/>
        </w:rPr>
        <w:t>2.16万元</w:t>
      </w:r>
      <w:r>
        <w:rPr>
          <w:rFonts w:hint="eastAsia" w:ascii="仿宋" w:hAnsi="仿宋" w:eastAsia="仿宋"/>
          <w:spacing w:val="-2"/>
          <w:sz w:val="32"/>
          <w:szCs w:val="32"/>
          <w:highlight w:val="none"/>
        </w:rPr>
        <w:t>、差旅费</w:t>
      </w:r>
      <w:r>
        <w:rPr>
          <w:rFonts w:hint="eastAsia" w:ascii="仿宋" w:hAnsi="仿宋" w:eastAsia="仿宋"/>
          <w:spacing w:val="-2"/>
          <w:sz w:val="32"/>
          <w:szCs w:val="32"/>
          <w:highlight w:val="none"/>
          <w:lang w:val="en-US" w:eastAsia="zh-CN"/>
        </w:rPr>
        <w:t>1.99万元</w:t>
      </w:r>
      <w:r>
        <w:rPr>
          <w:rFonts w:hint="eastAsia" w:ascii="仿宋" w:hAnsi="仿宋" w:eastAsia="仿宋"/>
          <w:spacing w:val="-2"/>
          <w:sz w:val="32"/>
          <w:szCs w:val="32"/>
          <w:highlight w:val="none"/>
        </w:rPr>
        <w:t>、</w:t>
      </w:r>
      <w:r>
        <w:rPr>
          <w:rFonts w:hint="eastAsia" w:ascii="仿宋" w:hAnsi="仿宋" w:eastAsia="仿宋"/>
          <w:spacing w:val="-2"/>
          <w:sz w:val="32"/>
          <w:szCs w:val="32"/>
          <w:highlight w:val="none"/>
          <w:lang w:val="en-US" w:eastAsia="zh-CN"/>
        </w:rPr>
        <w:t>劳务费2.00万元、委托业务费3.02万元、工会经费35.47万元、福利费2.94万元、</w:t>
      </w:r>
      <w:r>
        <w:rPr>
          <w:rFonts w:hint="eastAsia" w:ascii="仿宋" w:hAnsi="仿宋" w:eastAsia="仿宋"/>
          <w:spacing w:val="-2"/>
          <w:sz w:val="32"/>
          <w:szCs w:val="32"/>
          <w:highlight w:val="none"/>
          <w:lang w:eastAsia="zh-CN"/>
        </w:rPr>
        <w:t>其</w:t>
      </w:r>
      <w:r>
        <w:rPr>
          <w:rFonts w:hint="eastAsia" w:ascii="仿宋" w:hAnsi="仿宋" w:eastAsia="仿宋"/>
          <w:spacing w:val="-2"/>
          <w:sz w:val="32"/>
          <w:szCs w:val="32"/>
          <w:highlight w:val="none"/>
        </w:rPr>
        <w:t>他商品和服务支出</w:t>
      </w:r>
      <w:r>
        <w:rPr>
          <w:rFonts w:hint="eastAsia" w:ascii="仿宋" w:hAnsi="仿宋" w:eastAsia="仿宋"/>
          <w:spacing w:val="-2"/>
          <w:sz w:val="32"/>
          <w:szCs w:val="32"/>
          <w:highlight w:val="none"/>
          <w:lang w:val="en-US" w:eastAsia="zh-CN"/>
        </w:rPr>
        <w:t>6.26万元。比上年7.18万元，增加709.33%，增加的主要原因为工会经费增加。</w:t>
      </w:r>
    </w:p>
    <w:p>
      <w:pPr>
        <w:widowControl/>
        <w:shd w:val="clear" w:color="auto" w:fill="FFFFFF"/>
        <w:spacing w:line="600" w:lineRule="atLeast"/>
        <w:ind w:firstLine="640"/>
        <w:rPr>
          <w:rFonts w:hint="eastAsia" w:ascii="仿宋" w:hAnsi="仿宋" w:eastAsia="仿宋"/>
          <w:spacing w:val="-2"/>
          <w:sz w:val="32"/>
          <w:szCs w:val="32"/>
          <w:highlight w:val="none"/>
          <w:lang w:val="en-US" w:eastAsia="zh-CN"/>
        </w:rPr>
      </w:pPr>
      <w:r>
        <w:rPr>
          <w:rFonts w:hint="eastAsia" w:ascii="仿宋" w:hAnsi="仿宋" w:eastAsia="仿宋"/>
          <w:b/>
          <w:bCs/>
          <w:spacing w:val="-2"/>
          <w:sz w:val="32"/>
          <w:szCs w:val="32"/>
          <w:highlight w:val="none"/>
        </w:rPr>
        <w:t>“三公”经费方面。</w:t>
      </w:r>
      <w:r>
        <w:rPr>
          <w:rFonts w:hint="eastAsia" w:ascii="仿宋" w:hAnsi="仿宋" w:eastAsia="仿宋"/>
          <w:b w:val="0"/>
          <w:bCs w:val="0"/>
          <w:spacing w:val="-2"/>
          <w:sz w:val="32"/>
          <w:szCs w:val="32"/>
          <w:highlight w:val="none"/>
          <w:lang w:val="en-US" w:eastAsia="zh-CN"/>
        </w:rPr>
        <w:t>2022年</w:t>
      </w:r>
      <w:r>
        <w:rPr>
          <w:rFonts w:hint="eastAsia" w:ascii="仿宋" w:hAnsi="仿宋" w:eastAsia="仿宋"/>
          <w:b w:val="0"/>
          <w:bCs w:val="0"/>
          <w:spacing w:val="-2"/>
          <w:sz w:val="32"/>
          <w:szCs w:val="32"/>
          <w:highlight w:val="none"/>
        </w:rPr>
        <w:t>公</w:t>
      </w:r>
      <w:r>
        <w:rPr>
          <w:rFonts w:hint="eastAsia" w:ascii="仿宋" w:hAnsi="仿宋" w:eastAsia="仿宋"/>
          <w:spacing w:val="-2"/>
          <w:sz w:val="32"/>
          <w:szCs w:val="32"/>
          <w:highlight w:val="none"/>
        </w:rPr>
        <w:t>务接待费实际开支</w:t>
      </w:r>
      <w:r>
        <w:rPr>
          <w:rFonts w:hint="eastAsia" w:ascii="仿宋" w:hAnsi="仿宋" w:eastAsia="仿宋"/>
          <w:spacing w:val="-2"/>
          <w:sz w:val="32"/>
          <w:szCs w:val="32"/>
          <w:highlight w:val="none"/>
          <w:lang w:val="en-US" w:eastAsia="zh-CN"/>
        </w:rPr>
        <w:t>0.16</w:t>
      </w:r>
      <w:r>
        <w:rPr>
          <w:rFonts w:hint="eastAsia" w:ascii="仿宋" w:hAnsi="仿宋" w:eastAsia="仿宋"/>
          <w:spacing w:val="-2"/>
          <w:sz w:val="32"/>
          <w:szCs w:val="32"/>
          <w:highlight w:val="none"/>
        </w:rPr>
        <w:t>万元，较上年</w:t>
      </w:r>
      <w:r>
        <w:rPr>
          <w:rFonts w:hint="eastAsia" w:ascii="仿宋" w:hAnsi="仿宋" w:eastAsia="仿宋"/>
          <w:spacing w:val="-2"/>
          <w:sz w:val="32"/>
          <w:szCs w:val="32"/>
          <w:highlight w:val="none"/>
          <w:lang w:val="en-US" w:eastAsia="zh-CN"/>
        </w:rPr>
        <w:t>增加</w:t>
      </w:r>
      <w:r>
        <w:rPr>
          <w:rFonts w:hint="eastAsia" w:ascii="仿宋" w:hAnsi="仿宋" w:eastAsia="仿宋"/>
          <w:spacing w:val="-2"/>
          <w:sz w:val="32"/>
          <w:szCs w:val="32"/>
          <w:highlight w:val="none"/>
        </w:rPr>
        <w:t>支出</w:t>
      </w:r>
      <w:r>
        <w:rPr>
          <w:rFonts w:hint="eastAsia" w:ascii="仿宋" w:hAnsi="仿宋" w:eastAsia="仿宋"/>
          <w:spacing w:val="-2"/>
          <w:sz w:val="32"/>
          <w:szCs w:val="32"/>
          <w:highlight w:val="none"/>
          <w:lang w:val="en-US" w:eastAsia="zh-CN"/>
        </w:rPr>
        <w:t>0.16</w:t>
      </w:r>
      <w:r>
        <w:rPr>
          <w:rFonts w:hint="eastAsia" w:ascii="仿宋" w:hAnsi="仿宋" w:eastAsia="仿宋"/>
          <w:spacing w:val="-2"/>
          <w:sz w:val="32"/>
          <w:szCs w:val="32"/>
          <w:highlight w:val="none"/>
        </w:rPr>
        <w:t>万元；公务用车运行维护费实际开支</w:t>
      </w:r>
      <w:r>
        <w:rPr>
          <w:rFonts w:hint="eastAsia" w:ascii="仿宋" w:hAnsi="仿宋" w:eastAsia="仿宋"/>
          <w:spacing w:val="-2"/>
          <w:sz w:val="32"/>
          <w:szCs w:val="32"/>
          <w:highlight w:val="none"/>
          <w:lang w:val="en-US" w:eastAsia="zh-CN"/>
        </w:rPr>
        <w:t>2.68</w:t>
      </w:r>
      <w:r>
        <w:rPr>
          <w:rFonts w:hint="eastAsia" w:ascii="仿宋" w:hAnsi="仿宋" w:eastAsia="仿宋"/>
          <w:spacing w:val="-2"/>
          <w:sz w:val="32"/>
          <w:szCs w:val="32"/>
          <w:highlight w:val="none"/>
        </w:rPr>
        <w:t>万元，较上年</w:t>
      </w:r>
      <w:r>
        <w:rPr>
          <w:rFonts w:hint="eastAsia" w:ascii="仿宋" w:hAnsi="仿宋" w:eastAsia="仿宋"/>
          <w:spacing w:val="-2"/>
          <w:sz w:val="32"/>
          <w:szCs w:val="32"/>
          <w:highlight w:val="none"/>
          <w:lang w:val="en-US" w:eastAsia="zh-CN"/>
        </w:rPr>
        <w:t>6.77</w:t>
      </w:r>
      <w:r>
        <w:rPr>
          <w:rFonts w:hint="eastAsia" w:ascii="仿宋" w:hAnsi="仿宋" w:eastAsia="仿宋"/>
          <w:spacing w:val="-2"/>
          <w:sz w:val="32"/>
          <w:szCs w:val="32"/>
          <w:highlight w:val="none"/>
        </w:rPr>
        <w:t>万元</w:t>
      </w:r>
      <w:r>
        <w:rPr>
          <w:rFonts w:hint="eastAsia" w:ascii="仿宋" w:hAnsi="仿宋" w:eastAsia="仿宋"/>
          <w:spacing w:val="-2"/>
          <w:sz w:val="32"/>
          <w:szCs w:val="32"/>
          <w:highlight w:val="none"/>
          <w:lang w:val="en-US" w:eastAsia="zh-CN"/>
        </w:rPr>
        <w:t>减少</w:t>
      </w:r>
      <w:r>
        <w:rPr>
          <w:rFonts w:hint="eastAsia" w:ascii="仿宋" w:hAnsi="仿宋" w:eastAsia="仿宋"/>
          <w:spacing w:val="-2"/>
          <w:sz w:val="32"/>
          <w:szCs w:val="32"/>
          <w:highlight w:val="none"/>
        </w:rPr>
        <w:t>支出</w:t>
      </w:r>
      <w:r>
        <w:rPr>
          <w:rFonts w:hint="eastAsia" w:ascii="仿宋" w:hAnsi="仿宋" w:eastAsia="仿宋"/>
          <w:spacing w:val="-2"/>
          <w:sz w:val="32"/>
          <w:szCs w:val="32"/>
          <w:highlight w:val="none"/>
          <w:lang w:val="en-US" w:eastAsia="zh-CN"/>
        </w:rPr>
        <w:t>4.09</w:t>
      </w:r>
      <w:r>
        <w:rPr>
          <w:rFonts w:hint="eastAsia" w:ascii="仿宋" w:hAnsi="仿宋" w:eastAsia="仿宋"/>
          <w:spacing w:val="-2"/>
          <w:sz w:val="32"/>
          <w:szCs w:val="32"/>
          <w:highlight w:val="none"/>
        </w:rPr>
        <w:t>万元</w:t>
      </w:r>
      <w:r>
        <w:rPr>
          <w:rFonts w:hint="eastAsia" w:ascii="仿宋" w:hAnsi="仿宋" w:eastAsia="仿宋"/>
          <w:spacing w:val="-2"/>
          <w:sz w:val="32"/>
          <w:szCs w:val="32"/>
          <w:highlight w:val="none"/>
          <w:lang w:eastAsia="zh-CN"/>
        </w:rPr>
        <w:t>，</w:t>
      </w:r>
      <w:r>
        <w:rPr>
          <w:rFonts w:hint="eastAsia" w:ascii="仿宋" w:hAnsi="仿宋" w:eastAsia="仿宋"/>
          <w:spacing w:val="-2"/>
          <w:sz w:val="32"/>
          <w:szCs w:val="32"/>
          <w:highlight w:val="none"/>
          <w:lang w:val="en-US" w:eastAsia="zh-CN"/>
        </w:rPr>
        <w:t>主要原因为车辆维修费用减少。</w:t>
      </w:r>
    </w:p>
    <w:p>
      <w:pPr>
        <w:widowControl/>
        <w:shd w:val="clear" w:color="auto" w:fill="FFFFFF"/>
        <w:spacing w:line="600" w:lineRule="atLeast"/>
        <w:ind w:firstLine="640"/>
        <w:rPr>
          <w:rFonts w:hint="eastAsia" w:ascii="仿宋" w:hAnsi="仿宋" w:eastAsia="仿宋"/>
          <w:spacing w:val="-2"/>
          <w:sz w:val="32"/>
          <w:szCs w:val="32"/>
          <w:highlight w:val="none"/>
        </w:rPr>
      </w:pPr>
      <w:r>
        <w:rPr>
          <w:rFonts w:hint="eastAsia" w:ascii="仿宋" w:hAnsi="仿宋" w:eastAsia="仿宋"/>
          <w:b/>
          <w:bCs/>
          <w:spacing w:val="-2"/>
          <w:sz w:val="32"/>
          <w:szCs w:val="32"/>
          <w:highlight w:val="none"/>
        </w:rPr>
        <w:t>会议费、培训费</w:t>
      </w:r>
      <w:r>
        <w:rPr>
          <w:rFonts w:hint="eastAsia" w:ascii="仿宋" w:hAnsi="仿宋" w:eastAsia="仿宋"/>
          <w:b w:val="0"/>
          <w:bCs w:val="0"/>
          <w:spacing w:val="-2"/>
          <w:sz w:val="32"/>
          <w:szCs w:val="32"/>
          <w:highlight w:val="none"/>
        </w:rPr>
        <w:t>。</w:t>
      </w:r>
      <w:r>
        <w:rPr>
          <w:rFonts w:hint="eastAsia" w:ascii="仿宋" w:hAnsi="仿宋" w:eastAsia="仿宋"/>
          <w:b w:val="0"/>
          <w:bCs w:val="0"/>
          <w:spacing w:val="-2"/>
          <w:sz w:val="32"/>
          <w:szCs w:val="32"/>
          <w:highlight w:val="none"/>
          <w:lang w:val="en-US" w:eastAsia="zh-CN"/>
        </w:rPr>
        <w:t>2022年</w:t>
      </w:r>
      <w:r>
        <w:rPr>
          <w:rFonts w:hint="eastAsia" w:ascii="仿宋" w:hAnsi="仿宋" w:eastAsia="仿宋"/>
          <w:spacing w:val="-2"/>
          <w:sz w:val="32"/>
          <w:szCs w:val="32"/>
          <w:highlight w:val="none"/>
        </w:rPr>
        <w:t>会议费开支</w:t>
      </w:r>
      <w:r>
        <w:rPr>
          <w:rFonts w:hint="eastAsia" w:ascii="仿宋" w:hAnsi="仿宋" w:eastAsia="仿宋"/>
          <w:spacing w:val="-2"/>
          <w:sz w:val="32"/>
          <w:szCs w:val="32"/>
          <w:highlight w:val="none"/>
          <w:lang w:val="en-US" w:eastAsia="zh-CN"/>
        </w:rPr>
        <w:t>0</w:t>
      </w:r>
      <w:r>
        <w:rPr>
          <w:rFonts w:hint="eastAsia" w:ascii="仿宋" w:hAnsi="仿宋" w:eastAsia="仿宋"/>
          <w:spacing w:val="-2"/>
          <w:sz w:val="32"/>
          <w:szCs w:val="32"/>
          <w:highlight w:val="none"/>
        </w:rPr>
        <w:t>万元，培训费</w:t>
      </w:r>
      <w:r>
        <w:rPr>
          <w:rFonts w:hint="eastAsia" w:ascii="仿宋" w:hAnsi="仿宋" w:eastAsia="仿宋"/>
          <w:spacing w:val="-2"/>
          <w:sz w:val="32"/>
          <w:szCs w:val="32"/>
          <w:highlight w:val="none"/>
          <w:lang w:val="en-US" w:eastAsia="zh-CN"/>
        </w:rPr>
        <w:t>0.3</w:t>
      </w:r>
      <w:r>
        <w:rPr>
          <w:rFonts w:hint="eastAsia" w:ascii="仿宋" w:hAnsi="仿宋" w:eastAsia="仿宋"/>
          <w:spacing w:val="-2"/>
          <w:sz w:val="32"/>
          <w:szCs w:val="32"/>
          <w:highlight w:val="none"/>
        </w:rPr>
        <w:t>万元。</w:t>
      </w:r>
    </w:p>
    <w:p>
      <w:pPr>
        <w:widowControl/>
        <w:shd w:val="clear" w:color="auto" w:fill="FFFFFF"/>
        <w:spacing w:line="600" w:lineRule="atLeast"/>
        <w:ind w:firstLine="640"/>
        <w:rPr>
          <w:rFonts w:hint="eastAsia" w:ascii="仿宋" w:hAnsi="仿宋" w:eastAsia="仿宋"/>
          <w:spacing w:val="-2"/>
          <w:sz w:val="32"/>
          <w:szCs w:val="32"/>
          <w:highlight w:val="none"/>
        </w:rPr>
      </w:pPr>
      <w:r>
        <w:rPr>
          <w:rFonts w:hint="eastAsia" w:ascii="仿宋" w:hAnsi="仿宋" w:eastAsia="仿宋"/>
          <w:spacing w:val="-2"/>
          <w:sz w:val="32"/>
          <w:szCs w:val="32"/>
          <w:highlight w:val="none"/>
          <w:lang w:val="en-US" w:eastAsia="zh-CN"/>
        </w:rPr>
        <w:t>3.</w:t>
      </w:r>
      <w:r>
        <w:rPr>
          <w:rFonts w:hint="eastAsia" w:ascii="仿宋" w:hAnsi="仿宋" w:eastAsia="仿宋"/>
          <w:spacing w:val="-2"/>
          <w:sz w:val="32"/>
          <w:szCs w:val="32"/>
          <w:highlight w:val="none"/>
        </w:rPr>
        <w:t>对个人和家庭补助支出</w:t>
      </w:r>
      <w:r>
        <w:rPr>
          <w:rFonts w:hint="eastAsia" w:ascii="仿宋" w:hAnsi="仿宋" w:eastAsia="仿宋"/>
          <w:spacing w:val="-2"/>
          <w:sz w:val="32"/>
          <w:szCs w:val="32"/>
          <w:highlight w:val="none"/>
          <w:lang w:val="en-US" w:eastAsia="zh-CN"/>
        </w:rPr>
        <w:t>19.37</w:t>
      </w:r>
      <w:r>
        <w:rPr>
          <w:rFonts w:hint="eastAsia" w:ascii="仿宋" w:hAnsi="仿宋" w:eastAsia="仿宋"/>
          <w:spacing w:val="-2"/>
          <w:sz w:val="32"/>
          <w:szCs w:val="32"/>
          <w:highlight w:val="none"/>
        </w:rPr>
        <w:t>万元。主要包括</w:t>
      </w:r>
      <w:r>
        <w:rPr>
          <w:rFonts w:hint="eastAsia" w:ascii="仿宋" w:hAnsi="仿宋" w:eastAsia="仿宋"/>
          <w:spacing w:val="-2"/>
          <w:sz w:val="32"/>
          <w:szCs w:val="32"/>
          <w:highlight w:val="none"/>
          <w:lang w:val="en-US" w:eastAsia="zh-CN"/>
        </w:rPr>
        <w:t>生活补助12.30万元</w:t>
      </w:r>
      <w:r>
        <w:rPr>
          <w:rFonts w:hint="eastAsia" w:ascii="仿宋" w:hAnsi="仿宋" w:eastAsia="仿宋"/>
          <w:spacing w:val="-2"/>
          <w:sz w:val="32"/>
          <w:szCs w:val="32"/>
          <w:highlight w:val="none"/>
        </w:rPr>
        <w:t>、医疗费补助</w:t>
      </w:r>
      <w:r>
        <w:rPr>
          <w:rFonts w:hint="eastAsia" w:ascii="仿宋" w:hAnsi="仿宋" w:eastAsia="仿宋"/>
          <w:spacing w:val="-2"/>
          <w:sz w:val="32"/>
          <w:szCs w:val="32"/>
          <w:highlight w:val="none"/>
          <w:lang w:val="en-US" w:eastAsia="zh-CN"/>
        </w:rPr>
        <w:t>2.93万元、</w:t>
      </w:r>
      <w:r>
        <w:rPr>
          <w:rFonts w:hint="eastAsia" w:ascii="仿宋" w:hAnsi="仿宋" w:eastAsia="仿宋"/>
          <w:spacing w:val="-2"/>
          <w:sz w:val="32"/>
          <w:szCs w:val="32"/>
          <w:highlight w:val="none"/>
        </w:rPr>
        <w:t>其他对个人和家庭的补助</w:t>
      </w:r>
      <w:r>
        <w:rPr>
          <w:rFonts w:hint="eastAsia" w:ascii="仿宋" w:hAnsi="仿宋" w:eastAsia="仿宋"/>
          <w:spacing w:val="-2"/>
          <w:sz w:val="32"/>
          <w:szCs w:val="32"/>
          <w:highlight w:val="none"/>
          <w:lang w:val="en-US" w:eastAsia="zh-CN"/>
        </w:rPr>
        <w:t>4.15万元</w:t>
      </w:r>
      <w:r>
        <w:rPr>
          <w:rFonts w:hint="eastAsia" w:ascii="仿宋" w:hAnsi="仿宋" w:eastAsia="仿宋"/>
          <w:spacing w:val="-2"/>
          <w:sz w:val="32"/>
          <w:szCs w:val="32"/>
          <w:highlight w:val="none"/>
        </w:rPr>
        <w:t>。</w:t>
      </w:r>
    </w:p>
    <w:p>
      <w:pPr>
        <w:widowControl/>
        <w:shd w:val="clear" w:color="auto" w:fill="FFFFFF"/>
        <w:spacing w:line="600" w:lineRule="atLeast"/>
        <w:ind w:firstLine="643"/>
        <w:rPr>
          <w:rFonts w:ascii="楷体" w:hAnsi="楷体" w:eastAsia="楷体"/>
          <w:b/>
          <w:spacing w:val="-2"/>
          <w:sz w:val="32"/>
          <w:szCs w:val="21"/>
        </w:rPr>
      </w:pPr>
      <w:r>
        <w:rPr>
          <w:rFonts w:ascii="楷体" w:hAnsi="楷体" w:eastAsia="楷体"/>
          <w:b/>
          <w:spacing w:val="-2"/>
          <w:sz w:val="32"/>
          <w:szCs w:val="32"/>
        </w:rPr>
        <w:t>（二）专项支出</w:t>
      </w:r>
    </w:p>
    <w:p>
      <w:pPr>
        <w:widowControl/>
        <w:shd w:val="clear" w:color="auto" w:fill="FFFFFF"/>
        <w:spacing w:line="600" w:lineRule="atLeast"/>
        <w:ind w:firstLine="640"/>
        <w:rPr>
          <w:rFonts w:hint="eastAsia" w:ascii="仿宋" w:hAnsi="仿宋" w:eastAsia="仿宋"/>
          <w:spacing w:val="-2"/>
          <w:sz w:val="32"/>
          <w:szCs w:val="32"/>
          <w:lang w:val="en-US" w:eastAsia="zh-CN"/>
        </w:rPr>
      </w:pPr>
      <w:r>
        <w:rPr>
          <w:rFonts w:hint="eastAsia" w:ascii="仿宋" w:hAnsi="仿宋" w:eastAsia="仿宋"/>
          <w:spacing w:val="-2"/>
          <w:sz w:val="32"/>
          <w:szCs w:val="32"/>
          <w:lang w:val="en-US" w:eastAsia="zh-CN"/>
        </w:rPr>
        <w:t>专项支出管理和使用情况</w:t>
      </w:r>
    </w:p>
    <w:p>
      <w:pPr>
        <w:widowControl/>
        <w:shd w:val="clear" w:color="auto" w:fill="FFFFFF"/>
        <w:spacing w:line="600" w:lineRule="atLeast"/>
        <w:ind w:firstLine="640"/>
        <w:rPr>
          <w:rFonts w:hint="eastAsia" w:ascii="仿宋" w:hAnsi="仿宋" w:eastAsia="仿宋"/>
          <w:spacing w:val="-2"/>
          <w:sz w:val="32"/>
          <w:szCs w:val="32"/>
          <w:lang w:val="en-US" w:eastAsia="zh-CN"/>
        </w:rPr>
      </w:pPr>
      <w:r>
        <w:rPr>
          <w:rFonts w:hint="eastAsia" w:ascii="仿宋" w:hAnsi="仿宋" w:eastAsia="仿宋"/>
          <w:spacing w:val="-2"/>
          <w:sz w:val="32"/>
          <w:szCs w:val="32"/>
          <w:lang w:val="en-US" w:eastAsia="zh-CN"/>
        </w:rPr>
        <w:t>我单位专项资金为中央直达资金，内容涉密，不予公开。</w:t>
      </w:r>
    </w:p>
    <w:p>
      <w:pPr>
        <w:widowControl/>
        <w:shd w:val="clear" w:color="auto" w:fill="FFFFFF"/>
        <w:spacing w:line="600" w:lineRule="atLeast"/>
        <w:ind w:firstLine="640"/>
        <w:rPr>
          <w:rFonts w:ascii="楷体" w:hAnsi="楷体" w:eastAsia="楷体"/>
          <w:b/>
          <w:spacing w:val="-2"/>
          <w:sz w:val="32"/>
          <w:szCs w:val="21"/>
        </w:rPr>
      </w:pPr>
      <w:r>
        <w:rPr>
          <w:rFonts w:ascii="楷体" w:hAnsi="楷体" w:eastAsia="楷体"/>
          <w:b/>
          <w:spacing w:val="-2"/>
          <w:sz w:val="32"/>
          <w:szCs w:val="32"/>
        </w:rPr>
        <w:t>三、部门专项组织实施情况</w:t>
      </w:r>
    </w:p>
    <w:p>
      <w:pPr>
        <w:widowControl/>
        <w:shd w:val="clear" w:color="auto" w:fill="FFFFFF"/>
        <w:spacing w:line="600" w:lineRule="atLeast"/>
        <w:ind w:firstLine="640"/>
        <w:rPr>
          <w:rFonts w:hint="eastAsia" w:ascii="仿宋" w:hAnsi="仿宋" w:eastAsia="仿宋"/>
          <w:spacing w:val="-2"/>
          <w:sz w:val="32"/>
          <w:szCs w:val="32"/>
          <w:lang w:val="en-US" w:eastAsia="zh-CN"/>
        </w:rPr>
      </w:pPr>
      <w:r>
        <w:rPr>
          <w:rFonts w:hint="eastAsia" w:ascii="仿宋" w:hAnsi="仿宋" w:eastAsia="仿宋"/>
          <w:spacing w:val="-2"/>
          <w:sz w:val="32"/>
          <w:szCs w:val="32"/>
          <w:lang w:val="en-US" w:eastAsia="zh-CN"/>
        </w:rPr>
        <w:t>不公开。</w:t>
      </w:r>
    </w:p>
    <w:p>
      <w:pPr>
        <w:widowControl/>
        <w:shd w:val="clear" w:color="auto" w:fill="FFFFFF"/>
        <w:spacing w:line="600" w:lineRule="atLeast"/>
        <w:ind w:firstLine="640"/>
        <w:rPr>
          <w:rFonts w:ascii="楷体" w:hAnsi="楷体" w:eastAsia="楷体"/>
          <w:b/>
          <w:spacing w:val="-2"/>
          <w:sz w:val="32"/>
          <w:szCs w:val="21"/>
        </w:rPr>
      </w:pPr>
      <w:r>
        <w:rPr>
          <w:rFonts w:ascii="楷体" w:hAnsi="楷体" w:eastAsia="楷体"/>
          <w:b/>
          <w:spacing w:val="-2"/>
          <w:sz w:val="32"/>
          <w:szCs w:val="32"/>
        </w:rPr>
        <w:t>四、资产管理情况</w:t>
      </w:r>
    </w:p>
    <w:p>
      <w:pPr>
        <w:widowControl/>
        <w:shd w:val="clear" w:color="auto" w:fill="FFFFFF"/>
        <w:spacing w:line="600" w:lineRule="atLeast"/>
        <w:ind w:firstLine="640"/>
        <w:rPr>
          <w:rFonts w:hint="eastAsia" w:ascii="仿宋" w:hAnsi="仿宋" w:eastAsia="仿宋"/>
          <w:spacing w:val="-2"/>
          <w:sz w:val="32"/>
          <w:szCs w:val="32"/>
        </w:rPr>
      </w:pPr>
      <w:r>
        <w:rPr>
          <w:rFonts w:hint="eastAsia" w:ascii="仿宋" w:hAnsi="仿宋" w:eastAsia="仿宋"/>
          <w:spacing w:val="-2"/>
          <w:sz w:val="32"/>
          <w:szCs w:val="32"/>
        </w:rPr>
        <w:t>合理配置资产。严格按照怀化市财政局相关文件规定，坚持科学合理、优化资产，勤俭节约，从严控制的原则，根据履行工作职能的需求合理配置资产。</w:t>
      </w:r>
    </w:p>
    <w:p>
      <w:pPr>
        <w:widowControl/>
        <w:shd w:val="clear" w:color="auto" w:fill="FFFFFF"/>
        <w:spacing w:line="600" w:lineRule="atLeast"/>
        <w:ind w:firstLine="640"/>
        <w:rPr>
          <w:rFonts w:hint="eastAsia" w:ascii="仿宋" w:hAnsi="仿宋" w:eastAsia="仿宋"/>
          <w:spacing w:val="-2"/>
          <w:sz w:val="32"/>
          <w:szCs w:val="32"/>
        </w:rPr>
      </w:pPr>
      <w:r>
        <w:rPr>
          <w:rFonts w:hint="eastAsia" w:ascii="仿宋" w:hAnsi="仿宋" w:eastAsia="仿宋"/>
          <w:spacing w:val="-2"/>
          <w:sz w:val="32"/>
          <w:szCs w:val="32"/>
        </w:rPr>
        <w:t>加强日常维护。固定资产使用人负责资产的日常维护保养，保证资产安全完整，提高资产使用效率。</w:t>
      </w:r>
    </w:p>
    <w:p>
      <w:pPr>
        <w:widowControl/>
        <w:shd w:val="clear" w:color="auto" w:fill="FFFFFF"/>
        <w:spacing w:line="600" w:lineRule="atLeast"/>
        <w:ind w:firstLine="640"/>
        <w:rPr>
          <w:rFonts w:hint="eastAsia" w:ascii="仿宋" w:hAnsi="仿宋" w:eastAsia="仿宋"/>
          <w:spacing w:val="-2"/>
          <w:sz w:val="32"/>
          <w:szCs w:val="32"/>
        </w:rPr>
      </w:pPr>
      <w:r>
        <w:rPr>
          <w:rFonts w:hint="eastAsia" w:ascii="仿宋" w:hAnsi="仿宋" w:eastAsia="仿宋"/>
          <w:spacing w:val="-2"/>
          <w:sz w:val="32"/>
          <w:szCs w:val="32"/>
        </w:rPr>
        <w:t>每年定期组织资产清查，对资产进行账实核对，做到账实相符、账账相符。</w:t>
      </w:r>
    </w:p>
    <w:p>
      <w:pPr>
        <w:widowControl/>
        <w:shd w:val="clear" w:color="auto" w:fill="FFFFFF"/>
        <w:spacing w:line="600" w:lineRule="atLeast"/>
        <w:ind w:firstLine="640"/>
        <w:rPr>
          <w:rFonts w:ascii="楷体" w:hAnsi="楷体" w:eastAsia="楷体"/>
          <w:b/>
          <w:spacing w:val="-2"/>
          <w:sz w:val="32"/>
          <w:szCs w:val="21"/>
        </w:rPr>
      </w:pPr>
      <w:r>
        <w:rPr>
          <w:rFonts w:ascii="楷体" w:hAnsi="楷体" w:eastAsia="楷体"/>
          <w:b/>
          <w:spacing w:val="-2"/>
          <w:sz w:val="32"/>
          <w:szCs w:val="32"/>
        </w:rPr>
        <w:t>五、部门整体支出绩效情况</w:t>
      </w:r>
    </w:p>
    <w:p>
      <w:pPr>
        <w:widowControl/>
        <w:shd w:val="clear" w:color="auto" w:fill="FFFFFF"/>
        <w:spacing w:line="600" w:lineRule="atLeast"/>
        <w:ind w:firstLine="640"/>
        <w:rPr>
          <w:rFonts w:hint="eastAsia" w:ascii="仿宋" w:hAnsi="仿宋" w:eastAsia="仿宋"/>
          <w:spacing w:val="-2"/>
          <w:sz w:val="32"/>
          <w:szCs w:val="32"/>
          <w:lang w:eastAsia="zh-CN"/>
        </w:rPr>
      </w:pPr>
      <w:r>
        <w:rPr>
          <w:rFonts w:hint="eastAsia" w:ascii="仿宋" w:hAnsi="仿宋" w:eastAsia="仿宋"/>
          <w:spacing w:val="-2"/>
          <w:sz w:val="32"/>
          <w:szCs w:val="32"/>
          <w:lang w:eastAsia="zh-CN"/>
        </w:rPr>
        <w:t>我</w:t>
      </w:r>
      <w:r>
        <w:rPr>
          <w:rFonts w:hint="eastAsia" w:ascii="仿宋" w:hAnsi="仿宋" w:eastAsia="仿宋"/>
          <w:spacing w:val="-2"/>
          <w:sz w:val="32"/>
          <w:szCs w:val="32"/>
          <w:lang w:val="en-US" w:eastAsia="zh-CN"/>
        </w:rPr>
        <w:t>中心</w:t>
      </w:r>
      <w:r>
        <w:rPr>
          <w:rFonts w:hint="eastAsia" w:ascii="仿宋" w:hAnsi="仿宋" w:eastAsia="仿宋"/>
          <w:spacing w:val="-2"/>
          <w:sz w:val="32"/>
          <w:szCs w:val="32"/>
          <w:lang w:eastAsia="zh-CN"/>
        </w:rPr>
        <w:t>从部门整体支出的经济性、效率性、有效性和可持续性等对20</w:t>
      </w:r>
      <w:r>
        <w:rPr>
          <w:rFonts w:hint="eastAsia" w:ascii="仿宋" w:hAnsi="仿宋" w:eastAsia="仿宋"/>
          <w:spacing w:val="-2"/>
          <w:sz w:val="32"/>
          <w:szCs w:val="32"/>
          <w:lang w:val="en-US" w:eastAsia="zh-CN"/>
        </w:rPr>
        <w:t>22</w:t>
      </w:r>
      <w:r>
        <w:rPr>
          <w:rFonts w:hint="eastAsia" w:ascii="仿宋" w:hAnsi="仿宋" w:eastAsia="仿宋"/>
          <w:spacing w:val="-2"/>
          <w:sz w:val="32"/>
          <w:szCs w:val="32"/>
          <w:lang w:eastAsia="zh-CN"/>
        </w:rPr>
        <w:t>年部门整体支出绩效开展了评价，自评得分</w:t>
      </w:r>
      <w:r>
        <w:rPr>
          <w:rFonts w:hint="eastAsia" w:ascii="仿宋" w:hAnsi="仿宋" w:eastAsia="仿宋"/>
          <w:spacing w:val="-2"/>
          <w:sz w:val="32"/>
          <w:szCs w:val="32"/>
          <w:lang w:val="en-US" w:eastAsia="zh-CN"/>
        </w:rPr>
        <w:t>90</w:t>
      </w:r>
      <w:r>
        <w:rPr>
          <w:rFonts w:hint="eastAsia" w:ascii="仿宋" w:hAnsi="仿宋" w:eastAsia="仿宋"/>
          <w:spacing w:val="-2"/>
          <w:sz w:val="32"/>
          <w:szCs w:val="32"/>
          <w:lang w:eastAsia="zh-CN"/>
        </w:rPr>
        <w:t>分，具体情况如下：</w:t>
      </w:r>
    </w:p>
    <w:p>
      <w:pPr>
        <w:widowControl/>
        <w:shd w:val="clear" w:color="auto" w:fill="FFFFFF"/>
        <w:spacing w:line="600" w:lineRule="atLeast"/>
        <w:ind w:firstLine="643"/>
        <w:rPr>
          <w:rFonts w:hint="eastAsia" w:ascii="楷体" w:hAnsi="楷体" w:eastAsia="楷体"/>
          <w:b/>
          <w:spacing w:val="-2"/>
          <w:sz w:val="32"/>
          <w:szCs w:val="32"/>
        </w:rPr>
      </w:pPr>
      <w:r>
        <w:rPr>
          <w:rFonts w:hint="eastAsia" w:ascii="楷体" w:hAnsi="楷体" w:eastAsia="楷体"/>
          <w:b/>
          <w:spacing w:val="-2"/>
          <w:sz w:val="32"/>
          <w:szCs w:val="32"/>
        </w:rPr>
        <w:t>（一）经济性分析</w:t>
      </w:r>
    </w:p>
    <w:p>
      <w:pPr>
        <w:widowControl/>
        <w:shd w:val="clear" w:color="auto" w:fill="FFFFFF"/>
        <w:spacing w:line="600" w:lineRule="atLeast"/>
        <w:ind w:firstLine="640"/>
        <w:rPr>
          <w:rFonts w:hint="eastAsia" w:ascii="楷体" w:hAnsi="楷体" w:eastAsia="楷体"/>
          <w:b/>
          <w:spacing w:val="-2"/>
          <w:sz w:val="32"/>
          <w:szCs w:val="32"/>
          <w:highlight w:val="none"/>
        </w:rPr>
      </w:pPr>
      <w:r>
        <w:rPr>
          <w:rFonts w:hint="eastAsia" w:ascii="仿宋" w:hAnsi="仿宋" w:eastAsia="仿宋" w:cs="Times New Roman"/>
          <w:spacing w:val="-2"/>
          <w:sz w:val="32"/>
          <w:szCs w:val="32"/>
          <w:highlight w:val="none"/>
          <w:lang w:val="en-US" w:eastAsia="zh-CN"/>
        </w:rPr>
        <w:t>2022年年初预算</w:t>
      </w:r>
      <w:r>
        <w:rPr>
          <w:rFonts w:hint="eastAsia" w:ascii="仿宋" w:hAnsi="仿宋" w:eastAsia="仿宋"/>
          <w:spacing w:val="-2"/>
          <w:sz w:val="32"/>
          <w:szCs w:val="32"/>
          <w:highlight w:val="none"/>
        </w:rPr>
        <w:t>119.17</w:t>
      </w:r>
      <w:r>
        <w:rPr>
          <w:rFonts w:hint="eastAsia" w:ascii="仿宋" w:hAnsi="仿宋" w:eastAsia="仿宋" w:cs="Times New Roman"/>
          <w:spacing w:val="-2"/>
          <w:sz w:val="32"/>
          <w:szCs w:val="32"/>
          <w:highlight w:val="none"/>
          <w:lang w:val="en-US" w:eastAsia="zh-CN"/>
        </w:rPr>
        <w:t>万元，</w:t>
      </w:r>
      <w:r>
        <w:rPr>
          <w:rFonts w:hint="eastAsia" w:ascii="仿宋" w:hAnsi="仿宋" w:eastAsia="仿宋"/>
          <w:spacing w:val="-2"/>
          <w:sz w:val="32"/>
          <w:szCs w:val="32"/>
          <w:highlight w:val="none"/>
        </w:rPr>
        <w:t>预算调整数</w:t>
      </w:r>
      <w:r>
        <w:rPr>
          <w:rFonts w:hint="eastAsia" w:ascii="仿宋" w:hAnsi="仿宋" w:eastAsia="仿宋"/>
          <w:spacing w:val="-2"/>
          <w:sz w:val="32"/>
          <w:szCs w:val="32"/>
          <w:highlight w:val="none"/>
          <w:lang w:val="en-US" w:eastAsia="zh-CN"/>
        </w:rPr>
        <w:t>998.18</w:t>
      </w:r>
      <w:r>
        <w:rPr>
          <w:rFonts w:hint="eastAsia" w:ascii="仿宋" w:hAnsi="仿宋" w:eastAsia="仿宋"/>
          <w:spacing w:val="-2"/>
          <w:sz w:val="32"/>
          <w:szCs w:val="32"/>
          <w:highlight w:val="none"/>
        </w:rPr>
        <w:t>万元</w:t>
      </w:r>
      <w:r>
        <w:rPr>
          <w:rFonts w:hint="eastAsia" w:ascii="仿宋" w:hAnsi="仿宋" w:eastAsia="仿宋" w:cs="Times New Roman"/>
          <w:spacing w:val="-2"/>
          <w:sz w:val="32"/>
          <w:szCs w:val="32"/>
          <w:highlight w:val="none"/>
          <w:lang w:val="en-US" w:eastAsia="zh-CN"/>
        </w:rPr>
        <w:t xml:space="preserve">，剔除年中追加的退役安置补助经费，我中心未向财政申请增加预算，成本（预算）控制良好。  </w:t>
      </w:r>
    </w:p>
    <w:p>
      <w:pPr>
        <w:widowControl/>
        <w:shd w:val="clear" w:color="auto" w:fill="FFFFFF"/>
        <w:spacing w:line="600" w:lineRule="atLeast"/>
        <w:ind w:firstLine="643"/>
        <w:rPr>
          <w:rFonts w:hint="eastAsia" w:ascii="楷体" w:hAnsi="楷体" w:eastAsia="楷体"/>
          <w:b/>
          <w:spacing w:val="-2"/>
          <w:sz w:val="32"/>
          <w:szCs w:val="32"/>
        </w:rPr>
      </w:pPr>
      <w:r>
        <w:rPr>
          <w:rFonts w:hint="eastAsia" w:ascii="楷体" w:hAnsi="楷体" w:eastAsia="楷体"/>
          <w:b/>
          <w:spacing w:val="-2"/>
          <w:sz w:val="32"/>
          <w:szCs w:val="32"/>
        </w:rPr>
        <w:t>（二）效率性分析</w:t>
      </w:r>
    </w:p>
    <w:p>
      <w:pPr>
        <w:widowControl/>
        <w:shd w:val="clear" w:color="auto" w:fill="FFFFFF"/>
        <w:spacing w:line="600" w:lineRule="atLeast"/>
        <w:ind w:firstLine="643"/>
        <w:rPr>
          <w:rFonts w:hint="eastAsia" w:ascii="仿宋" w:hAnsi="仿宋" w:eastAsia="仿宋" w:cs="Times New Roman"/>
          <w:spacing w:val="-2"/>
          <w:sz w:val="32"/>
          <w:szCs w:val="32"/>
          <w:lang w:val="en-US" w:eastAsia="zh-CN"/>
        </w:rPr>
      </w:pPr>
      <w:r>
        <w:rPr>
          <w:rFonts w:hint="eastAsia" w:ascii="仿宋" w:hAnsi="仿宋" w:eastAsia="仿宋" w:cs="Times New Roman"/>
          <w:spacing w:val="-2"/>
          <w:sz w:val="32"/>
          <w:szCs w:val="32"/>
          <w:lang w:val="en-US" w:eastAsia="zh-CN"/>
        </w:rPr>
        <w:t>2022年，我中心在省厅军休处的支持指导下，在市局党组的坚强领导下，紧紧围绕贯彻落实军队离退休干部“两项待遇”，结合开展创先争优，不断提高军休服务管理水平，维护社会稳定，构建和谐怀化，各项工作取得长足发展。</w:t>
      </w:r>
    </w:p>
    <w:p>
      <w:pPr>
        <w:widowControl/>
        <w:shd w:val="clear" w:color="auto" w:fill="FFFFFF"/>
        <w:spacing w:line="600" w:lineRule="atLeast"/>
        <w:ind w:firstLine="640"/>
        <w:rPr>
          <w:rFonts w:hint="eastAsia" w:ascii="仿宋" w:hAnsi="仿宋" w:eastAsia="仿宋" w:cs="Times New Roman"/>
          <w:spacing w:val="-2"/>
          <w:sz w:val="32"/>
          <w:szCs w:val="32"/>
          <w:lang w:val="en-US" w:eastAsia="zh-CN"/>
        </w:rPr>
      </w:pPr>
      <w:r>
        <w:rPr>
          <w:rFonts w:hint="eastAsia" w:ascii="仿宋" w:hAnsi="仿宋" w:eastAsia="仿宋" w:cs="Times New Roman"/>
          <w:b/>
          <w:bCs/>
          <w:spacing w:val="-2"/>
          <w:sz w:val="32"/>
          <w:szCs w:val="32"/>
          <w:lang w:val="en-US" w:eastAsia="zh-CN"/>
        </w:rPr>
        <w:t>1.坚决落实安置任务，履职不打折扣。</w:t>
      </w:r>
      <w:r>
        <w:rPr>
          <w:rFonts w:hint="eastAsia" w:ascii="仿宋" w:hAnsi="仿宋" w:eastAsia="仿宋" w:cs="Times New Roman"/>
          <w:spacing w:val="-2"/>
          <w:sz w:val="32"/>
          <w:szCs w:val="32"/>
          <w:lang w:val="en-US" w:eastAsia="zh-CN"/>
        </w:rPr>
        <w:t>在做好军休人员接收安置工作中，我中心自觉站在服务强军改革的高度，按照“只要部队交得出，地方就能接得下”和“即退即审即交即接”的要求，对移交我中心安置的军休人员，主动对接，快速跟进，积极为军休人员办理相关安置手续。特别是对于伤病残军休人员，主动与移交部队和安置对象进行沟通，与市局主管科室相互配合，采取请进来，三方见面的办法，认真做好接收安置对象的思想政治工作，仔细耐心地解释移交安置政策及相关待遇，督促部队解决移交对象的遗留问题，努力使移交三方满意。每年都圆满完成年度安置任务。</w:t>
      </w:r>
    </w:p>
    <w:p>
      <w:pPr>
        <w:widowControl/>
        <w:shd w:val="clear" w:color="auto" w:fill="FFFFFF"/>
        <w:spacing w:line="600" w:lineRule="atLeast"/>
        <w:ind w:firstLine="640"/>
        <w:rPr>
          <w:rFonts w:hint="eastAsia" w:ascii="仿宋" w:hAnsi="仿宋" w:eastAsia="仿宋" w:cs="Times New Roman"/>
          <w:spacing w:val="-2"/>
          <w:sz w:val="32"/>
          <w:szCs w:val="32"/>
          <w:lang w:val="en-US" w:eastAsia="zh-CN"/>
        </w:rPr>
      </w:pPr>
      <w:r>
        <w:rPr>
          <w:rFonts w:hint="eastAsia" w:ascii="仿宋" w:hAnsi="仿宋" w:eastAsia="仿宋" w:cs="Times New Roman"/>
          <w:b/>
          <w:bCs/>
          <w:spacing w:val="-2"/>
          <w:sz w:val="32"/>
          <w:szCs w:val="32"/>
          <w:lang w:val="en-US" w:eastAsia="zh-CN"/>
        </w:rPr>
        <w:t>2.认真落实两个待遇，强化基本保障。</w:t>
      </w:r>
      <w:r>
        <w:rPr>
          <w:rFonts w:hint="eastAsia" w:ascii="仿宋" w:hAnsi="仿宋" w:eastAsia="仿宋" w:cs="Times New Roman"/>
          <w:spacing w:val="-2"/>
          <w:sz w:val="32"/>
          <w:szCs w:val="32"/>
          <w:lang w:val="en-US" w:eastAsia="zh-CN"/>
        </w:rPr>
        <w:t>在落实政治待遇方面：坚持定期集中学习制度，每月开展一次政治理论学习，每个季度开展一次集中讨论。坚持集中学习、上门送学相结合，对不能参加支部活动的党员，实行上门送学，传达党的重要会议、重要文件和重要部署，确保党的教育覆盖到每一位党员。中心拿出万余元为军休老干订阅党报党刊及老年报刊杂志。积极组织党员参加市委、市政府开展的学习宣讲活动，每年“八一”中心隆重举行庆祝建军文艺汇演，已连续四年，在“八一”属于军休人员自己的节日进行文艺汇演，提升军休干部的荣誉感。在落实生活待遇方面：严格按照国家政策规定各项生活待遇，及时兑现国家规定的调资补发项目，实现零差错、零投诉。积极主动加强财政、医保部门的协调，将军休人员全部纳入医保统一管理，对存在特殊困难的特殊军休人员，补缴医保相关费用申请财政解决,财政拨付资金用于保障副师级以上军休干部门诊、住院报销。春节、七一、八一、重阳等重大节日，均组织举办节庆活动和慰问活动，市委、市政府、怀化军分区领导在春节、八一前夕还组织对军休干部进行走访慰问，并开展座谈。</w:t>
      </w:r>
    </w:p>
    <w:p>
      <w:pPr>
        <w:widowControl/>
        <w:shd w:val="clear" w:color="auto" w:fill="FFFFFF"/>
        <w:spacing w:line="600" w:lineRule="atLeast"/>
        <w:ind w:firstLine="640"/>
        <w:rPr>
          <w:rFonts w:hint="eastAsia" w:ascii="仿宋" w:hAnsi="仿宋" w:eastAsia="仿宋" w:cs="Times New Roman"/>
          <w:spacing w:val="-2"/>
          <w:sz w:val="32"/>
          <w:szCs w:val="32"/>
          <w:lang w:val="en-US" w:eastAsia="zh-CN"/>
        </w:rPr>
      </w:pPr>
      <w:r>
        <w:rPr>
          <w:rFonts w:hint="eastAsia" w:ascii="仿宋" w:hAnsi="仿宋" w:eastAsia="仿宋" w:cs="Times New Roman"/>
          <w:b/>
          <w:bCs/>
          <w:spacing w:val="-2"/>
          <w:sz w:val="32"/>
          <w:szCs w:val="32"/>
          <w:lang w:val="en-US" w:eastAsia="zh-CN"/>
        </w:rPr>
        <w:t>3.聚力强化服务管理，打造和谐家园。</w:t>
      </w:r>
      <w:r>
        <w:rPr>
          <w:rFonts w:hint="eastAsia" w:ascii="仿宋" w:hAnsi="仿宋" w:eastAsia="仿宋" w:cs="Times New Roman"/>
          <w:spacing w:val="-2"/>
          <w:sz w:val="32"/>
          <w:szCs w:val="32"/>
          <w:lang w:val="en-US" w:eastAsia="zh-CN"/>
        </w:rPr>
        <w:t>一是在基础设施建设上积极拓展。已完成军休服务用房室内室外装修工程验收。二是在精准服务管理上有的放矢。针对军休人员居住分散，尤其是空巢率高、患病率高、老人居多的实际，积极创新服务管理方式，精准对接军休人员需求。三是在丰富军休文化上凝聚活力。紧紧围绕“奉献、创新、和谐、快乐”的军休文化主题，充分发挥军休平台和人员优势，积极推进军休文化建设。搭建老有所为平台，围绕精准脱贫工作，积极组织军休人员走出庭院，为贫困学生、贫困农户送温暖，实地考察扶贫重点项目，为精准扶贫建言献策，为困难对象送去温暖。</w:t>
      </w:r>
    </w:p>
    <w:p>
      <w:pPr>
        <w:widowControl/>
        <w:shd w:val="clear" w:color="auto" w:fill="FFFFFF"/>
        <w:spacing w:line="600" w:lineRule="atLeast"/>
        <w:ind w:firstLine="640"/>
        <w:rPr>
          <w:rFonts w:hint="eastAsia" w:ascii="仿宋" w:hAnsi="仿宋" w:eastAsia="仿宋" w:cs="Times New Roman"/>
          <w:spacing w:val="-2"/>
          <w:sz w:val="32"/>
          <w:szCs w:val="32"/>
          <w:lang w:val="en-US" w:eastAsia="zh-CN"/>
        </w:rPr>
      </w:pPr>
      <w:r>
        <w:rPr>
          <w:rFonts w:hint="eastAsia" w:ascii="仿宋" w:hAnsi="仿宋" w:eastAsia="仿宋" w:cs="Times New Roman"/>
          <w:b/>
          <w:bCs/>
          <w:spacing w:val="-2"/>
          <w:sz w:val="32"/>
          <w:szCs w:val="32"/>
          <w:lang w:val="en-US" w:eastAsia="zh-CN"/>
        </w:rPr>
        <w:t>4.关于军休服务APP工作落实情况。</w:t>
      </w:r>
      <w:r>
        <w:rPr>
          <w:rFonts w:hint="eastAsia" w:ascii="仿宋" w:hAnsi="仿宋" w:eastAsia="仿宋" w:cs="Times New Roman"/>
          <w:spacing w:val="-2"/>
          <w:sz w:val="32"/>
          <w:szCs w:val="32"/>
          <w:lang w:val="en-US" w:eastAsia="zh-CN"/>
        </w:rPr>
        <w:t>根据省军休处、市军休科关于军休服务APP工作安排部署，我中心已安排专人负责，现共计发布新闻信息11条。</w:t>
      </w:r>
    </w:p>
    <w:p>
      <w:pPr>
        <w:widowControl/>
        <w:shd w:val="clear" w:color="auto" w:fill="FFFFFF"/>
        <w:spacing w:line="600" w:lineRule="atLeast"/>
        <w:ind w:firstLine="643"/>
        <w:rPr>
          <w:rFonts w:hint="eastAsia" w:ascii="楷体" w:hAnsi="楷体" w:eastAsia="楷体"/>
          <w:b/>
          <w:spacing w:val="-2"/>
          <w:sz w:val="32"/>
          <w:szCs w:val="32"/>
        </w:rPr>
      </w:pPr>
      <w:r>
        <w:rPr>
          <w:rFonts w:hint="eastAsia" w:ascii="楷体" w:hAnsi="楷体" w:eastAsia="楷体"/>
          <w:b/>
          <w:spacing w:val="-2"/>
          <w:sz w:val="32"/>
          <w:szCs w:val="32"/>
          <w:lang w:eastAsia="zh-CN"/>
        </w:rPr>
        <w:t>（三）</w:t>
      </w:r>
      <w:r>
        <w:rPr>
          <w:rFonts w:hint="eastAsia" w:ascii="楷体" w:hAnsi="楷体" w:eastAsia="楷体"/>
          <w:b/>
          <w:spacing w:val="-2"/>
          <w:sz w:val="32"/>
          <w:szCs w:val="32"/>
        </w:rPr>
        <w:t>有效性分析</w:t>
      </w:r>
    </w:p>
    <w:p>
      <w:pPr>
        <w:widowControl/>
        <w:shd w:val="clear" w:color="auto" w:fill="FFFFFF"/>
        <w:spacing w:line="600" w:lineRule="atLeast"/>
        <w:ind w:firstLine="640"/>
        <w:rPr>
          <w:rFonts w:hint="eastAsia" w:ascii="仿宋" w:hAnsi="仿宋" w:eastAsia="仿宋"/>
          <w:spacing w:val="-2"/>
          <w:sz w:val="32"/>
          <w:szCs w:val="32"/>
          <w:highlight w:val="none"/>
          <w:lang w:eastAsia="zh-CN"/>
        </w:rPr>
      </w:pPr>
      <w:r>
        <w:rPr>
          <w:rFonts w:hint="eastAsia" w:ascii="仿宋" w:hAnsi="仿宋" w:eastAsia="仿宋" w:cs="Times New Roman"/>
          <w:spacing w:val="-2"/>
          <w:sz w:val="32"/>
          <w:szCs w:val="32"/>
          <w:highlight w:val="none"/>
          <w:lang w:val="en-US" w:eastAsia="zh-CN"/>
        </w:rPr>
        <w:t>1.财政供应人员配置控制率、</w:t>
      </w:r>
      <w:r>
        <w:rPr>
          <w:rFonts w:hint="eastAsia" w:ascii="仿宋" w:hAnsi="仿宋" w:eastAsia="仿宋"/>
          <w:spacing w:val="-2"/>
          <w:sz w:val="32"/>
          <w:szCs w:val="32"/>
          <w:highlight w:val="none"/>
          <w:lang w:eastAsia="zh-CN"/>
        </w:rPr>
        <w:t>预算完成率、“三公经费”控制率</w:t>
      </w:r>
      <w:r>
        <w:rPr>
          <w:rFonts w:hint="eastAsia" w:ascii="仿宋" w:hAnsi="仿宋" w:eastAsia="仿宋"/>
          <w:spacing w:val="-2"/>
          <w:sz w:val="32"/>
          <w:szCs w:val="32"/>
          <w:highlight w:val="none"/>
          <w:lang w:val="en-US" w:eastAsia="zh-CN"/>
        </w:rPr>
        <w:t>等指标完成较好。</w:t>
      </w:r>
    </w:p>
    <w:p>
      <w:pPr>
        <w:widowControl/>
        <w:shd w:val="clear" w:color="auto" w:fill="FFFFFF"/>
        <w:spacing w:line="600" w:lineRule="atLeast"/>
        <w:ind w:firstLine="640"/>
        <w:rPr>
          <w:rFonts w:hint="eastAsia" w:ascii="仿宋" w:hAnsi="仿宋" w:eastAsia="仿宋"/>
          <w:spacing w:val="-2"/>
          <w:sz w:val="32"/>
          <w:szCs w:val="32"/>
          <w:lang w:eastAsia="zh-CN"/>
        </w:rPr>
      </w:pPr>
      <w:r>
        <w:rPr>
          <w:rFonts w:hint="eastAsia" w:ascii="仿宋" w:hAnsi="仿宋" w:eastAsia="仿宋"/>
          <w:spacing w:val="-2"/>
          <w:sz w:val="32"/>
          <w:szCs w:val="32"/>
          <w:lang w:val="en-US" w:eastAsia="zh-CN"/>
        </w:rPr>
        <w:t>2.</w:t>
      </w:r>
      <w:r>
        <w:rPr>
          <w:rFonts w:hint="eastAsia" w:ascii="仿宋" w:hAnsi="仿宋" w:eastAsia="仿宋"/>
          <w:spacing w:val="-2"/>
          <w:sz w:val="32"/>
          <w:szCs w:val="32"/>
          <w:lang w:eastAsia="zh-CN"/>
        </w:rPr>
        <w:t>管理制度健全性。严格落实有关法律法规、财经纪律、财政部门规范性文件及有关管理制度的要求，规范财务审批程序，大力推行公务卡结算，购买商品和服务的支出，按财政部门统一的标准和审批程序执行。</w:t>
      </w:r>
    </w:p>
    <w:p>
      <w:pPr>
        <w:widowControl/>
        <w:shd w:val="clear" w:color="auto" w:fill="FFFFFF"/>
        <w:spacing w:line="600" w:lineRule="atLeast"/>
        <w:ind w:firstLine="640"/>
        <w:rPr>
          <w:rFonts w:hint="eastAsia" w:ascii="仿宋" w:hAnsi="仿宋" w:eastAsia="仿宋"/>
          <w:spacing w:val="-2"/>
          <w:sz w:val="32"/>
          <w:szCs w:val="32"/>
          <w:lang w:eastAsia="zh-CN"/>
        </w:rPr>
      </w:pPr>
      <w:r>
        <w:rPr>
          <w:rFonts w:hint="eastAsia" w:ascii="仿宋" w:hAnsi="仿宋" w:eastAsia="仿宋"/>
          <w:spacing w:val="-2"/>
          <w:sz w:val="32"/>
          <w:szCs w:val="32"/>
          <w:lang w:val="en-US" w:eastAsia="zh-CN"/>
        </w:rPr>
        <w:t>3.</w:t>
      </w:r>
      <w:r>
        <w:rPr>
          <w:rFonts w:hint="eastAsia" w:ascii="仿宋" w:hAnsi="仿宋" w:eastAsia="仿宋"/>
          <w:spacing w:val="-2"/>
          <w:sz w:val="32"/>
          <w:szCs w:val="32"/>
          <w:lang w:eastAsia="zh-CN"/>
        </w:rPr>
        <w:t>资金使用合规性。严格落实中央八项规定和有关公务支出标准。加强经费合法合规性审核和预算控制，严格按制度政策办事，资金使用合法合规，支出手续齐全，程序到位。</w:t>
      </w:r>
    </w:p>
    <w:p>
      <w:pPr>
        <w:widowControl/>
        <w:shd w:val="clear" w:color="auto" w:fill="FFFFFF"/>
        <w:spacing w:line="600" w:lineRule="atLeast"/>
        <w:ind w:firstLine="640"/>
        <w:rPr>
          <w:rFonts w:hint="eastAsia" w:ascii="仿宋" w:hAnsi="仿宋" w:eastAsia="仿宋"/>
          <w:spacing w:val="-2"/>
          <w:sz w:val="32"/>
          <w:szCs w:val="32"/>
          <w:lang w:eastAsia="zh-CN"/>
        </w:rPr>
      </w:pPr>
      <w:r>
        <w:rPr>
          <w:rFonts w:hint="eastAsia" w:ascii="仿宋" w:hAnsi="仿宋" w:eastAsia="仿宋"/>
          <w:spacing w:val="-2"/>
          <w:sz w:val="32"/>
          <w:szCs w:val="32"/>
          <w:lang w:val="en-US" w:eastAsia="zh-CN"/>
        </w:rPr>
        <w:t>4.</w:t>
      </w:r>
      <w:r>
        <w:rPr>
          <w:rFonts w:hint="eastAsia" w:ascii="仿宋" w:hAnsi="仿宋" w:eastAsia="仿宋"/>
          <w:spacing w:val="-2"/>
          <w:sz w:val="32"/>
          <w:szCs w:val="32"/>
          <w:lang w:eastAsia="zh-CN"/>
        </w:rPr>
        <w:t>预决算信息公开性。真实准确编制部门预算和决算，按时上报基础数据资料。按规定时限和规定内容，在规定的平台公开部门预算、部门决算以及绩效自评报告。信息公开及时、完整、真实精细，部门预决算信息透明度进一步提高。 </w:t>
      </w:r>
    </w:p>
    <w:p>
      <w:pPr>
        <w:widowControl/>
        <w:shd w:val="clear" w:color="auto" w:fill="FFFFFF"/>
        <w:spacing w:line="640" w:lineRule="exact"/>
        <w:ind w:left="0" w:right="0" w:firstLine="632"/>
        <w:rPr>
          <w:rFonts w:hint="eastAsia"/>
          <w:lang w:eastAsia="zh-CN"/>
        </w:rPr>
      </w:pPr>
      <w:r>
        <w:rPr>
          <w:rFonts w:hint="eastAsia" w:ascii="仿宋" w:hAnsi="仿宋" w:eastAsia="仿宋" w:cs="仿宋"/>
          <w:color w:val="auto"/>
          <w:spacing w:val="-2"/>
          <w:kern w:val="2"/>
          <w:sz w:val="32"/>
          <w:szCs w:val="32"/>
          <w:lang w:val="en-US" w:eastAsia="zh-CN" w:bidi="ar-SA"/>
        </w:rPr>
        <w:t>5.军休老干满意度达95%以上。</w:t>
      </w:r>
    </w:p>
    <w:p>
      <w:pPr>
        <w:widowControl/>
        <w:shd w:val="clear" w:color="auto" w:fill="FFFFFF"/>
        <w:spacing w:line="600" w:lineRule="atLeast"/>
        <w:ind w:firstLine="643"/>
        <w:rPr>
          <w:rFonts w:hint="eastAsia" w:ascii="楷体" w:hAnsi="楷体" w:eastAsia="楷体"/>
          <w:b/>
          <w:spacing w:val="-2"/>
          <w:sz w:val="32"/>
          <w:szCs w:val="32"/>
        </w:rPr>
      </w:pPr>
      <w:r>
        <w:rPr>
          <w:rFonts w:hint="eastAsia" w:ascii="楷体" w:hAnsi="楷体" w:eastAsia="楷体"/>
          <w:b/>
          <w:spacing w:val="-2"/>
          <w:sz w:val="32"/>
          <w:szCs w:val="32"/>
          <w:lang w:eastAsia="zh-CN"/>
        </w:rPr>
        <w:t>（四）</w:t>
      </w:r>
      <w:r>
        <w:rPr>
          <w:rFonts w:hint="eastAsia" w:ascii="楷体" w:hAnsi="楷体" w:eastAsia="楷体"/>
          <w:b/>
          <w:spacing w:val="-2"/>
          <w:sz w:val="32"/>
          <w:szCs w:val="32"/>
        </w:rPr>
        <w:t>可持续性分析</w:t>
      </w:r>
    </w:p>
    <w:p>
      <w:pPr>
        <w:ind w:firstLine="632" w:firstLineChars="200"/>
        <w:rPr>
          <w:rFonts w:ascii="楷体" w:hAnsi="楷体" w:eastAsia="楷体"/>
          <w:b/>
          <w:spacing w:val="-2"/>
          <w:sz w:val="32"/>
          <w:szCs w:val="32"/>
        </w:rPr>
      </w:pPr>
      <w:r>
        <w:rPr>
          <w:rFonts w:hint="eastAsia" w:ascii="仿宋" w:hAnsi="仿宋" w:eastAsia="仿宋" w:cs="Times New Roman"/>
          <w:spacing w:val="-2"/>
          <w:kern w:val="2"/>
          <w:sz w:val="32"/>
          <w:szCs w:val="32"/>
          <w:lang w:val="en-US" w:eastAsia="zh-CN" w:bidi="ar-SA"/>
        </w:rPr>
        <w:t>2022</w:t>
      </w:r>
      <w:r>
        <w:rPr>
          <w:rFonts w:hint="eastAsia" w:ascii="仿宋" w:hAnsi="仿宋" w:eastAsia="仿宋" w:cs="Times New Roman"/>
          <w:spacing w:val="-2"/>
          <w:kern w:val="2"/>
          <w:sz w:val="32"/>
          <w:szCs w:val="32"/>
          <w:highlight w:val="none"/>
          <w:lang w:val="en-US" w:eastAsia="zh-CN" w:bidi="ar-SA"/>
        </w:rPr>
        <w:t>年退役安置补助经费实际开支958.89万元，实</w:t>
      </w:r>
      <w:r>
        <w:rPr>
          <w:rFonts w:hint="eastAsia" w:ascii="仿宋" w:hAnsi="仿宋" w:eastAsia="仿宋" w:cs="Times New Roman"/>
          <w:spacing w:val="-2"/>
          <w:kern w:val="2"/>
          <w:sz w:val="32"/>
          <w:szCs w:val="32"/>
          <w:lang w:val="en-US" w:eastAsia="zh-CN" w:bidi="ar-SA"/>
        </w:rPr>
        <w:t>际开支主要用于保障军队移交政府离退休人员“两个”待遇及相关管理工作。虽然做好了军休人员春节、七一、八一等节日的走访慰问工作和重要节日文化体育活动的开展，组织军休干部进行体检，适时组织老年人健康保健讲座，但</w:t>
      </w:r>
      <w:r>
        <w:rPr>
          <w:rFonts w:hint="eastAsia" w:ascii="仿宋" w:hAnsi="仿宋" w:eastAsia="仿宋" w:cs="仿宋"/>
          <w:sz w:val="32"/>
          <w:szCs w:val="32"/>
        </w:rPr>
        <w:t>随着伤病残军休人员的增多及年龄增大，医疗费过多增加了军休人员和基层单位的压力，请求省厅出台政策或增加医疗经费的投入。省厅下拔的人头费标准和服务管理经费偏低，而现在军休干部的离退休费都非常高，且每年还在增加，经费的不足将严重制约工作的发展，</w:t>
      </w:r>
      <w:r>
        <w:rPr>
          <w:rFonts w:hint="eastAsia" w:ascii="仿宋" w:hAnsi="仿宋" w:eastAsia="仿宋" w:cs="仿宋"/>
          <w:sz w:val="32"/>
          <w:szCs w:val="32"/>
          <w:lang w:eastAsia="zh-CN"/>
        </w:rPr>
        <w:t>请求</w:t>
      </w:r>
      <w:r>
        <w:rPr>
          <w:rFonts w:hint="eastAsia" w:ascii="仿宋" w:hAnsi="仿宋" w:eastAsia="仿宋" w:cs="仿宋"/>
          <w:sz w:val="32"/>
          <w:szCs w:val="32"/>
        </w:rPr>
        <w:t>省厅提高人头经费和服务管理经费标准</w:t>
      </w:r>
      <w:r>
        <w:rPr>
          <w:rFonts w:hint="eastAsia" w:ascii="仿宋" w:hAnsi="仿宋" w:eastAsia="仿宋" w:cs="仿宋"/>
          <w:sz w:val="32"/>
          <w:szCs w:val="32"/>
          <w:lang w:eastAsia="zh-CN"/>
        </w:rPr>
        <w:t>，加大经费保障。</w:t>
      </w:r>
    </w:p>
    <w:p>
      <w:pPr>
        <w:widowControl/>
        <w:shd w:val="clear" w:color="auto" w:fill="FFFFFF"/>
        <w:spacing w:line="600" w:lineRule="atLeast"/>
        <w:ind w:firstLine="640"/>
        <w:rPr>
          <w:rFonts w:ascii="楷体" w:hAnsi="楷体" w:eastAsia="楷体"/>
          <w:b/>
          <w:spacing w:val="-2"/>
          <w:sz w:val="32"/>
          <w:szCs w:val="21"/>
        </w:rPr>
      </w:pPr>
      <w:r>
        <w:rPr>
          <w:rFonts w:ascii="楷体" w:hAnsi="楷体" w:eastAsia="楷体"/>
          <w:b/>
          <w:spacing w:val="-2"/>
          <w:sz w:val="32"/>
          <w:szCs w:val="32"/>
        </w:rPr>
        <w:t>六、存在的主要问题</w:t>
      </w:r>
    </w:p>
    <w:p>
      <w:pPr>
        <w:widowControl/>
        <w:shd w:val="clear" w:color="auto" w:fill="FFFFFF"/>
        <w:spacing w:line="600" w:lineRule="atLeast"/>
        <w:ind w:firstLine="640"/>
        <w:rPr>
          <w:rFonts w:hint="eastAsia" w:ascii="仿宋" w:hAnsi="仿宋" w:eastAsia="仿宋" w:cs="Times New Roman"/>
          <w:spacing w:val="-2"/>
          <w:kern w:val="2"/>
          <w:sz w:val="32"/>
          <w:szCs w:val="32"/>
          <w:lang w:val="en-US" w:eastAsia="zh-CN" w:bidi="ar-SA"/>
        </w:rPr>
      </w:pPr>
      <w:r>
        <w:rPr>
          <w:rFonts w:hint="eastAsia" w:ascii="仿宋" w:hAnsi="仿宋" w:eastAsia="仿宋" w:cs="Times New Roman"/>
          <w:spacing w:val="-2"/>
          <w:kern w:val="2"/>
          <w:sz w:val="32"/>
          <w:szCs w:val="32"/>
          <w:lang w:val="en-US" w:eastAsia="zh-CN" w:bidi="ar-SA"/>
        </w:rPr>
        <w:t>通过前述对我中心整体支出情况的分析，反映出目前在整体支主要在预算执行方面还存在一些问题和不足： </w:t>
      </w:r>
    </w:p>
    <w:p>
      <w:pPr>
        <w:widowControl/>
        <w:shd w:val="clear" w:color="auto" w:fill="FFFFFF"/>
        <w:spacing w:line="600" w:lineRule="atLeast"/>
        <w:ind w:firstLine="640"/>
        <w:rPr>
          <w:rFonts w:hint="eastAsia" w:ascii="仿宋" w:hAnsi="仿宋" w:eastAsia="仿宋" w:cs="Times New Roman"/>
          <w:spacing w:val="-2"/>
          <w:kern w:val="2"/>
          <w:sz w:val="32"/>
          <w:szCs w:val="32"/>
          <w:lang w:val="en-US" w:eastAsia="zh-CN" w:bidi="ar-SA"/>
        </w:rPr>
      </w:pPr>
      <w:r>
        <w:rPr>
          <w:rFonts w:hint="eastAsia" w:ascii="仿宋" w:hAnsi="仿宋" w:eastAsia="仿宋" w:cs="Times New Roman"/>
          <w:spacing w:val="-2"/>
          <w:kern w:val="2"/>
          <w:sz w:val="32"/>
          <w:szCs w:val="32"/>
          <w:lang w:val="en-US" w:eastAsia="zh-CN" w:bidi="ar-SA"/>
        </w:rPr>
        <w:t>（一）预算编制不够细。预算编制的准备工作不够充分，编制工作时间紧，任务重，所编制的预算不够科学、不够细致，在预算执行时，出现需要调整的现象。</w:t>
      </w:r>
    </w:p>
    <w:p>
      <w:pPr>
        <w:widowControl/>
        <w:shd w:val="clear" w:color="auto" w:fill="FFFFFF"/>
        <w:spacing w:line="600" w:lineRule="atLeast"/>
        <w:ind w:firstLine="640"/>
        <w:rPr>
          <w:rFonts w:ascii="仿宋" w:hAnsi="仿宋" w:eastAsia="仿宋"/>
          <w:spacing w:val="-2"/>
          <w:sz w:val="32"/>
          <w:szCs w:val="21"/>
        </w:rPr>
      </w:pPr>
      <w:r>
        <w:rPr>
          <w:rFonts w:hint="eastAsia" w:ascii="仿宋" w:hAnsi="仿宋" w:eastAsia="仿宋" w:cs="Times New Roman"/>
          <w:spacing w:val="-2"/>
          <w:kern w:val="2"/>
          <w:sz w:val="32"/>
          <w:szCs w:val="32"/>
          <w:lang w:val="en-US" w:eastAsia="zh-CN" w:bidi="ar-SA"/>
        </w:rPr>
        <w:t>（二）绩效目标编制不够严谨细致，项目预算测算科学性不够，不便于项目的评估验收和绩效考评。</w:t>
      </w:r>
    </w:p>
    <w:p>
      <w:pPr>
        <w:widowControl/>
        <w:shd w:val="clear" w:color="auto" w:fill="FFFFFF"/>
        <w:spacing w:line="600" w:lineRule="atLeast"/>
        <w:ind w:firstLine="640"/>
        <w:rPr>
          <w:rFonts w:ascii="楷体" w:hAnsi="楷体" w:eastAsia="楷体"/>
          <w:b/>
          <w:spacing w:val="-2"/>
          <w:sz w:val="32"/>
          <w:szCs w:val="21"/>
        </w:rPr>
      </w:pPr>
      <w:r>
        <w:rPr>
          <w:rFonts w:ascii="楷体" w:hAnsi="楷体" w:eastAsia="楷体"/>
          <w:b/>
          <w:spacing w:val="-2"/>
          <w:sz w:val="32"/>
          <w:szCs w:val="32"/>
        </w:rPr>
        <w:t>七、改进措施和有关建议</w:t>
      </w:r>
    </w:p>
    <w:p>
      <w:pPr>
        <w:widowControl/>
        <w:shd w:val="clear" w:color="auto" w:fill="FFFFFF"/>
        <w:spacing w:line="600" w:lineRule="atLeast"/>
        <w:ind w:firstLine="632" w:firstLineChars="200"/>
        <w:rPr>
          <w:rFonts w:hint="eastAsia" w:ascii="仿宋" w:hAnsi="仿宋" w:eastAsia="仿宋" w:cs="Times New Roman"/>
          <w:spacing w:val="-2"/>
          <w:kern w:val="2"/>
          <w:sz w:val="32"/>
          <w:szCs w:val="32"/>
          <w:lang w:val="en-US" w:eastAsia="zh-CN" w:bidi="ar-SA"/>
        </w:rPr>
      </w:pPr>
      <w:r>
        <w:rPr>
          <w:rFonts w:hint="eastAsia" w:ascii="仿宋" w:hAnsi="仿宋" w:eastAsia="仿宋" w:cs="Times New Roman"/>
          <w:spacing w:val="-2"/>
          <w:kern w:val="2"/>
          <w:sz w:val="32"/>
          <w:szCs w:val="32"/>
          <w:lang w:val="en-US" w:eastAsia="zh-CN" w:bidi="ar-SA"/>
        </w:rPr>
        <w:t>（一）增强预算编制的准确性</w:t>
      </w:r>
    </w:p>
    <w:p>
      <w:pPr>
        <w:widowControl/>
        <w:shd w:val="clear" w:color="auto" w:fill="FFFFFF"/>
        <w:spacing w:line="600" w:lineRule="atLeast"/>
        <w:ind w:firstLine="632" w:firstLineChars="200"/>
        <w:rPr>
          <w:rFonts w:hint="eastAsia" w:ascii="仿宋" w:hAnsi="仿宋" w:eastAsia="仿宋" w:cs="Times New Roman"/>
          <w:spacing w:val="-2"/>
          <w:kern w:val="2"/>
          <w:sz w:val="32"/>
          <w:szCs w:val="32"/>
          <w:lang w:val="en-US" w:eastAsia="zh-CN" w:bidi="ar-SA"/>
        </w:rPr>
      </w:pPr>
      <w:r>
        <w:rPr>
          <w:rFonts w:hint="eastAsia" w:ascii="仿宋" w:hAnsi="仿宋" w:eastAsia="仿宋" w:cs="Times New Roman"/>
          <w:spacing w:val="-2"/>
          <w:kern w:val="2"/>
          <w:sz w:val="32"/>
          <w:szCs w:val="32"/>
          <w:lang w:val="en-US" w:eastAsia="zh-CN" w:bidi="ar-SA"/>
        </w:rPr>
        <w:t>各业务股室应做好预算编制前的调研准备工作，收集相关政策依据，测算资金来源和资金耗费；整理完善人员、设备数据库，做好统计存量资产统计；提前谋划预算年度工作，使编制的预算更科学、完整、具体。</w:t>
      </w:r>
    </w:p>
    <w:p>
      <w:pPr>
        <w:widowControl/>
        <w:shd w:val="clear" w:color="auto" w:fill="FFFFFF"/>
        <w:spacing w:line="600" w:lineRule="atLeast"/>
        <w:ind w:firstLine="632" w:firstLineChars="200"/>
        <w:rPr>
          <w:rFonts w:hint="eastAsia" w:ascii="仿宋" w:hAnsi="仿宋" w:eastAsia="仿宋" w:cs="Times New Roman"/>
          <w:spacing w:val="-2"/>
          <w:kern w:val="2"/>
          <w:sz w:val="32"/>
          <w:szCs w:val="32"/>
          <w:lang w:val="en-US" w:eastAsia="zh-CN" w:bidi="ar-SA"/>
        </w:rPr>
      </w:pPr>
      <w:r>
        <w:rPr>
          <w:rFonts w:hint="eastAsia" w:ascii="仿宋" w:hAnsi="仿宋" w:eastAsia="仿宋" w:cs="Times New Roman"/>
          <w:spacing w:val="-2"/>
          <w:kern w:val="2"/>
          <w:sz w:val="32"/>
          <w:szCs w:val="32"/>
          <w:lang w:val="en-US" w:eastAsia="zh-CN" w:bidi="ar-SA"/>
        </w:rPr>
        <w:t>（二）加大绩效管理工作的宣传力度</w:t>
      </w:r>
    </w:p>
    <w:p>
      <w:pPr>
        <w:widowControl/>
        <w:shd w:val="clear" w:color="auto" w:fill="FFFFFF"/>
        <w:spacing w:line="600" w:lineRule="atLeast"/>
        <w:ind w:firstLine="632" w:firstLineChars="200"/>
        <w:rPr>
          <w:rFonts w:hint="eastAsia" w:ascii="仿宋" w:hAnsi="仿宋" w:eastAsia="仿宋" w:cs="Times New Roman"/>
          <w:spacing w:val="-2"/>
          <w:kern w:val="2"/>
          <w:sz w:val="32"/>
          <w:szCs w:val="32"/>
          <w:lang w:val="en-US" w:eastAsia="zh-CN" w:bidi="ar-SA"/>
        </w:rPr>
      </w:pPr>
      <w:r>
        <w:rPr>
          <w:rFonts w:hint="eastAsia" w:ascii="仿宋" w:hAnsi="仿宋" w:eastAsia="仿宋" w:cs="Times New Roman"/>
          <w:spacing w:val="-2"/>
          <w:kern w:val="2"/>
          <w:sz w:val="32"/>
          <w:szCs w:val="32"/>
          <w:lang w:val="en-US" w:eastAsia="zh-CN" w:bidi="ar-SA"/>
        </w:rPr>
        <w:t>应进一步加大绩效管理工作的宣传力度，提高项目执行负责人对预算绩效管理重要性的认识，增强责任意识、绩效意识；通过培训提高项目人员业务能力，提高绩效目标、项目预算编制水平，把相关指标定得更加明确、科学、具有可操作。</w:t>
      </w:r>
    </w:p>
    <w:p>
      <w:pPr>
        <w:rPr>
          <w:rFonts w:hint="eastAsia" w:ascii="仿宋" w:hAnsi="仿宋" w:eastAsia="仿宋" w:cs="Times New Roman"/>
          <w:spacing w:val="-2"/>
          <w:kern w:val="2"/>
          <w:sz w:val="32"/>
          <w:szCs w:val="32"/>
          <w:lang w:val="en-US" w:eastAsia="zh-CN" w:bidi="ar-SA"/>
        </w:rPr>
      </w:pPr>
    </w:p>
    <w:p>
      <w:pPr>
        <w:widowControl/>
        <w:jc w:val="left"/>
        <w:rPr>
          <w:rFonts w:cs="黑体" w:asciiTheme="minorEastAsia" w:hAnsiTheme="minorEastAsia"/>
          <w:color w:val="000000"/>
          <w:kern w:val="0"/>
          <w:sz w:val="32"/>
          <w:szCs w:val="32"/>
        </w:rPr>
      </w:pPr>
    </w:p>
    <w:p>
      <w:pPr>
        <w:pStyle w:val="17"/>
        <w:rPr>
          <w:rFonts w:cs="黑体" w:asciiTheme="minorEastAsia" w:hAnsiTheme="minorEastAsia"/>
          <w:color w:val="000000"/>
          <w:kern w:val="0"/>
          <w:sz w:val="32"/>
          <w:szCs w:val="32"/>
        </w:rPr>
      </w:pPr>
    </w:p>
    <w:p>
      <w:pPr>
        <w:pStyle w:val="17"/>
        <w:rPr>
          <w:rFonts w:cs="黑体" w:asciiTheme="minorEastAsia" w:hAnsiTheme="minorEastAsia"/>
          <w:color w:val="000000"/>
          <w:kern w:val="0"/>
          <w:sz w:val="32"/>
          <w:szCs w:val="32"/>
        </w:rPr>
      </w:pPr>
    </w:p>
    <w:p>
      <w:pPr>
        <w:pStyle w:val="17"/>
        <w:ind w:left="0" w:leftChars="0" w:firstLine="0" w:firstLineChars="0"/>
        <w:rPr>
          <w:rFonts w:cs="黑体" w:asciiTheme="minorEastAsia" w:hAnsiTheme="minorEastAsia"/>
          <w:color w:val="000000"/>
          <w:kern w:val="0"/>
          <w:sz w:val="32"/>
          <w:szCs w:val="32"/>
        </w:rPr>
      </w:pPr>
    </w:p>
    <w:p>
      <w:pPr>
        <w:pStyle w:val="17"/>
        <w:rPr>
          <w:rFonts w:cs="黑体" w:asciiTheme="minorEastAsia" w:hAnsiTheme="minorEastAsia"/>
          <w:color w:val="000000"/>
          <w:kern w:val="0"/>
          <w:sz w:val="32"/>
          <w:szCs w:val="32"/>
        </w:rPr>
      </w:pPr>
    </w:p>
    <w:sectPr>
      <w:pgSz w:w="11906" w:h="16838"/>
      <w:pgMar w:top="720" w:right="720" w:bottom="720" w:left="720" w:header="851" w:footer="992" w:gutter="0"/>
      <w:pgBorders>
        <w:top w:val="none" w:sz="0" w:space="0"/>
        <w:left w:val="none" w:sz="0" w:space="0"/>
        <w:bottom w:val="none" w:sz="0" w:space="0"/>
        <w:right w:val="none" w:sz="0" w:space="0"/>
      </w:pgBorders>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2000000000000000000"/>
    <w:charset w:val="86"/>
    <w:family w:val="script"/>
    <w:pitch w:val="default"/>
    <w:sig w:usb0="A00002BF" w:usb1="38CF7CFA"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EBD864"/>
    <w:multiLevelType w:val="singleLevel"/>
    <w:tmpl w:val="BCEBD864"/>
    <w:lvl w:ilvl="0" w:tentative="0">
      <w:start w:val="2"/>
      <w:numFmt w:val="chineseCounting"/>
      <w:suff w:val="nothing"/>
      <w:lvlText w:val="（%1）"/>
      <w:lvlJc w:val="left"/>
      <w:rPr>
        <w:rFonts w:hint="eastAsia"/>
      </w:rPr>
    </w:lvl>
  </w:abstractNum>
  <w:abstractNum w:abstractNumId="1">
    <w:nsid w:val="D522AE57"/>
    <w:multiLevelType w:val="singleLevel"/>
    <w:tmpl w:val="D522AE57"/>
    <w:lvl w:ilvl="0" w:tentative="0">
      <w:start w:val="3"/>
      <w:numFmt w:val="decimal"/>
      <w:suff w:val="nothing"/>
      <w:lvlText w:val="%1、"/>
      <w:lvlJc w:val="left"/>
    </w:lvl>
  </w:abstractNum>
  <w:abstractNum w:abstractNumId="2">
    <w:nsid w:val="163365E7"/>
    <w:multiLevelType w:val="singleLevel"/>
    <w:tmpl w:val="163365E7"/>
    <w:lvl w:ilvl="0" w:tentative="0">
      <w:start w:val="7"/>
      <w:numFmt w:val="chineseCounting"/>
      <w:suff w:val="nothing"/>
      <w:lvlText w:val="%1、"/>
      <w:lvlJc w:val="left"/>
      <w:rPr>
        <w:rFonts w:hint="eastAsia"/>
      </w:rPr>
    </w:lvl>
  </w:abstractNum>
  <w:abstractNum w:abstractNumId="3">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8A934ED"/>
    <w:multiLevelType w:val="singleLevel"/>
    <w:tmpl w:val="38A934ED"/>
    <w:lvl w:ilvl="0" w:tentative="0">
      <w:start w:val="5"/>
      <w:numFmt w:val="decimal"/>
      <w:suff w:val="nothing"/>
      <w:lvlText w:val="%1、"/>
      <w:lvlJc w:val="left"/>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0YjVmZmRlN2M5YWU1ZjAzNGYzZGU5YzVkMThkNGE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57F37"/>
    <w:rsid w:val="00F74360"/>
    <w:rsid w:val="00FB462F"/>
    <w:rsid w:val="00FE16FA"/>
    <w:rsid w:val="00FE328A"/>
    <w:rsid w:val="00FE6269"/>
    <w:rsid w:val="00FF5CD6"/>
    <w:rsid w:val="02385327"/>
    <w:rsid w:val="03127926"/>
    <w:rsid w:val="034B5640"/>
    <w:rsid w:val="039333DD"/>
    <w:rsid w:val="04CC003C"/>
    <w:rsid w:val="062410CC"/>
    <w:rsid w:val="08362E9E"/>
    <w:rsid w:val="0DBA2AC0"/>
    <w:rsid w:val="0F362DF5"/>
    <w:rsid w:val="12D469A6"/>
    <w:rsid w:val="12F40DF6"/>
    <w:rsid w:val="14777BBC"/>
    <w:rsid w:val="155D566E"/>
    <w:rsid w:val="15DF614A"/>
    <w:rsid w:val="16D064A5"/>
    <w:rsid w:val="18D418A6"/>
    <w:rsid w:val="196F0044"/>
    <w:rsid w:val="198E6712"/>
    <w:rsid w:val="1A047263"/>
    <w:rsid w:val="1D493067"/>
    <w:rsid w:val="207746C5"/>
    <w:rsid w:val="20817FC1"/>
    <w:rsid w:val="212F1C5D"/>
    <w:rsid w:val="2483022C"/>
    <w:rsid w:val="25BB4AB6"/>
    <w:rsid w:val="265B6B76"/>
    <w:rsid w:val="26AD6D78"/>
    <w:rsid w:val="27F04CE9"/>
    <w:rsid w:val="289B134D"/>
    <w:rsid w:val="2A0F3E43"/>
    <w:rsid w:val="2A686820"/>
    <w:rsid w:val="2C5F3EB0"/>
    <w:rsid w:val="2C7B2803"/>
    <w:rsid w:val="2CB86F50"/>
    <w:rsid w:val="2DCB1417"/>
    <w:rsid w:val="2E32111D"/>
    <w:rsid w:val="2E79175B"/>
    <w:rsid w:val="2E9D1A0C"/>
    <w:rsid w:val="308C2BA9"/>
    <w:rsid w:val="318968EC"/>
    <w:rsid w:val="32717916"/>
    <w:rsid w:val="33B15463"/>
    <w:rsid w:val="33CF5525"/>
    <w:rsid w:val="34750451"/>
    <w:rsid w:val="37735EDE"/>
    <w:rsid w:val="3A026365"/>
    <w:rsid w:val="3E293489"/>
    <w:rsid w:val="3E9003CA"/>
    <w:rsid w:val="4127243F"/>
    <w:rsid w:val="42CF7C1A"/>
    <w:rsid w:val="4440651E"/>
    <w:rsid w:val="47370CD6"/>
    <w:rsid w:val="475F2F4F"/>
    <w:rsid w:val="4B947063"/>
    <w:rsid w:val="4DB556BF"/>
    <w:rsid w:val="4E2B175F"/>
    <w:rsid w:val="4EC76036"/>
    <w:rsid w:val="519F252E"/>
    <w:rsid w:val="53913EDA"/>
    <w:rsid w:val="565610AD"/>
    <w:rsid w:val="56D9217D"/>
    <w:rsid w:val="5777D4F5"/>
    <w:rsid w:val="59894D29"/>
    <w:rsid w:val="5AD40454"/>
    <w:rsid w:val="5E894BA9"/>
    <w:rsid w:val="5EA45EBD"/>
    <w:rsid w:val="5F525A91"/>
    <w:rsid w:val="5FC6BB1E"/>
    <w:rsid w:val="5FF36976"/>
    <w:rsid w:val="5FF720F1"/>
    <w:rsid w:val="619D371D"/>
    <w:rsid w:val="61FA311E"/>
    <w:rsid w:val="620F7F33"/>
    <w:rsid w:val="6211064A"/>
    <w:rsid w:val="64E146CD"/>
    <w:rsid w:val="6530759A"/>
    <w:rsid w:val="659B7B77"/>
    <w:rsid w:val="670C0F2F"/>
    <w:rsid w:val="67D30763"/>
    <w:rsid w:val="692549DB"/>
    <w:rsid w:val="6E64510D"/>
    <w:rsid w:val="717F123D"/>
    <w:rsid w:val="723860E1"/>
    <w:rsid w:val="72A244B6"/>
    <w:rsid w:val="737D59BA"/>
    <w:rsid w:val="744A7025"/>
    <w:rsid w:val="74E52330"/>
    <w:rsid w:val="75624B17"/>
    <w:rsid w:val="758053D5"/>
    <w:rsid w:val="75B871F4"/>
    <w:rsid w:val="765F415C"/>
    <w:rsid w:val="77C37683"/>
    <w:rsid w:val="79797662"/>
    <w:rsid w:val="79FF515B"/>
    <w:rsid w:val="7A697A3C"/>
    <w:rsid w:val="7B12039A"/>
    <w:rsid w:val="7B265C8C"/>
    <w:rsid w:val="7C716D5B"/>
    <w:rsid w:val="7E1F24A3"/>
    <w:rsid w:val="7E9F11B4"/>
    <w:rsid w:val="7F211D57"/>
    <w:rsid w:val="7F473943"/>
    <w:rsid w:val="7FC69637"/>
    <w:rsid w:val="7FFDB408"/>
    <w:rsid w:val="CBFF70E0"/>
    <w:rsid w:val="EEABED75"/>
    <w:rsid w:val="FB36E1A6"/>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style>
  <w:style w:type="paragraph" w:styleId="3">
    <w:name w:val="Balloon Text"/>
    <w:basedOn w:val="1"/>
    <w:link w:val="13"/>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paragraph" w:customStyle="1" w:styleId="11">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2">
    <w:name w:val="List Paragraph"/>
    <w:basedOn w:val="1"/>
    <w:qFormat/>
    <w:uiPriority w:val="34"/>
    <w:pPr>
      <w:ind w:firstLine="420" w:firstLineChars="200"/>
    </w:pPr>
  </w:style>
  <w:style w:type="character" w:customStyle="1" w:styleId="13">
    <w:name w:val="批注框文本 Char"/>
    <w:basedOn w:val="8"/>
    <w:link w:val="3"/>
    <w:semiHidden/>
    <w:qFormat/>
    <w:uiPriority w:val="99"/>
    <w:rPr>
      <w:sz w:val="18"/>
      <w:szCs w:val="18"/>
    </w:rPr>
  </w:style>
  <w:style w:type="character" w:customStyle="1" w:styleId="14">
    <w:name w:val="font01"/>
    <w:basedOn w:val="8"/>
    <w:qFormat/>
    <w:uiPriority w:val="0"/>
    <w:rPr>
      <w:rFonts w:hint="eastAsia" w:ascii="宋体" w:hAnsi="宋体" w:eastAsia="宋体" w:cs="宋体"/>
      <w:color w:val="000000"/>
      <w:sz w:val="22"/>
      <w:szCs w:val="22"/>
      <w:u w:val="none"/>
    </w:rPr>
  </w:style>
  <w:style w:type="character" w:customStyle="1" w:styleId="15">
    <w:name w:val="font21"/>
    <w:basedOn w:val="8"/>
    <w:qFormat/>
    <w:uiPriority w:val="0"/>
    <w:rPr>
      <w:rFonts w:hint="eastAsia" w:ascii="宋体" w:hAnsi="宋体" w:eastAsia="宋体" w:cs="宋体"/>
      <w:color w:val="000000"/>
      <w:sz w:val="24"/>
      <w:szCs w:val="24"/>
      <w:u w:val="none"/>
    </w:rPr>
  </w:style>
  <w:style w:type="character" w:customStyle="1" w:styleId="16">
    <w:name w:val="font11"/>
    <w:basedOn w:val="8"/>
    <w:qFormat/>
    <w:uiPriority w:val="0"/>
    <w:rPr>
      <w:rFonts w:hint="eastAsia" w:ascii="宋体" w:hAnsi="宋体" w:eastAsia="宋体" w:cs="宋体"/>
      <w:color w:val="000000"/>
      <w:sz w:val="24"/>
      <w:szCs w:val="24"/>
      <w:u w:val="none"/>
    </w:rPr>
  </w:style>
  <w:style w:type="paragraph" w:customStyle="1" w:styleId="17">
    <w:name w:val="Body Text First Indent 2"/>
    <w:basedOn w:val="2"/>
    <w:qFormat/>
    <w:uiPriority w:val="0"/>
    <w:pPr>
      <w:ind w:firstLine="420"/>
    </w:pPr>
  </w:style>
  <w:style w:type="paragraph" w:styleId="18">
    <w:name w:val="No Spacing"/>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9">
    <w:name w:val="无间隔"/>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42</Pages>
  <Words>15529</Words>
  <Characters>17833</Characters>
  <Lines>63</Lines>
  <Paragraphs>18</Paragraphs>
  <TotalTime>3</TotalTime>
  <ScaleCrop>false</ScaleCrop>
  <LinksUpToDate>false</LinksUpToDate>
  <CharactersWithSpaces>18755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2020-07-04T18:32:00Z</dcterms:created>
  <dc:creator>李航 null</dc:creator>
  <cp:lastModifiedBy>WPS_1608525663</cp:lastModifiedBy>
  <cp:lastPrinted>2023-08-15T09:28:00Z</cp:lastPrinted>
  <dcterms:modified xsi:type="dcterms:W3CDTF">2023-09-26T08:55:33Z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3B1B4761B8B34109A1598AAB938E653D_13</vt:lpwstr>
  </property>
</Properties>
</file>