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color w:val="auto"/>
          <w:sz w:val="56"/>
          <w:szCs w:val="56"/>
        </w:rPr>
      </w:pPr>
    </w:p>
    <w:p>
      <w:pPr>
        <w:pStyle w:val="13"/>
        <w:jc w:val="center"/>
        <w:rPr>
          <w:color w:val="auto"/>
          <w:sz w:val="56"/>
          <w:szCs w:val="56"/>
        </w:rPr>
      </w:pPr>
    </w:p>
    <w:p>
      <w:pPr>
        <w:pStyle w:val="13"/>
        <w:jc w:val="center"/>
        <w:rPr>
          <w:color w:val="auto"/>
          <w:sz w:val="84"/>
          <w:szCs w:val="84"/>
        </w:rPr>
      </w:pPr>
    </w:p>
    <w:p>
      <w:pPr>
        <w:pStyle w:val="13"/>
        <w:jc w:val="center"/>
        <w:rPr>
          <w:color w:val="auto"/>
          <w:sz w:val="84"/>
          <w:szCs w:val="84"/>
        </w:rPr>
      </w:pPr>
    </w:p>
    <w:p>
      <w:pPr>
        <w:pStyle w:val="13"/>
        <w:ind w:firstLine="1680" w:firstLineChars="200"/>
        <w:jc w:val="center"/>
        <w:rPr>
          <w:color w:val="auto"/>
          <w:sz w:val="84"/>
          <w:szCs w:val="84"/>
        </w:rPr>
      </w:pPr>
      <w:r>
        <w:rPr>
          <w:rFonts w:hint="eastAsia"/>
          <w:color w:val="auto"/>
          <w:sz w:val="84"/>
          <w:szCs w:val="84"/>
        </w:rPr>
        <w:t>2021年度</w:t>
      </w:r>
    </w:p>
    <w:p>
      <w:pPr>
        <w:pStyle w:val="13"/>
        <w:ind w:firstLine="1680" w:firstLineChars="200"/>
        <w:jc w:val="center"/>
        <w:rPr>
          <w:color w:val="auto"/>
          <w:sz w:val="84"/>
          <w:szCs w:val="84"/>
        </w:rPr>
      </w:pPr>
      <w:r>
        <w:rPr>
          <w:rFonts w:hint="eastAsia"/>
          <w:color w:val="auto"/>
          <w:sz w:val="84"/>
          <w:szCs w:val="84"/>
        </w:rPr>
        <w:t>怀化市军队离休退休干部服务管理中心部门决算</w:t>
      </w:r>
    </w:p>
    <w:p>
      <w:pPr>
        <w:pStyle w:val="13"/>
        <w:jc w:val="center"/>
        <w:rPr>
          <w:color w:val="auto"/>
          <w:sz w:val="56"/>
          <w:szCs w:val="56"/>
        </w:rPr>
      </w:pPr>
    </w:p>
    <w:p>
      <w:pPr>
        <w:pStyle w:val="13"/>
        <w:jc w:val="center"/>
        <w:rPr>
          <w:color w:val="auto"/>
          <w:sz w:val="56"/>
          <w:szCs w:val="56"/>
        </w:rPr>
      </w:pPr>
    </w:p>
    <w:p>
      <w:pPr>
        <w:pStyle w:val="13"/>
        <w:jc w:val="center"/>
        <w:rPr>
          <w:color w:val="auto"/>
          <w:sz w:val="56"/>
          <w:szCs w:val="56"/>
        </w:rPr>
      </w:pPr>
    </w:p>
    <w:p>
      <w:pPr>
        <w:pStyle w:val="13"/>
        <w:jc w:val="center"/>
        <w:rPr>
          <w:color w:val="auto"/>
          <w:sz w:val="56"/>
          <w:szCs w:val="56"/>
        </w:rPr>
      </w:pPr>
    </w:p>
    <w:p>
      <w:pPr>
        <w:pStyle w:val="13"/>
        <w:jc w:val="center"/>
        <w:rPr>
          <w:color w:val="auto"/>
          <w:sz w:val="32"/>
          <w:szCs w:val="32"/>
        </w:rPr>
      </w:pPr>
    </w:p>
    <w:p>
      <w:pPr>
        <w:pStyle w:val="13"/>
        <w:jc w:val="center"/>
        <w:rPr>
          <w:color w:val="auto"/>
          <w:sz w:val="32"/>
          <w:szCs w:val="32"/>
        </w:rPr>
      </w:pPr>
    </w:p>
    <w:p>
      <w:pPr>
        <w:pStyle w:val="13"/>
        <w:jc w:val="center"/>
        <w:rPr>
          <w:color w:val="auto"/>
          <w:sz w:val="32"/>
          <w:szCs w:val="32"/>
        </w:rPr>
      </w:pPr>
    </w:p>
    <w:p>
      <w:pPr>
        <w:pStyle w:val="13"/>
        <w:jc w:val="center"/>
        <w:rPr>
          <w:color w:val="auto"/>
          <w:sz w:val="32"/>
          <w:szCs w:val="32"/>
        </w:rPr>
      </w:pPr>
    </w:p>
    <w:p>
      <w:pPr>
        <w:pStyle w:val="13"/>
        <w:jc w:val="center"/>
        <w:rPr>
          <w:color w:val="auto"/>
          <w:sz w:val="32"/>
          <w:szCs w:val="32"/>
        </w:rPr>
      </w:pPr>
    </w:p>
    <w:p>
      <w:pPr>
        <w:pStyle w:val="13"/>
        <w:spacing w:line="500" w:lineRule="exact"/>
        <w:ind w:firstLine="723" w:firstLineChars="200"/>
        <w:jc w:val="center"/>
        <w:rPr>
          <w:b/>
          <w:color w:val="auto"/>
          <w:sz w:val="36"/>
          <w:szCs w:val="28"/>
        </w:rPr>
      </w:pPr>
      <w:r>
        <w:rPr>
          <w:rFonts w:hint="eastAsia"/>
          <w:b/>
          <w:color w:val="auto"/>
          <w:sz w:val="36"/>
          <w:szCs w:val="28"/>
        </w:rPr>
        <w:t>目录</w:t>
      </w:r>
    </w:p>
    <w:p>
      <w:pPr>
        <w:pStyle w:val="13"/>
        <w:spacing w:line="500" w:lineRule="exact"/>
        <w:ind w:firstLine="562" w:firstLineChars="200"/>
        <w:rPr>
          <w:rFonts w:ascii="仿宋_GB2312" w:hAnsi="仿宋_GB2312" w:cs="仿宋_GB2312"/>
          <w:b/>
          <w:color w:val="auto"/>
          <w:sz w:val="28"/>
          <w:szCs w:val="28"/>
        </w:rPr>
      </w:pPr>
      <w:r>
        <w:rPr>
          <w:rFonts w:hint="eastAsia"/>
          <w:b/>
          <w:color w:val="auto"/>
          <w:sz w:val="28"/>
          <w:szCs w:val="28"/>
        </w:rPr>
        <w:t>第一部分怀化市军队离休退休干部服务管理中心单位概况</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3"/>
        <w:spacing w:line="500" w:lineRule="exact"/>
        <w:ind w:firstLine="562" w:firstLineChars="200"/>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21年度部门决算表</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w:t>
      </w:r>
      <w:r>
        <w:rPr>
          <w:rFonts w:hint="eastAsia" w:cs="仿宋_GB2312" w:asciiTheme="minorEastAsia" w:hAnsiTheme="minorEastAsia" w:eastAsiaTheme="minorEastAsia"/>
          <w:color w:val="auto"/>
          <w:sz w:val="28"/>
          <w:szCs w:val="28"/>
        </w:rPr>
        <w:t>明细</w:t>
      </w:r>
      <w:r>
        <w:rPr>
          <w:rFonts w:cs="仿宋_GB2312" w:asciiTheme="minorEastAsia" w:hAnsiTheme="minorEastAsia" w:eastAsiaTheme="minorEastAsia"/>
          <w:color w:val="auto"/>
          <w:sz w:val="28"/>
          <w:szCs w:val="28"/>
        </w:rPr>
        <w:t>表</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3"/>
        <w:spacing w:line="500" w:lineRule="exact"/>
        <w:ind w:firstLine="560" w:firstLineChars="20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13"/>
        <w:spacing w:line="500" w:lineRule="exact"/>
        <w:ind w:firstLine="562" w:firstLineChars="200"/>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21年度部门决算情况说明</w:t>
      </w:r>
    </w:p>
    <w:p>
      <w:pPr>
        <w:pStyle w:val="13"/>
        <w:spacing w:line="500" w:lineRule="exact"/>
        <w:ind w:firstLine="560" w:firstLineChars="20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00" w:lineRule="exact"/>
        <w:ind w:firstLine="560" w:firstLineChars="200"/>
        <w:jc w:val="left"/>
        <w:rPr>
          <w:rFonts w:ascii="仿宋_GB2312" w:hAnsi="仿宋_GB2312" w:cs="仿宋_GB2312"/>
          <w:color w:val="auto"/>
          <w:sz w:val="28"/>
          <w:szCs w:val="28"/>
        </w:rPr>
      </w:pPr>
      <w:r>
        <w:rPr>
          <w:rFonts w:ascii="仿宋_GB2312" w:hAnsi="仿宋_GB2312" w:cs="仿宋_GB2312"/>
          <w:color w:val="auto"/>
          <w:sz w:val="28"/>
          <w:szCs w:val="28"/>
        </w:rPr>
        <w:t>二、收入决算情况说明</w:t>
      </w:r>
    </w:p>
    <w:p>
      <w:pPr>
        <w:autoSpaceDE w:val="0"/>
        <w:autoSpaceDN w:val="0"/>
        <w:adjustRightInd w:val="0"/>
        <w:spacing w:line="500" w:lineRule="exact"/>
        <w:ind w:firstLine="560" w:firstLineChars="20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三、支出决算情况说明</w:t>
      </w:r>
    </w:p>
    <w:p>
      <w:pPr>
        <w:autoSpaceDE w:val="0"/>
        <w:autoSpaceDN w:val="0"/>
        <w:adjustRightInd w:val="0"/>
        <w:spacing w:line="500" w:lineRule="exact"/>
        <w:ind w:firstLine="560" w:firstLineChars="20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四、财政拨款收入支出决算总体情况说明</w:t>
      </w:r>
    </w:p>
    <w:p>
      <w:pPr>
        <w:autoSpaceDE w:val="0"/>
        <w:autoSpaceDN w:val="0"/>
        <w:adjustRightInd w:val="0"/>
        <w:spacing w:line="500" w:lineRule="exact"/>
        <w:ind w:firstLine="560" w:firstLineChars="20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五、一般公共预算财政拨款支出决算情况说明</w:t>
      </w:r>
    </w:p>
    <w:p>
      <w:pPr>
        <w:autoSpaceDE w:val="0"/>
        <w:autoSpaceDN w:val="0"/>
        <w:adjustRightInd w:val="0"/>
        <w:spacing w:line="500" w:lineRule="exact"/>
        <w:ind w:firstLine="560" w:firstLineChars="20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六、一般公共预算财政拨款基本支出决算情况说明</w:t>
      </w:r>
    </w:p>
    <w:p>
      <w:pPr>
        <w:autoSpaceDE w:val="0"/>
        <w:autoSpaceDN w:val="0"/>
        <w:adjustRightInd w:val="0"/>
        <w:spacing w:line="500" w:lineRule="exact"/>
        <w:ind w:firstLine="560" w:firstLineChars="20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七、一般公共预算财政拨款</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三公</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经费支出决算情况说明</w:t>
      </w:r>
    </w:p>
    <w:p>
      <w:pPr>
        <w:autoSpaceDE w:val="0"/>
        <w:autoSpaceDN w:val="0"/>
        <w:adjustRightInd w:val="0"/>
        <w:spacing w:line="500" w:lineRule="exact"/>
        <w:ind w:firstLine="560" w:firstLineChars="20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00" w:lineRule="exact"/>
        <w:ind w:firstLine="560" w:firstLineChars="200"/>
        <w:jc w:val="left"/>
        <w:rPr>
          <w:rFonts w:hint="eastAsia" w:ascii="仿宋_GB2312" w:hAnsi="仿宋_GB2312" w:cs="仿宋_GB2312"/>
          <w:color w:val="auto"/>
          <w:kern w:val="0"/>
          <w:sz w:val="28"/>
          <w:szCs w:val="28"/>
          <w:lang w:val="en-US" w:eastAsia="zh-CN"/>
        </w:rPr>
      </w:pPr>
      <w:r>
        <w:rPr>
          <w:rFonts w:hint="eastAsia" w:ascii="仿宋_GB2312" w:hAnsi="仿宋_GB2312" w:cs="仿宋_GB2312"/>
          <w:color w:val="auto"/>
          <w:kern w:val="0"/>
          <w:sz w:val="28"/>
          <w:szCs w:val="28"/>
        </w:rPr>
        <w:t>九</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lang w:val="en-US" w:eastAsia="zh-CN"/>
        </w:rPr>
        <w:t>国有资本经营预算财政拨款支出</w:t>
      </w:r>
      <w:r>
        <w:rPr>
          <w:rFonts w:hint="eastAsia" w:ascii="仿宋_GB2312" w:hAnsi="仿宋_GB2312" w:cs="仿宋_GB2312"/>
          <w:color w:val="auto"/>
          <w:kern w:val="0"/>
          <w:sz w:val="28"/>
          <w:szCs w:val="28"/>
        </w:rPr>
        <w:t>决算情况</w:t>
      </w:r>
      <w:r>
        <w:rPr>
          <w:rFonts w:hint="eastAsia" w:ascii="仿宋_GB2312" w:hAnsi="仿宋_GB2312" w:cs="仿宋_GB2312"/>
          <w:color w:val="auto"/>
          <w:kern w:val="0"/>
          <w:sz w:val="28"/>
          <w:szCs w:val="28"/>
          <w:lang w:val="en-US" w:eastAsia="zh-CN"/>
        </w:rPr>
        <w:t>说明</w:t>
      </w:r>
    </w:p>
    <w:p>
      <w:pPr>
        <w:autoSpaceDE w:val="0"/>
        <w:autoSpaceDN w:val="0"/>
        <w:adjustRightInd w:val="0"/>
        <w:spacing w:line="500" w:lineRule="exact"/>
        <w:ind w:firstLine="560" w:firstLineChars="20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lang w:val="en-US" w:eastAsia="zh-CN"/>
        </w:rPr>
        <w:t>十</w:t>
      </w:r>
      <w:r>
        <w:rPr>
          <w:rFonts w:hint="eastAsia" w:ascii="仿宋_GB2312" w:hAnsi="仿宋_GB2312" w:cs="仿宋_GB2312"/>
          <w:color w:val="auto"/>
          <w:kern w:val="0"/>
          <w:sz w:val="28"/>
          <w:szCs w:val="28"/>
        </w:rPr>
        <w:t>、关于机关运行经费支出说明</w:t>
      </w:r>
    </w:p>
    <w:p>
      <w:pPr>
        <w:autoSpaceDE w:val="0"/>
        <w:autoSpaceDN w:val="0"/>
        <w:adjustRightInd w:val="0"/>
        <w:spacing w:line="500" w:lineRule="exact"/>
        <w:ind w:firstLine="560" w:firstLineChars="200"/>
        <w:jc w:val="left"/>
        <w:rPr>
          <w:rFonts w:hint="eastAsia" w:ascii="仿宋_GB2312" w:hAnsi="仿宋_GB2312" w:cs="仿宋_GB2312"/>
          <w:color w:val="auto"/>
          <w:kern w:val="0"/>
          <w:sz w:val="28"/>
          <w:szCs w:val="28"/>
          <w:lang w:val="en-US" w:eastAsia="zh-CN"/>
        </w:rPr>
      </w:pPr>
      <w:r>
        <w:rPr>
          <w:rFonts w:hint="eastAsia" w:ascii="仿宋_GB2312" w:hAnsi="仿宋_GB2312" w:cs="仿宋_GB2312"/>
          <w:color w:val="auto"/>
          <w:kern w:val="0"/>
          <w:sz w:val="28"/>
          <w:szCs w:val="28"/>
        </w:rPr>
        <w:t>十</w:t>
      </w:r>
      <w:r>
        <w:rPr>
          <w:rFonts w:hint="eastAsia" w:ascii="仿宋_GB2312" w:hAnsi="仿宋_GB2312" w:cs="仿宋_GB2312"/>
          <w:color w:val="auto"/>
          <w:kern w:val="0"/>
          <w:sz w:val="28"/>
          <w:szCs w:val="28"/>
          <w:lang w:val="en-US" w:eastAsia="zh-CN"/>
        </w:rPr>
        <w:t>一</w:t>
      </w:r>
      <w:r>
        <w:rPr>
          <w:rFonts w:hint="eastAsia" w:ascii="仿宋_GB2312" w:hAnsi="仿宋_GB2312" w:cs="仿宋_GB2312"/>
          <w:color w:val="auto"/>
          <w:kern w:val="0"/>
          <w:sz w:val="28"/>
          <w:szCs w:val="28"/>
        </w:rPr>
        <w:t>、一般性支出情况</w:t>
      </w:r>
      <w:r>
        <w:rPr>
          <w:rFonts w:hint="eastAsia" w:ascii="仿宋_GB2312" w:hAnsi="仿宋_GB2312" w:cs="仿宋_GB2312"/>
          <w:color w:val="auto"/>
          <w:kern w:val="0"/>
          <w:sz w:val="28"/>
          <w:szCs w:val="28"/>
          <w:lang w:val="en-US" w:eastAsia="zh-CN"/>
        </w:rPr>
        <w:t>说明</w:t>
      </w:r>
    </w:p>
    <w:p>
      <w:pPr>
        <w:autoSpaceDE w:val="0"/>
        <w:autoSpaceDN w:val="0"/>
        <w:adjustRightInd w:val="0"/>
        <w:spacing w:line="500" w:lineRule="exact"/>
        <w:ind w:firstLine="560" w:firstLineChars="20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十</w:t>
      </w:r>
      <w:r>
        <w:rPr>
          <w:rFonts w:hint="eastAsia" w:ascii="仿宋_GB2312" w:hAnsi="仿宋_GB2312" w:cs="仿宋_GB2312"/>
          <w:color w:val="auto"/>
          <w:kern w:val="0"/>
          <w:sz w:val="28"/>
          <w:szCs w:val="28"/>
          <w:lang w:val="en-US" w:eastAsia="zh-CN"/>
        </w:rPr>
        <w:t>二</w:t>
      </w:r>
      <w:r>
        <w:rPr>
          <w:rFonts w:hint="eastAsia" w:ascii="仿宋_GB2312" w:hAnsi="仿宋_GB2312" w:cs="仿宋_GB2312"/>
          <w:color w:val="auto"/>
          <w:kern w:val="0"/>
          <w:sz w:val="28"/>
          <w:szCs w:val="28"/>
        </w:rPr>
        <w:t>、关于政府采购支出说明</w:t>
      </w:r>
    </w:p>
    <w:p>
      <w:pPr>
        <w:autoSpaceDE w:val="0"/>
        <w:autoSpaceDN w:val="0"/>
        <w:adjustRightInd w:val="0"/>
        <w:spacing w:line="500" w:lineRule="exact"/>
        <w:ind w:firstLine="560" w:firstLineChars="20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十</w:t>
      </w:r>
      <w:r>
        <w:rPr>
          <w:rFonts w:hint="eastAsia" w:ascii="仿宋_GB2312" w:hAnsi="仿宋_GB2312" w:cs="仿宋_GB2312"/>
          <w:color w:val="auto"/>
          <w:kern w:val="0"/>
          <w:sz w:val="28"/>
          <w:szCs w:val="28"/>
          <w:lang w:val="en-US" w:eastAsia="zh-CN"/>
        </w:rPr>
        <w:t>三</w:t>
      </w:r>
      <w:r>
        <w:rPr>
          <w:rFonts w:hint="eastAsia" w:ascii="仿宋_GB2312" w:hAnsi="仿宋_GB2312" w:cs="仿宋_GB2312"/>
          <w:color w:val="auto"/>
          <w:kern w:val="0"/>
          <w:sz w:val="28"/>
          <w:szCs w:val="28"/>
        </w:rPr>
        <w:t>、关于国有资产占用情况说明</w:t>
      </w:r>
    </w:p>
    <w:p>
      <w:pPr>
        <w:autoSpaceDE w:val="0"/>
        <w:autoSpaceDN w:val="0"/>
        <w:adjustRightInd w:val="0"/>
        <w:spacing w:line="500" w:lineRule="exact"/>
        <w:ind w:firstLine="560" w:firstLineChars="20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w:t>
      </w:r>
      <w:r>
        <w:rPr>
          <w:rFonts w:hint="eastAsia" w:ascii="仿宋_GB2312" w:hAnsi="仿宋_GB2312" w:cs="仿宋_GB2312"/>
          <w:color w:val="auto"/>
          <w:kern w:val="0"/>
          <w:sz w:val="28"/>
          <w:szCs w:val="28"/>
          <w:lang w:val="en-US" w:eastAsia="zh-CN"/>
        </w:rPr>
        <w:t>四</w:t>
      </w:r>
      <w:r>
        <w:rPr>
          <w:rFonts w:hint="eastAsia" w:ascii="仿宋_GB2312" w:hAnsi="仿宋_GB2312" w:cs="仿宋_GB2312"/>
          <w:color w:val="auto"/>
          <w:kern w:val="0"/>
          <w:sz w:val="28"/>
          <w:szCs w:val="28"/>
        </w:rPr>
        <w:t>、关于2021年度预算绩效情况的说明</w:t>
      </w:r>
    </w:p>
    <w:p>
      <w:pPr>
        <w:autoSpaceDE w:val="0"/>
        <w:autoSpaceDN w:val="0"/>
        <w:adjustRightInd w:val="0"/>
        <w:spacing w:line="500" w:lineRule="exact"/>
        <w:jc w:val="left"/>
        <w:rPr>
          <w:rFonts w:ascii="黑体" w:hAnsi="黑体" w:eastAsia="黑体" w:cs="黑体"/>
          <w:b/>
          <w:color w:val="auto"/>
          <w:kern w:val="0"/>
          <w:sz w:val="28"/>
          <w:szCs w:val="28"/>
        </w:rPr>
      </w:pPr>
    </w:p>
    <w:p>
      <w:pPr>
        <w:autoSpaceDE w:val="0"/>
        <w:autoSpaceDN w:val="0"/>
        <w:adjustRightInd w:val="0"/>
        <w:spacing w:line="500" w:lineRule="exact"/>
        <w:ind w:firstLine="562" w:firstLineChars="200"/>
        <w:jc w:val="left"/>
        <w:rPr>
          <w:rFonts w:ascii="黑体" w:hAnsi="黑体" w:eastAsia="黑体" w:cs="黑体"/>
          <w:b/>
          <w:color w:val="auto"/>
          <w:kern w:val="0"/>
          <w:sz w:val="28"/>
          <w:szCs w:val="28"/>
        </w:rPr>
      </w:pPr>
      <w:r>
        <w:rPr>
          <w:rFonts w:ascii="黑体" w:hAnsi="黑体" w:eastAsia="黑体" w:cs="黑体"/>
          <w:b/>
          <w:color w:val="auto"/>
          <w:kern w:val="0"/>
          <w:sz w:val="28"/>
          <w:szCs w:val="28"/>
        </w:rPr>
        <w:t>第四部分名词解释</w:t>
      </w:r>
    </w:p>
    <w:p>
      <w:pPr>
        <w:autoSpaceDE w:val="0"/>
        <w:autoSpaceDN w:val="0"/>
        <w:adjustRightInd w:val="0"/>
        <w:spacing w:line="500" w:lineRule="exact"/>
        <w:ind w:firstLine="562" w:firstLineChars="200"/>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3"/>
        <w:ind w:firstLine="1680" w:firstLineChars="200"/>
        <w:jc w:val="center"/>
        <w:rPr>
          <w:color w:val="auto"/>
          <w:sz w:val="84"/>
          <w:szCs w:val="84"/>
        </w:rPr>
      </w:pPr>
      <w:r>
        <w:rPr>
          <w:rFonts w:hint="eastAsia"/>
          <w:color w:val="auto"/>
          <w:sz w:val="84"/>
          <w:szCs w:val="84"/>
        </w:rPr>
        <w:t>第一部分</w:t>
      </w:r>
      <w:r>
        <w:rPr>
          <w:color w:val="auto"/>
          <w:sz w:val="84"/>
          <w:szCs w:val="84"/>
        </w:rPr>
        <w:t xml:space="preserve"> </w:t>
      </w:r>
    </w:p>
    <w:p>
      <w:pPr>
        <w:pStyle w:val="13"/>
        <w:jc w:val="center"/>
        <w:rPr>
          <w:color w:val="auto"/>
          <w:sz w:val="84"/>
          <w:szCs w:val="84"/>
        </w:rPr>
      </w:pPr>
    </w:p>
    <w:p>
      <w:pPr>
        <w:pStyle w:val="13"/>
        <w:ind w:firstLine="1680" w:firstLineChars="200"/>
        <w:jc w:val="center"/>
        <w:rPr>
          <w:color w:val="auto"/>
          <w:sz w:val="84"/>
          <w:szCs w:val="84"/>
        </w:rPr>
      </w:pPr>
      <w:r>
        <w:rPr>
          <w:rFonts w:hint="eastAsia"/>
          <w:color w:val="auto"/>
          <w:sz w:val="84"/>
          <w:szCs w:val="84"/>
        </w:rPr>
        <w:t>怀化市军队离休退休干部服务管理中心单位概况</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pStyle w:val="14"/>
        <w:ind w:left="720" w:firstLine="0" w:firstLineChars="0"/>
        <w:jc w:val="left"/>
        <w:rPr>
          <w:rFonts w:ascii="黑体" w:hAnsi="黑体" w:eastAsia="黑体"/>
          <w:color w:val="auto"/>
          <w:sz w:val="32"/>
          <w:szCs w:val="32"/>
        </w:rPr>
      </w:pPr>
    </w:p>
    <w:p>
      <w:pPr>
        <w:pStyle w:val="14"/>
        <w:numPr>
          <w:ilvl w:val="0"/>
          <w:numId w:val="1"/>
        </w:numPr>
        <w:ind w:firstLine="640" w:firstLineChars="200"/>
        <w:jc w:val="left"/>
        <w:rPr>
          <w:rFonts w:ascii="黑体" w:hAnsi="黑体" w:eastAsia="黑体"/>
          <w:color w:val="auto"/>
          <w:sz w:val="32"/>
          <w:szCs w:val="32"/>
        </w:rPr>
      </w:pPr>
      <w:r>
        <w:rPr>
          <w:rFonts w:ascii="黑体" w:hAnsi="黑体" w:eastAsia="黑体"/>
          <w:color w:val="auto"/>
          <w:sz w:val="32"/>
          <w:szCs w:val="32"/>
        </w:rPr>
        <w:t>部门职责</w:t>
      </w:r>
    </w:p>
    <w:p>
      <w:pPr>
        <w:ind w:firstLine="640" w:firstLineChars="200"/>
        <w:jc w:val="left"/>
        <w:rPr>
          <w:rFonts w:hint="eastAsia" w:asciiTheme="minorEastAsia" w:hAnsiTheme="minorEastAsia"/>
          <w:color w:val="auto"/>
          <w:sz w:val="32"/>
          <w:szCs w:val="32"/>
        </w:rPr>
      </w:pPr>
      <w:r>
        <w:rPr>
          <w:rFonts w:hint="eastAsia" w:asciiTheme="minorEastAsia" w:hAnsiTheme="minorEastAsia"/>
          <w:color w:val="auto"/>
          <w:sz w:val="32"/>
          <w:szCs w:val="32"/>
        </w:rPr>
        <w:t>（一）严格执行国家安置政策，积极做好军休干部的接收安置工作；</w:t>
      </w:r>
    </w:p>
    <w:p>
      <w:pPr>
        <w:ind w:firstLine="640" w:firstLineChars="200"/>
        <w:jc w:val="left"/>
        <w:rPr>
          <w:rFonts w:hint="eastAsia" w:asciiTheme="minorEastAsia" w:hAnsiTheme="minorEastAsia"/>
          <w:color w:val="auto"/>
          <w:sz w:val="32"/>
          <w:szCs w:val="32"/>
        </w:rPr>
      </w:pPr>
      <w:r>
        <w:rPr>
          <w:rFonts w:hint="eastAsia" w:asciiTheme="minorEastAsia" w:hAnsiTheme="minorEastAsia"/>
          <w:color w:val="auto"/>
          <w:sz w:val="32"/>
          <w:szCs w:val="32"/>
        </w:rPr>
        <w:t>（二）积极开展各项政治活动，落实军休干部政治待遇；</w:t>
      </w:r>
    </w:p>
    <w:p>
      <w:pPr>
        <w:ind w:firstLine="640" w:firstLineChars="200"/>
        <w:jc w:val="left"/>
        <w:rPr>
          <w:rFonts w:hint="eastAsia" w:asciiTheme="minorEastAsia" w:hAnsiTheme="minorEastAsia"/>
          <w:color w:val="auto"/>
          <w:sz w:val="32"/>
          <w:szCs w:val="32"/>
        </w:rPr>
      </w:pPr>
      <w:r>
        <w:rPr>
          <w:rFonts w:hint="eastAsia" w:asciiTheme="minorEastAsia" w:hAnsiTheme="minorEastAsia"/>
          <w:color w:val="auto"/>
          <w:sz w:val="32"/>
          <w:szCs w:val="32"/>
        </w:rPr>
        <w:t>（三）切实做好军休干部离退休费发放；</w:t>
      </w:r>
    </w:p>
    <w:p>
      <w:pPr>
        <w:ind w:firstLine="640" w:firstLineChars="200"/>
        <w:jc w:val="left"/>
        <w:rPr>
          <w:rFonts w:hint="eastAsia" w:asciiTheme="minorEastAsia" w:hAnsiTheme="minorEastAsia"/>
          <w:color w:val="auto"/>
          <w:sz w:val="32"/>
          <w:szCs w:val="32"/>
        </w:rPr>
      </w:pPr>
      <w:r>
        <w:rPr>
          <w:rFonts w:hint="eastAsia" w:asciiTheme="minorEastAsia" w:hAnsiTheme="minorEastAsia"/>
          <w:color w:val="auto"/>
          <w:sz w:val="32"/>
          <w:szCs w:val="32"/>
        </w:rPr>
        <w:t>（四）积极做好军休干部医疗保障工作；</w:t>
      </w:r>
    </w:p>
    <w:p>
      <w:pPr>
        <w:ind w:firstLine="640" w:firstLineChars="200"/>
        <w:jc w:val="left"/>
        <w:rPr>
          <w:rFonts w:hint="eastAsia" w:asciiTheme="minorEastAsia" w:hAnsiTheme="minorEastAsia"/>
          <w:color w:val="auto"/>
          <w:sz w:val="32"/>
          <w:szCs w:val="32"/>
        </w:rPr>
      </w:pPr>
      <w:r>
        <w:rPr>
          <w:rFonts w:hint="eastAsia" w:asciiTheme="minorEastAsia" w:hAnsiTheme="minorEastAsia"/>
          <w:color w:val="auto"/>
          <w:sz w:val="32"/>
          <w:szCs w:val="32"/>
        </w:rPr>
        <w:t>（五）深入开展各种形式的活动，丰富军休干部晚年生活，弘扬军休文化；</w:t>
      </w:r>
    </w:p>
    <w:p>
      <w:pPr>
        <w:ind w:firstLine="640" w:firstLineChars="200"/>
        <w:jc w:val="left"/>
        <w:rPr>
          <w:rFonts w:asciiTheme="minorEastAsia" w:hAnsiTheme="minorEastAsia"/>
          <w:color w:val="auto"/>
          <w:sz w:val="32"/>
          <w:szCs w:val="32"/>
        </w:rPr>
      </w:pPr>
      <w:r>
        <w:rPr>
          <w:rFonts w:hint="eastAsia" w:asciiTheme="minorEastAsia" w:hAnsiTheme="minorEastAsia"/>
          <w:color w:val="auto"/>
          <w:sz w:val="32"/>
          <w:szCs w:val="32"/>
        </w:rPr>
        <w:t>（六）完成主管部门交办的其他工作。</w:t>
      </w:r>
    </w:p>
    <w:p>
      <w:pPr>
        <w:widowControl/>
        <w:spacing w:line="600" w:lineRule="exact"/>
        <w:ind w:firstLine="640" w:firstLineChars="200"/>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widowControl/>
        <w:spacing w:line="600" w:lineRule="exact"/>
        <w:ind w:firstLine="640" w:firstLineChars="200"/>
        <w:rPr>
          <w:rFonts w:hint="eastAsia" w:asciiTheme="minorEastAsia" w:hAnsiTheme="minorEastAsia"/>
          <w:bCs/>
          <w:color w:val="auto"/>
          <w:kern w:val="0"/>
          <w:sz w:val="32"/>
          <w:szCs w:val="32"/>
        </w:rPr>
      </w:pPr>
      <w:r>
        <w:rPr>
          <w:rFonts w:hint="eastAsia" w:asciiTheme="minorEastAsia" w:hAnsiTheme="minorEastAsia"/>
          <w:bCs/>
          <w:color w:val="auto"/>
          <w:kern w:val="0"/>
          <w:sz w:val="32"/>
          <w:szCs w:val="32"/>
        </w:rPr>
        <w:t>（一）内设机构设置。怀化市军队离休退休干部服务管理中心作为二级部门预算单位，内设机构包括：办公室、财务股、安置管理股、综合服务股和文体管理股5个股室。</w:t>
      </w:r>
    </w:p>
    <w:p>
      <w:pPr>
        <w:widowControl/>
        <w:spacing w:line="600" w:lineRule="exact"/>
        <w:ind w:firstLine="640" w:firstLineChars="200"/>
        <w:rPr>
          <w:rFonts w:hint="eastAsia" w:asciiTheme="minorEastAsia" w:hAnsiTheme="minorEastAsia" w:eastAsiaTheme="minorEastAsia"/>
          <w:bCs/>
          <w:color w:val="auto"/>
          <w:kern w:val="0"/>
          <w:sz w:val="32"/>
          <w:szCs w:val="32"/>
          <w:lang w:eastAsia="zh-CN"/>
        </w:rPr>
      </w:pPr>
      <w:r>
        <w:rPr>
          <w:rFonts w:hint="eastAsia" w:asciiTheme="minorEastAsia" w:hAnsiTheme="minorEastAsia"/>
          <w:bCs/>
          <w:color w:val="auto"/>
          <w:kern w:val="0"/>
          <w:sz w:val="32"/>
          <w:szCs w:val="32"/>
        </w:rPr>
        <w:t>（二）决算单位构成。怀化市军队离休退休干部服务管理中心</w:t>
      </w:r>
      <w:r>
        <w:rPr>
          <w:rFonts w:asciiTheme="minorEastAsia" w:hAnsiTheme="minorEastAsia"/>
          <w:bCs/>
          <w:color w:val="auto"/>
          <w:kern w:val="0"/>
          <w:sz w:val="32"/>
          <w:szCs w:val="32"/>
        </w:rPr>
        <w:t>20</w:t>
      </w:r>
      <w:r>
        <w:rPr>
          <w:rFonts w:hint="eastAsia" w:asciiTheme="minorEastAsia" w:hAnsiTheme="minorEastAsia"/>
          <w:bCs/>
          <w:color w:val="auto"/>
          <w:kern w:val="0"/>
          <w:sz w:val="32"/>
          <w:szCs w:val="32"/>
        </w:rPr>
        <w:t>21年部门决算汇总公开单位构成包括：怀化市军队离休退休干部服务管理中心本级</w:t>
      </w:r>
      <w:r>
        <w:rPr>
          <w:rFonts w:hint="eastAsia" w:asciiTheme="minorEastAsia" w:hAnsiTheme="minorEastAsia"/>
          <w:bCs/>
          <w:color w:val="auto"/>
          <w:kern w:val="0"/>
          <w:sz w:val="32"/>
          <w:szCs w:val="32"/>
          <w:lang w:eastAsia="zh-CN"/>
        </w:rPr>
        <w:t>。</w:t>
      </w: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ind w:firstLine="1680" w:firstLineChars="200"/>
        <w:jc w:val="center"/>
        <w:rPr>
          <w:rFonts w:hint="eastAsia" w:ascii="黑体" w:hAnsi="黑体" w:eastAsia="黑体" w:cs="黑体"/>
          <w:b w:val="0"/>
          <w:bCs w:val="0"/>
          <w:color w:val="auto"/>
          <w:sz w:val="84"/>
          <w:szCs w:val="84"/>
        </w:rPr>
      </w:pPr>
      <w:r>
        <w:rPr>
          <w:rFonts w:hint="eastAsia" w:ascii="黑体" w:hAnsi="黑体" w:eastAsia="黑体" w:cs="黑体"/>
          <w:b w:val="0"/>
          <w:bCs w:val="0"/>
          <w:color w:val="auto"/>
          <w:sz w:val="84"/>
          <w:szCs w:val="84"/>
        </w:rPr>
        <w:t>第二部分</w:t>
      </w:r>
    </w:p>
    <w:p>
      <w:pPr>
        <w:jc w:val="center"/>
        <w:rPr>
          <w:rFonts w:hint="eastAsia" w:ascii="黑体" w:hAnsi="黑体" w:eastAsia="黑体" w:cs="黑体"/>
          <w:b w:val="0"/>
          <w:bCs w:val="0"/>
          <w:color w:val="auto"/>
          <w:sz w:val="84"/>
          <w:szCs w:val="84"/>
        </w:rPr>
      </w:pPr>
    </w:p>
    <w:p>
      <w:pPr>
        <w:ind w:firstLine="1680" w:firstLineChars="200"/>
        <w:jc w:val="center"/>
        <w:rPr>
          <w:rFonts w:hint="eastAsia" w:ascii="黑体" w:hAnsi="黑体" w:eastAsia="黑体" w:cs="黑体"/>
          <w:b w:val="0"/>
          <w:bCs w:val="0"/>
          <w:color w:val="auto"/>
          <w:sz w:val="84"/>
          <w:szCs w:val="84"/>
        </w:rPr>
      </w:pPr>
      <w:r>
        <w:rPr>
          <w:rFonts w:hint="eastAsia" w:ascii="黑体" w:hAnsi="黑体" w:eastAsia="黑体" w:cs="黑体"/>
          <w:b w:val="0"/>
          <w:bCs w:val="0"/>
          <w:color w:val="auto"/>
          <w:sz w:val="84"/>
          <w:szCs w:val="84"/>
        </w:rPr>
        <w:t>部门决算表</w:t>
      </w:r>
    </w:p>
    <w:p>
      <w:pPr>
        <w:ind w:firstLine="1680" w:firstLineChars="200"/>
        <w:jc w:val="center"/>
        <w:rPr>
          <w:rFonts w:hint="eastAsia" w:ascii="黑体" w:hAnsi="黑体" w:eastAsia="黑体" w:cs="黑体"/>
          <w:b w:val="0"/>
          <w:bCs w:val="0"/>
          <w:color w:val="auto"/>
          <w:sz w:val="84"/>
          <w:szCs w:val="84"/>
          <w:lang w:eastAsia="zh-CN"/>
        </w:rPr>
      </w:pPr>
      <w:r>
        <w:rPr>
          <w:rFonts w:hint="eastAsia" w:ascii="黑体" w:hAnsi="黑体" w:eastAsia="黑体" w:cs="黑体"/>
          <w:b w:val="0"/>
          <w:bCs w:val="0"/>
          <w:color w:val="auto"/>
          <w:sz w:val="84"/>
          <w:szCs w:val="84"/>
          <w:lang w:eastAsia="zh-CN"/>
        </w:rPr>
        <w:t>（</w:t>
      </w:r>
      <w:r>
        <w:rPr>
          <w:rFonts w:hint="eastAsia" w:ascii="黑体" w:hAnsi="黑体" w:eastAsia="黑体" w:cs="黑体"/>
          <w:b w:val="0"/>
          <w:bCs w:val="0"/>
          <w:color w:val="auto"/>
          <w:sz w:val="84"/>
          <w:szCs w:val="84"/>
          <w:lang w:val="en-US" w:eastAsia="zh-CN"/>
        </w:rPr>
        <w:t>见附件</w:t>
      </w:r>
      <w:r>
        <w:rPr>
          <w:rFonts w:hint="eastAsia" w:ascii="黑体" w:hAnsi="黑体" w:eastAsia="黑体" w:cs="黑体"/>
          <w:b w:val="0"/>
          <w:bCs w:val="0"/>
          <w:color w:val="auto"/>
          <w:sz w:val="84"/>
          <w:szCs w:val="84"/>
          <w:lang w:eastAsia="zh-CN"/>
        </w:rPr>
        <w:t>）</w:t>
      </w:r>
    </w:p>
    <w:p>
      <w:pPr>
        <w:jc w:val="center"/>
        <w:rPr>
          <w:color w:val="auto"/>
          <w:sz w:val="72"/>
          <w:szCs w:val="72"/>
        </w:rPr>
      </w:pPr>
    </w:p>
    <w:p>
      <w:pPr>
        <w:jc w:val="center"/>
        <w:rPr>
          <w:color w:val="auto"/>
          <w:sz w:val="72"/>
          <w:szCs w:val="72"/>
        </w:rPr>
      </w:pPr>
    </w:p>
    <w:p>
      <w:pPr>
        <w:jc w:val="center"/>
        <w:rPr>
          <w:color w:val="auto"/>
          <w:sz w:val="72"/>
          <w:szCs w:val="72"/>
        </w:rPr>
      </w:pPr>
    </w:p>
    <w:p>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p>
      <w:pPr>
        <w:pStyle w:val="13"/>
        <w:rPr>
          <w:color w:val="auto"/>
          <w:sz w:val="72"/>
          <w:szCs w:val="72"/>
        </w:rPr>
      </w:pPr>
    </w:p>
    <w:p>
      <w:pPr>
        <w:pStyle w:val="13"/>
        <w:rPr>
          <w:color w:val="auto"/>
          <w:sz w:val="72"/>
          <w:szCs w:val="72"/>
        </w:rPr>
      </w:pPr>
    </w:p>
    <w:p>
      <w:pPr>
        <w:pStyle w:val="13"/>
        <w:rPr>
          <w:color w:val="auto"/>
          <w:sz w:val="72"/>
          <w:szCs w:val="72"/>
        </w:rPr>
      </w:pPr>
    </w:p>
    <w:p>
      <w:pPr>
        <w:pStyle w:val="13"/>
        <w:rPr>
          <w:color w:val="auto"/>
          <w:sz w:val="72"/>
          <w:szCs w:val="72"/>
        </w:rPr>
      </w:pPr>
    </w:p>
    <w:p>
      <w:pPr>
        <w:pStyle w:val="13"/>
        <w:jc w:val="center"/>
        <w:rPr>
          <w:color w:val="auto"/>
          <w:sz w:val="72"/>
          <w:szCs w:val="72"/>
        </w:rPr>
      </w:pPr>
    </w:p>
    <w:p>
      <w:pPr>
        <w:pStyle w:val="13"/>
        <w:jc w:val="center"/>
        <w:rPr>
          <w:color w:val="auto"/>
          <w:sz w:val="72"/>
          <w:szCs w:val="72"/>
        </w:rPr>
      </w:pPr>
    </w:p>
    <w:p>
      <w:pPr>
        <w:pStyle w:val="13"/>
        <w:ind w:firstLine="1680" w:firstLineChars="200"/>
        <w:jc w:val="center"/>
        <w:rPr>
          <w:color w:val="auto"/>
          <w:sz w:val="84"/>
          <w:szCs w:val="84"/>
        </w:rPr>
      </w:pPr>
      <w:r>
        <w:rPr>
          <w:rFonts w:hint="eastAsia"/>
          <w:color w:val="auto"/>
          <w:sz w:val="84"/>
          <w:szCs w:val="84"/>
        </w:rPr>
        <w:t>第三部分</w:t>
      </w:r>
    </w:p>
    <w:p>
      <w:pPr>
        <w:pStyle w:val="13"/>
        <w:jc w:val="center"/>
        <w:rPr>
          <w:color w:val="auto"/>
          <w:sz w:val="84"/>
          <w:szCs w:val="84"/>
        </w:rPr>
      </w:pPr>
    </w:p>
    <w:p>
      <w:pPr>
        <w:pStyle w:val="13"/>
        <w:ind w:firstLine="1680" w:firstLineChars="200"/>
        <w:jc w:val="center"/>
        <w:rPr>
          <w:color w:val="auto"/>
          <w:sz w:val="84"/>
          <w:szCs w:val="84"/>
        </w:rPr>
      </w:pPr>
      <w:r>
        <w:rPr>
          <w:color w:val="auto"/>
          <w:sz w:val="84"/>
          <w:szCs w:val="84"/>
        </w:rPr>
        <w:t>20</w:t>
      </w:r>
      <w:r>
        <w:rPr>
          <w:rFonts w:hint="eastAsia"/>
          <w:color w:val="auto"/>
          <w:sz w:val="84"/>
          <w:szCs w:val="84"/>
        </w:rPr>
        <w:t>21年度部门决算情况说明</w:t>
      </w:r>
    </w:p>
    <w:p>
      <w:pPr>
        <w:widowControl/>
        <w:ind w:firstLine="1400" w:firstLineChars="200"/>
        <w:jc w:val="left"/>
        <w:rPr>
          <w:rFonts w:asciiTheme="minorEastAsia" w:hAnsiTheme="minorEastAsia" w:eastAsiaTheme="minorEastAsia"/>
          <w:color w:val="auto"/>
          <w:sz w:val="32"/>
          <w:szCs w:val="32"/>
        </w:rPr>
      </w:pPr>
      <w:r>
        <w:rPr>
          <w:color w:val="auto"/>
          <w:sz w:val="70"/>
          <w:szCs w:val="70"/>
        </w:rPr>
        <w:br w:type="page"/>
      </w:r>
    </w:p>
    <w:p>
      <w:pPr>
        <w:pStyle w:val="13"/>
        <w:ind w:firstLine="640" w:firstLineChars="200"/>
        <w:rPr>
          <w:rFonts w:hAnsi="黑体"/>
          <w:b/>
          <w:color w:val="auto"/>
          <w:sz w:val="32"/>
          <w:szCs w:val="32"/>
        </w:rPr>
      </w:pPr>
      <w:r>
        <w:rPr>
          <w:rFonts w:hint="eastAsia" w:hAnsi="黑体"/>
          <w:b/>
          <w:color w:val="auto"/>
          <w:sz w:val="32"/>
          <w:szCs w:val="32"/>
        </w:rPr>
        <w:t>一、收入支出决算总体情况说明</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2021年度收、支总计1503.41万元。与上年相比，减少</w:t>
      </w:r>
      <w:r>
        <w:rPr>
          <w:rFonts w:hint="eastAsia" w:asciiTheme="minorEastAsia" w:hAnsiTheme="minorEastAsia" w:eastAsiaTheme="minorEastAsia"/>
          <w:color w:val="auto"/>
          <w:sz w:val="32"/>
          <w:szCs w:val="32"/>
          <w:lang w:val="en-US" w:eastAsia="zh-CN"/>
        </w:rPr>
        <w:t>512.39</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25.41</w:t>
      </w:r>
      <w:r>
        <w:rPr>
          <w:rFonts w:hint="eastAsia" w:asciiTheme="minorEastAsia" w:hAnsiTheme="minorEastAsia" w:eastAsiaTheme="minorEastAsia"/>
          <w:color w:val="auto"/>
          <w:sz w:val="32"/>
          <w:szCs w:val="32"/>
        </w:rPr>
        <w:t>%，主要是因为执行国发〔2021〕5号、湘政发〔2021〕14号预算管理规定，收入到期财政收回</w:t>
      </w:r>
      <w:r>
        <w:rPr>
          <w:rFonts w:hint="default"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202</w:t>
      </w:r>
      <w:r>
        <w:rPr>
          <w:rFonts w:hint="default"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rPr>
        <w:t>年退役安置补助经费专项业务经费较</w:t>
      </w:r>
      <w:r>
        <w:rPr>
          <w:rFonts w:hint="default" w:asciiTheme="minorEastAsia" w:hAnsiTheme="minorEastAsia" w:eastAsiaTheme="minorEastAsia"/>
          <w:color w:val="auto"/>
          <w:sz w:val="32"/>
          <w:szCs w:val="32"/>
        </w:rPr>
        <w:t>上年有</w:t>
      </w:r>
      <w:r>
        <w:rPr>
          <w:rFonts w:hint="eastAsia" w:asciiTheme="minorEastAsia" w:hAnsiTheme="minorEastAsia" w:eastAsiaTheme="minorEastAsia"/>
          <w:color w:val="auto"/>
          <w:sz w:val="32"/>
          <w:szCs w:val="32"/>
        </w:rPr>
        <w:t>所有减少，</w:t>
      </w:r>
      <w:r>
        <w:rPr>
          <w:rFonts w:hint="eastAsia" w:asciiTheme="minorEastAsia" w:hAnsiTheme="minorEastAsia" w:eastAsiaTheme="minorEastAsia"/>
          <w:color w:val="auto"/>
          <w:sz w:val="32"/>
          <w:szCs w:val="32"/>
          <w:lang w:val="en-US" w:eastAsia="zh-CN"/>
        </w:rPr>
        <w:t>消化存量资金</w:t>
      </w:r>
      <w:r>
        <w:rPr>
          <w:rFonts w:hint="eastAsia" w:asciiTheme="minorEastAsia" w:hAnsiTheme="minorEastAsia" w:eastAsiaTheme="minorEastAsia"/>
          <w:color w:val="auto"/>
          <w:sz w:val="32"/>
          <w:szCs w:val="32"/>
        </w:rPr>
        <w:t>退役安置补助经费开支</w:t>
      </w:r>
      <w:r>
        <w:rPr>
          <w:rFonts w:hint="eastAsia" w:asciiTheme="minorEastAsia" w:hAnsiTheme="minorEastAsia" w:eastAsiaTheme="minorEastAsia"/>
          <w:color w:val="auto"/>
          <w:sz w:val="32"/>
          <w:szCs w:val="32"/>
          <w:lang w:val="en-US" w:eastAsia="zh-CN"/>
        </w:rPr>
        <w:t>较上年有所增加</w:t>
      </w:r>
      <w:r>
        <w:rPr>
          <w:rFonts w:hint="eastAsia" w:asciiTheme="minorEastAsia" w:hAnsiTheme="minorEastAsia" w:eastAsiaTheme="minorEastAsia"/>
          <w:color w:val="auto"/>
          <w:sz w:val="32"/>
          <w:szCs w:val="32"/>
        </w:rPr>
        <w:t>。</w:t>
      </w:r>
    </w:p>
    <w:p>
      <w:pPr>
        <w:pStyle w:val="13"/>
        <w:ind w:firstLine="640" w:firstLineChars="200"/>
        <w:rPr>
          <w:rFonts w:hAnsi="黑体"/>
          <w:b/>
          <w:color w:val="auto"/>
          <w:sz w:val="32"/>
          <w:szCs w:val="32"/>
        </w:rPr>
      </w:pPr>
      <w:r>
        <w:rPr>
          <w:rFonts w:hint="eastAsia" w:hAnsi="黑体"/>
          <w:b/>
          <w:color w:val="auto"/>
          <w:sz w:val="32"/>
          <w:szCs w:val="32"/>
        </w:rPr>
        <w:t>二、收入决算情况说明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2021年度收入合计833.3</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万元，其中：财政拨款收入833.3</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default" w:asciiTheme="minorEastAsia" w:hAnsiTheme="minorEastAsia" w:eastAsiaTheme="minorEastAsia"/>
          <w:color w:val="auto"/>
          <w:sz w:val="32"/>
          <w:szCs w:val="32"/>
        </w:rPr>
        <w:t>100</w:t>
      </w:r>
      <w:r>
        <w:rPr>
          <w:rFonts w:hint="eastAsia" w:asciiTheme="minorEastAsia" w:hAnsiTheme="minorEastAsia" w:eastAsiaTheme="minorEastAsia"/>
          <w:color w:val="auto"/>
          <w:sz w:val="32"/>
          <w:szCs w:val="32"/>
        </w:rPr>
        <w:t>%；上级补助收入</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万元，占</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%；事业收入</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万元，占</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%；经营收入</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万元，占</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%；附属单位上缴收入</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万元，占</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%；其他收入</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万元，占</w:t>
      </w:r>
      <w:r>
        <w:rPr>
          <w:rFonts w:hint="default"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w:t>
      </w:r>
    </w:p>
    <w:p>
      <w:pPr>
        <w:pStyle w:val="13"/>
        <w:ind w:firstLine="640" w:firstLineChars="200"/>
        <w:rPr>
          <w:rFonts w:hAnsi="黑体"/>
          <w:b/>
          <w:color w:val="auto"/>
          <w:sz w:val="32"/>
          <w:szCs w:val="32"/>
        </w:rPr>
      </w:pPr>
      <w:r>
        <w:rPr>
          <w:rFonts w:hint="eastAsia" w:hAnsi="黑体"/>
          <w:b/>
          <w:color w:val="auto"/>
          <w:sz w:val="32"/>
          <w:szCs w:val="32"/>
        </w:rPr>
        <w:t>三、支出决算情况说明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2021年度支出合计1503.41万元，其中：基本支出96.92万元，占</w:t>
      </w:r>
      <w:r>
        <w:rPr>
          <w:rFonts w:hint="eastAsia" w:asciiTheme="minorEastAsia" w:hAnsiTheme="minorEastAsia" w:eastAsiaTheme="minorEastAsia"/>
          <w:color w:val="auto"/>
          <w:sz w:val="32"/>
          <w:szCs w:val="32"/>
          <w:lang w:val="en-US" w:eastAsia="zh-CN"/>
        </w:rPr>
        <w:t>6.45</w:t>
      </w:r>
      <w:r>
        <w:rPr>
          <w:rFonts w:hint="eastAsia" w:asciiTheme="minorEastAsia" w:hAnsiTheme="minorEastAsia" w:eastAsiaTheme="minorEastAsia"/>
          <w:color w:val="auto"/>
          <w:sz w:val="32"/>
          <w:szCs w:val="32"/>
        </w:rPr>
        <w:t>%；项目支出1406.49万元，占</w:t>
      </w:r>
      <w:r>
        <w:rPr>
          <w:rFonts w:hint="eastAsia" w:asciiTheme="minorEastAsia" w:hAnsiTheme="minorEastAsia" w:eastAsiaTheme="minorEastAsia"/>
          <w:color w:val="auto"/>
          <w:sz w:val="32"/>
          <w:szCs w:val="32"/>
          <w:lang w:val="en-US" w:eastAsia="zh-CN"/>
        </w:rPr>
        <w:t>93.55</w:t>
      </w:r>
      <w:r>
        <w:rPr>
          <w:rFonts w:hint="eastAsia" w:asciiTheme="minorEastAsia" w:hAnsiTheme="minorEastAsia" w:eastAsiaTheme="minorEastAsia"/>
          <w:color w:val="auto"/>
          <w:sz w:val="32"/>
          <w:szCs w:val="32"/>
        </w:rPr>
        <w:t>%；上缴上级支出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%；对附属单位补助支出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3"/>
        <w:ind w:firstLine="640" w:firstLineChars="200"/>
        <w:rPr>
          <w:rFonts w:hAnsi="黑体"/>
          <w:b/>
          <w:color w:val="auto"/>
          <w:sz w:val="32"/>
          <w:szCs w:val="32"/>
        </w:rPr>
      </w:pPr>
      <w:r>
        <w:rPr>
          <w:rFonts w:hint="eastAsia" w:hAnsi="黑体"/>
          <w:b/>
          <w:color w:val="auto"/>
          <w:sz w:val="32"/>
          <w:szCs w:val="32"/>
        </w:rPr>
        <w:t>四、财政拨款收入支出决算总体情况说明</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2021年度财政拨款收、支总计1421.44万元，与上年相比，减少</w:t>
      </w:r>
      <w:r>
        <w:rPr>
          <w:rFonts w:hint="eastAsia" w:asciiTheme="minorEastAsia" w:hAnsiTheme="minorEastAsia" w:eastAsiaTheme="minorEastAsia"/>
          <w:color w:val="auto"/>
          <w:sz w:val="32"/>
          <w:szCs w:val="32"/>
          <w:lang w:val="en-US" w:eastAsia="zh-CN"/>
        </w:rPr>
        <w:t>280</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16.45</w:t>
      </w:r>
      <w:r>
        <w:rPr>
          <w:rFonts w:hint="eastAsia" w:asciiTheme="minorEastAsia" w:hAnsiTheme="minorEastAsia" w:eastAsiaTheme="minorEastAsia"/>
          <w:color w:val="auto"/>
          <w:sz w:val="32"/>
          <w:szCs w:val="32"/>
        </w:rPr>
        <w:t>%，主要是因为执行国发〔2021〕5号、湘政发〔2021〕14号预算管理规定，收入到期财政收回</w:t>
      </w:r>
      <w:r>
        <w:rPr>
          <w:rFonts w:hint="default"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rPr>
        <w:t>202</w:t>
      </w:r>
      <w:r>
        <w:rPr>
          <w:rFonts w:hint="default"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rPr>
        <w:t>年退役安置补助经费专项业务经费较</w:t>
      </w:r>
      <w:r>
        <w:rPr>
          <w:rFonts w:hint="default" w:asciiTheme="minorEastAsia" w:hAnsiTheme="minorEastAsia" w:eastAsiaTheme="minorEastAsia"/>
          <w:color w:val="auto"/>
          <w:sz w:val="32"/>
          <w:szCs w:val="32"/>
        </w:rPr>
        <w:t>上年有</w:t>
      </w:r>
      <w:r>
        <w:rPr>
          <w:rFonts w:hint="eastAsia" w:asciiTheme="minorEastAsia" w:hAnsiTheme="minorEastAsia" w:eastAsiaTheme="minorEastAsia"/>
          <w:color w:val="auto"/>
          <w:sz w:val="32"/>
          <w:szCs w:val="32"/>
        </w:rPr>
        <w:t>所有减少，</w:t>
      </w:r>
      <w:r>
        <w:rPr>
          <w:rFonts w:hint="eastAsia" w:asciiTheme="minorEastAsia" w:hAnsiTheme="minorEastAsia" w:eastAsiaTheme="minorEastAsia"/>
          <w:color w:val="auto"/>
          <w:sz w:val="32"/>
          <w:szCs w:val="32"/>
          <w:lang w:val="en-US" w:eastAsia="zh-CN"/>
        </w:rPr>
        <w:t>消化存量资金</w:t>
      </w:r>
      <w:r>
        <w:rPr>
          <w:rFonts w:hint="eastAsia" w:asciiTheme="minorEastAsia" w:hAnsiTheme="minorEastAsia" w:eastAsiaTheme="minorEastAsia"/>
          <w:color w:val="auto"/>
          <w:sz w:val="32"/>
          <w:szCs w:val="32"/>
        </w:rPr>
        <w:t>退役安置补助经费开支</w:t>
      </w:r>
      <w:r>
        <w:rPr>
          <w:rFonts w:hint="eastAsia" w:asciiTheme="minorEastAsia" w:hAnsiTheme="minorEastAsia" w:eastAsiaTheme="minorEastAsia"/>
          <w:color w:val="auto"/>
          <w:sz w:val="32"/>
          <w:szCs w:val="32"/>
          <w:lang w:val="en-US" w:eastAsia="zh-CN"/>
        </w:rPr>
        <w:t>较上年有所增加</w:t>
      </w:r>
      <w:r>
        <w:rPr>
          <w:rFonts w:hint="eastAsia" w:asciiTheme="minorEastAsia" w:hAnsiTheme="minorEastAsia" w:eastAsiaTheme="minorEastAsia"/>
          <w:color w:val="auto"/>
          <w:sz w:val="32"/>
          <w:szCs w:val="32"/>
        </w:rPr>
        <w:t>。</w:t>
      </w:r>
    </w:p>
    <w:p>
      <w:pPr>
        <w:pStyle w:val="13"/>
        <w:ind w:firstLine="640" w:firstLineChars="200"/>
        <w:rPr>
          <w:rFonts w:hAnsi="黑体"/>
          <w:b/>
          <w:color w:val="auto"/>
          <w:sz w:val="32"/>
          <w:szCs w:val="32"/>
        </w:rPr>
      </w:pPr>
      <w:r>
        <w:rPr>
          <w:rFonts w:hint="eastAsia" w:hAnsi="黑体"/>
          <w:b/>
          <w:color w:val="auto"/>
          <w:sz w:val="32"/>
          <w:szCs w:val="32"/>
        </w:rPr>
        <w:t>五、一般公共预算财政拨款支出决算情况说明</w:t>
      </w:r>
    </w:p>
    <w:p>
      <w:pPr>
        <w:pStyle w:val="13"/>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2021年度财政拨款支出1421.44万元，占本年支出合计的</w:t>
      </w:r>
      <w:r>
        <w:rPr>
          <w:rFonts w:hint="eastAsia" w:asciiTheme="minorEastAsia" w:hAnsiTheme="minorEastAsia" w:eastAsiaTheme="minorEastAsia"/>
          <w:color w:val="auto"/>
          <w:sz w:val="32"/>
          <w:szCs w:val="32"/>
          <w:lang w:val="en-US" w:eastAsia="zh-CN"/>
        </w:rPr>
        <w:t>94.55</w:t>
      </w:r>
      <w:r>
        <w:rPr>
          <w:rFonts w:hint="eastAsia" w:asciiTheme="minorEastAsia" w:hAnsiTheme="minorEastAsia" w:eastAsiaTheme="minorEastAsia"/>
          <w:color w:val="auto"/>
          <w:sz w:val="32"/>
          <w:szCs w:val="32"/>
        </w:rPr>
        <w:t>%，与上年相比，财政拨款支出</w:t>
      </w:r>
      <w:r>
        <w:rPr>
          <w:rFonts w:hint="eastAsia" w:asciiTheme="minorEastAsia" w:hAnsiTheme="minorEastAsia" w:eastAsiaTheme="minorEastAsia"/>
          <w:color w:val="auto"/>
          <w:sz w:val="32"/>
          <w:szCs w:val="32"/>
          <w:lang w:val="en-US" w:eastAsia="zh-CN"/>
        </w:rPr>
        <w:t>增加415.72</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41.34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消化存量资金</w:t>
      </w:r>
      <w:r>
        <w:rPr>
          <w:rFonts w:hint="eastAsia" w:asciiTheme="minorEastAsia" w:hAnsiTheme="minorEastAsia" w:eastAsiaTheme="minorEastAsia"/>
          <w:color w:val="auto"/>
          <w:sz w:val="32"/>
          <w:szCs w:val="32"/>
        </w:rPr>
        <w:t>退役安置补助经费开支</w:t>
      </w:r>
      <w:r>
        <w:rPr>
          <w:rFonts w:hint="eastAsia" w:asciiTheme="minorEastAsia" w:hAnsiTheme="minorEastAsia" w:eastAsiaTheme="minorEastAsia"/>
          <w:color w:val="auto"/>
          <w:sz w:val="32"/>
          <w:szCs w:val="32"/>
          <w:lang w:val="en-US" w:eastAsia="zh-CN"/>
        </w:rPr>
        <w:t>较上年有所增加。</w:t>
      </w:r>
    </w:p>
    <w:p>
      <w:pPr>
        <w:pStyle w:val="13"/>
        <w:ind w:firstLine="480" w:firstLineChars="150"/>
        <w:rPr>
          <w:rFonts w:hint="eastAsia" w:asciiTheme="minorEastAsia" w:hAnsiTheme="minorEastAsia" w:eastAsiaTheme="minorEastAsia"/>
          <w:b/>
          <w:color w:val="auto"/>
          <w:sz w:val="32"/>
          <w:szCs w:val="32"/>
        </w:rPr>
      </w:pPr>
    </w:p>
    <w:p>
      <w:pPr>
        <w:pStyle w:val="13"/>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2021年度财政拨款支出1421.44万元，主要用于以下方面：社会保障和就业（类）支出1416.95万元，占99.</w:t>
      </w:r>
      <w:r>
        <w:rPr>
          <w:rFonts w:hint="eastAsia" w:asciiTheme="minorEastAsia" w:hAnsiTheme="minorEastAsia" w:eastAsiaTheme="minorEastAsia"/>
          <w:color w:val="auto"/>
          <w:sz w:val="32"/>
          <w:szCs w:val="32"/>
          <w:lang w:val="en-US" w:eastAsia="zh-CN"/>
        </w:rPr>
        <w:t>68</w:t>
      </w:r>
      <w:r>
        <w:rPr>
          <w:rFonts w:hint="eastAsia" w:asciiTheme="minorEastAsia" w:hAnsiTheme="minorEastAsia" w:eastAsiaTheme="minorEastAsia"/>
          <w:color w:val="auto"/>
          <w:sz w:val="32"/>
          <w:szCs w:val="32"/>
        </w:rPr>
        <w:t>%；卫生健康（类）支出4.49万元，占</w:t>
      </w:r>
      <w:r>
        <w:rPr>
          <w:rFonts w:hint="eastAsia" w:asciiTheme="minorEastAsia" w:hAnsiTheme="minorEastAsia" w:eastAsiaTheme="minorEastAsia"/>
          <w:color w:val="auto"/>
          <w:sz w:val="32"/>
          <w:szCs w:val="32"/>
          <w:lang w:val="en-US" w:eastAsia="zh-CN"/>
        </w:rPr>
        <w:t>0.32</w:t>
      </w:r>
      <w:r>
        <w:rPr>
          <w:rFonts w:hint="eastAsia" w:asciiTheme="minorEastAsia" w:hAnsiTheme="minorEastAsia" w:eastAsiaTheme="minorEastAsia"/>
          <w:color w:val="auto"/>
          <w:sz w:val="32"/>
          <w:szCs w:val="32"/>
        </w:rPr>
        <w:t>%。</w:t>
      </w:r>
    </w:p>
    <w:p>
      <w:pPr>
        <w:pStyle w:val="13"/>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w:t>
      </w:r>
      <w:r>
        <w:rPr>
          <w:rFonts w:hint="eastAsia" w:asciiTheme="minorEastAsia" w:hAnsiTheme="minorEastAsia" w:eastAsiaTheme="minorEastAsia"/>
          <w:color w:val="auto"/>
          <w:sz w:val="32"/>
          <w:szCs w:val="32"/>
          <w:lang w:val="en-US" w:eastAsia="zh-CN"/>
        </w:rPr>
        <w:t>1197.44</w:t>
      </w:r>
      <w:r>
        <w:rPr>
          <w:rFonts w:hint="eastAsia" w:asciiTheme="minorEastAsia" w:hAnsiTheme="minorEastAsia" w:eastAsiaTheme="minorEastAsia"/>
          <w:color w:val="auto"/>
          <w:sz w:val="32"/>
          <w:szCs w:val="32"/>
        </w:rPr>
        <w:t>万元，支出决算数为1421.44万元，完成年初预算的</w:t>
      </w:r>
      <w:r>
        <w:rPr>
          <w:rFonts w:hint="eastAsia" w:asciiTheme="minorEastAsia" w:hAnsiTheme="minorEastAsia" w:eastAsiaTheme="minorEastAsia"/>
          <w:color w:val="auto"/>
          <w:sz w:val="32"/>
          <w:szCs w:val="32"/>
          <w:lang w:val="en-US" w:eastAsia="zh-CN"/>
        </w:rPr>
        <w:t>118.71</w:t>
      </w:r>
      <w:r>
        <w:rPr>
          <w:rFonts w:hint="eastAsia" w:asciiTheme="minorEastAsia" w:hAnsiTheme="minorEastAsia" w:eastAsiaTheme="minorEastAsia"/>
          <w:color w:val="auto"/>
          <w:sz w:val="32"/>
          <w:szCs w:val="32"/>
        </w:rPr>
        <w:t>%，其中：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1、社会保障和就业</w:t>
      </w:r>
      <w:r>
        <w:rPr>
          <w:rFonts w:hint="eastAsia" w:cs="黑体" w:asciiTheme="minorEastAsia" w:hAnsiTheme="minorEastAsia"/>
          <w:color w:val="auto"/>
          <w:kern w:val="0"/>
          <w:sz w:val="32"/>
          <w:szCs w:val="32"/>
          <w:lang w:val="en-US" w:eastAsia="zh-CN" w:bidi="ar-SA"/>
        </w:rPr>
        <w:t>支出</w:t>
      </w:r>
      <w:r>
        <w:rPr>
          <w:rFonts w:hint="eastAsia" w:cs="黑体" w:asciiTheme="minorEastAsia" w:hAnsiTheme="minorEastAsia" w:eastAsiaTheme="minorEastAsia"/>
          <w:color w:val="auto"/>
          <w:kern w:val="0"/>
          <w:sz w:val="32"/>
          <w:szCs w:val="32"/>
          <w:lang w:val="en-US" w:eastAsia="zh-CN" w:bidi="ar-SA"/>
        </w:rPr>
        <w:t>（类）民政管理事务（款）行政运行（项）。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年初预算为0万元，支出决算为49.16万元，决算数大于年初预算数的主要原因是：年初预算编制在职人员工资项目的功能科目为军队移交政府离退休干部管理机构，而本年度下达该预算资金的功能科目为行政运行。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2、社会保障和就业</w:t>
      </w:r>
      <w:r>
        <w:rPr>
          <w:rFonts w:hint="eastAsia" w:cs="黑体" w:asciiTheme="minorEastAsia" w:hAnsiTheme="minorEastAsia"/>
          <w:color w:val="auto"/>
          <w:kern w:val="0"/>
          <w:sz w:val="32"/>
          <w:szCs w:val="32"/>
          <w:lang w:val="en-US" w:eastAsia="zh-CN" w:bidi="ar-SA"/>
        </w:rPr>
        <w:t>支出</w:t>
      </w:r>
      <w:r>
        <w:rPr>
          <w:rFonts w:hint="eastAsia" w:cs="黑体" w:asciiTheme="minorEastAsia" w:hAnsiTheme="minorEastAsia" w:eastAsiaTheme="minorEastAsia"/>
          <w:color w:val="auto"/>
          <w:kern w:val="0"/>
          <w:sz w:val="32"/>
          <w:szCs w:val="32"/>
          <w:lang w:val="en-US" w:eastAsia="zh-CN" w:bidi="ar-SA"/>
        </w:rPr>
        <w:t>（类）行政事业单位养老支出（款）事业单位离退休（项）。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年初预算为</w:t>
      </w:r>
      <w:r>
        <w:rPr>
          <w:rFonts w:hint="eastAsia" w:cs="黑体" w:asciiTheme="minorEastAsia" w:hAnsiTheme="minorEastAsia"/>
          <w:color w:val="auto"/>
          <w:kern w:val="0"/>
          <w:sz w:val="32"/>
          <w:szCs w:val="32"/>
          <w:lang w:val="en-US" w:eastAsia="zh-CN" w:bidi="ar-SA"/>
        </w:rPr>
        <w:t>18.03</w:t>
      </w:r>
      <w:r>
        <w:rPr>
          <w:rFonts w:hint="eastAsia" w:cs="黑体" w:asciiTheme="minorEastAsia" w:hAnsiTheme="minorEastAsia" w:eastAsiaTheme="minorEastAsia"/>
          <w:color w:val="auto"/>
          <w:kern w:val="0"/>
          <w:sz w:val="32"/>
          <w:szCs w:val="32"/>
          <w:lang w:val="en-US" w:eastAsia="zh-CN" w:bidi="ar-SA"/>
        </w:rPr>
        <w:t>万元，支出决算为</w:t>
      </w:r>
      <w:r>
        <w:rPr>
          <w:rFonts w:hint="eastAsia" w:cs="黑体" w:asciiTheme="minorEastAsia" w:hAnsiTheme="minorEastAsia"/>
          <w:color w:val="auto"/>
          <w:kern w:val="0"/>
          <w:sz w:val="32"/>
          <w:szCs w:val="32"/>
          <w:lang w:val="en-US" w:eastAsia="zh-CN" w:bidi="ar-SA"/>
        </w:rPr>
        <w:t>18.03</w:t>
      </w:r>
      <w:r>
        <w:rPr>
          <w:rFonts w:hint="eastAsia" w:cs="黑体" w:asciiTheme="minorEastAsia" w:hAnsiTheme="minorEastAsia" w:eastAsiaTheme="minorEastAsia"/>
          <w:color w:val="auto"/>
          <w:kern w:val="0"/>
          <w:sz w:val="32"/>
          <w:szCs w:val="32"/>
          <w:lang w:val="en-US" w:eastAsia="zh-CN" w:bidi="ar-SA"/>
        </w:rPr>
        <w:t>万元，完成年初预算的</w:t>
      </w:r>
      <w:r>
        <w:rPr>
          <w:rFonts w:hint="eastAsia" w:cs="黑体" w:asciiTheme="minorEastAsia" w:hAnsiTheme="minorEastAsia"/>
          <w:color w:val="auto"/>
          <w:kern w:val="0"/>
          <w:sz w:val="32"/>
          <w:szCs w:val="32"/>
          <w:lang w:val="en-US" w:eastAsia="zh-CN" w:bidi="ar-SA"/>
        </w:rPr>
        <w:t>100</w:t>
      </w:r>
      <w:r>
        <w:rPr>
          <w:rFonts w:hint="eastAsia" w:cs="黑体" w:asciiTheme="minorEastAsia" w:hAnsiTheme="minorEastAsia" w:eastAsiaTheme="minorEastAsia"/>
          <w:color w:val="auto"/>
          <w:kern w:val="0"/>
          <w:sz w:val="32"/>
          <w:szCs w:val="32"/>
          <w:lang w:val="en-US" w:eastAsia="zh-CN" w:bidi="ar-SA"/>
        </w:rPr>
        <w:t>%，决算数</w:t>
      </w:r>
      <w:r>
        <w:rPr>
          <w:rFonts w:hint="eastAsia" w:cs="黑体" w:asciiTheme="minorEastAsia" w:hAnsiTheme="minorEastAsia"/>
          <w:color w:val="auto"/>
          <w:kern w:val="0"/>
          <w:sz w:val="32"/>
          <w:szCs w:val="32"/>
          <w:lang w:val="en-US" w:eastAsia="zh-CN" w:bidi="ar-SA"/>
        </w:rPr>
        <w:t>等于</w:t>
      </w:r>
      <w:r>
        <w:rPr>
          <w:rFonts w:hint="eastAsia" w:cs="黑体" w:asciiTheme="minorEastAsia" w:hAnsiTheme="minorEastAsia" w:eastAsiaTheme="minorEastAsia"/>
          <w:color w:val="auto"/>
          <w:kern w:val="0"/>
          <w:sz w:val="32"/>
          <w:szCs w:val="32"/>
          <w:lang w:val="en-US" w:eastAsia="zh-CN" w:bidi="ar-SA"/>
        </w:rPr>
        <w:t>年初预算数的主要原因是：本年度无军籍职工补助</w:t>
      </w:r>
      <w:r>
        <w:rPr>
          <w:rFonts w:hint="eastAsia" w:cs="黑体" w:asciiTheme="minorEastAsia" w:hAnsiTheme="minorEastAsia"/>
          <w:color w:val="auto"/>
          <w:kern w:val="0"/>
          <w:sz w:val="32"/>
          <w:szCs w:val="32"/>
          <w:lang w:val="en-US" w:eastAsia="zh-CN" w:bidi="ar-SA"/>
        </w:rPr>
        <w:t>开支17.92万元，离退休公用经费开支0.11万元</w:t>
      </w:r>
      <w:r>
        <w:rPr>
          <w:rFonts w:hint="eastAsia" w:cs="黑体" w:asciiTheme="minorEastAsia" w:hAnsiTheme="minorEastAsia" w:eastAsiaTheme="minorEastAsia"/>
          <w:color w:val="auto"/>
          <w:kern w:val="0"/>
          <w:sz w:val="32"/>
          <w:szCs w:val="32"/>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3、社会保障和就业</w:t>
      </w:r>
      <w:r>
        <w:rPr>
          <w:rFonts w:hint="eastAsia" w:cs="黑体" w:asciiTheme="minorEastAsia" w:hAnsiTheme="minorEastAsia"/>
          <w:color w:val="auto"/>
          <w:kern w:val="0"/>
          <w:sz w:val="32"/>
          <w:szCs w:val="32"/>
          <w:lang w:val="en-US" w:eastAsia="zh-CN" w:bidi="ar-SA"/>
        </w:rPr>
        <w:t>支出</w:t>
      </w:r>
      <w:r>
        <w:rPr>
          <w:rFonts w:hint="eastAsia" w:cs="黑体" w:asciiTheme="minorEastAsia" w:hAnsiTheme="minorEastAsia" w:eastAsiaTheme="minorEastAsia"/>
          <w:color w:val="auto"/>
          <w:kern w:val="0"/>
          <w:sz w:val="32"/>
          <w:szCs w:val="32"/>
          <w:lang w:val="en-US" w:eastAsia="zh-CN" w:bidi="ar-SA"/>
        </w:rPr>
        <w:t>（类）行政事业单位养老支出（款）机关事业单位基本养老保险缴费支出（项）。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年初预算为0万元，支出决算为</w:t>
      </w:r>
      <w:r>
        <w:rPr>
          <w:rFonts w:hint="eastAsia" w:cs="黑体" w:asciiTheme="minorEastAsia" w:hAnsiTheme="minorEastAsia"/>
          <w:color w:val="auto"/>
          <w:kern w:val="0"/>
          <w:sz w:val="32"/>
          <w:szCs w:val="32"/>
          <w:lang w:val="en-US" w:eastAsia="zh-CN" w:bidi="ar-SA"/>
        </w:rPr>
        <w:t>7.57</w:t>
      </w:r>
      <w:r>
        <w:rPr>
          <w:rFonts w:hint="eastAsia" w:cs="黑体" w:asciiTheme="minorEastAsia" w:hAnsiTheme="minorEastAsia" w:eastAsiaTheme="minorEastAsia"/>
          <w:color w:val="auto"/>
          <w:kern w:val="0"/>
          <w:sz w:val="32"/>
          <w:szCs w:val="32"/>
          <w:lang w:val="en-US" w:eastAsia="zh-CN" w:bidi="ar-SA"/>
        </w:rPr>
        <w:t>万元，决算数大于年初预算数的主要原因是：本年度发生机关事业单位基本养老保险缴费支出，而年初未纳入预算。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4、社会保障和就业</w:t>
      </w:r>
      <w:r>
        <w:rPr>
          <w:rFonts w:hint="eastAsia" w:cs="黑体" w:asciiTheme="minorEastAsia" w:hAnsiTheme="minorEastAsia"/>
          <w:color w:val="auto"/>
          <w:kern w:val="0"/>
          <w:sz w:val="32"/>
          <w:szCs w:val="32"/>
          <w:lang w:val="en-US" w:eastAsia="zh-CN" w:bidi="ar-SA"/>
        </w:rPr>
        <w:t>支出</w:t>
      </w:r>
      <w:r>
        <w:rPr>
          <w:rFonts w:hint="eastAsia" w:cs="黑体" w:asciiTheme="minorEastAsia" w:hAnsiTheme="minorEastAsia" w:eastAsiaTheme="minorEastAsia"/>
          <w:color w:val="auto"/>
          <w:kern w:val="0"/>
          <w:sz w:val="32"/>
          <w:szCs w:val="32"/>
          <w:lang w:val="en-US" w:eastAsia="zh-CN" w:bidi="ar-SA"/>
        </w:rPr>
        <w:t>（类）行政事业单位养老支出（款）其他行政事业单位养老支出（项）。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default"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年初预算为0万元，支出决算为</w:t>
      </w:r>
      <w:r>
        <w:rPr>
          <w:rFonts w:hint="eastAsia" w:cs="黑体" w:asciiTheme="minorEastAsia" w:hAnsiTheme="minorEastAsia"/>
          <w:color w:val="auto"/>
          <w:kern w:val="0"/>
          <w:sz w:val="32"/>
          <w:szCs w:val="32"/>
          <w:lang w:val="en-US" w:eastAsia="zh-CN" w:bidi="ar-SA"/>
        </w:rPr>
        <w:t>3.47</w:t>
      </w:r>
      <w:r>
        <w:rPr>
          <w:rFonts w:hint="eastAsia" w:cs="黑体" w:asciiTheme="minorEastAsia" w:hAnsiTheme="minorEastAsia" w:eastAsiaTheme="minorEastAsia"/>
          <w:color w:val="auto"/>
          <w:kern w:val="0"/>
          <w:sz w:val="32"/>
          <w:szCs w:val="32"/>
          <w:lang w:val="en-US" w:eastAsia="zh-CN" w:bidi="ar-SA"/>
        </w:rPr>
        <w:t>万元，决算数大于年初预算数的主要原因是：</w:t>
      </w:r>
      <w:r>
        <w:rPr>
          <w:rFonts w:hint="eastAsia" w:cs="黑体" w:asciiTheme="minorEastAsia" w:hAnsiTheme="minorEastAsia"/>
          <w:color w:val="auto"/>
          <w:kern w:val="0"/>
          <w:sz w:val="32"/>
          <w:szCs w:val="32"/>
          <w:lang w:val="en-US" w:eastAsia="zh-CN" w:bidi="ar-SA"/>
        </w:rPr>
        <w:t>年中追加离退休人员春节一次性生活补助。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5、社会保障和就业</w:t>
      </w:r>
      <w:r>
        <w:rPr>
          <w:rFonts w:hint="eastAsia" w:cs="黑体" w:asciiTheme="minorEastAsia" w:hAnsiTheme="minorEastAsia"/>
          <w:color w:val="auto"/>
          <w:kern w:val="0"/>
          <w:sz w:val="32"/>
          <w:szCs w:val="32"/>
          <w:lang w:val="en-US" w:eastAsia="zh-CN" w:bidi="ar-SA"/>
        </w:rPr>
        <w:t>支出</w:t>
      </w:r>
      <w:r>
        <w:rPr>
          <w:rFonts w:hint="eastAsia" w:cs="黑体" w:asciiTheme="minorEastAsia" w:hAnsiTheme="minorEastAsia" w:eastAsiaTheme="minorEastAsia"/>
          <w:color w:val="auto"/>
          <w:kern w:val="0"/>
          <w:sz w:val="32"/>
          <w:szCs w:val="32"/>
          <w:lang w:val="en-US" w:eastAsia="zh-CN" w:bidi="ar-SA"/>
        </w:rPr>
        <w:t>（类）抚恤（款）其他优抚支出（项）。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年初预算为</w:t>
      </w:r>
      <w:r>
        <w:rPr>
          <w:rFonts w:hint="eastAsia" w:cs="黑体" w:asciiTheme="minorEastAsia" w:hAnsiTheme="minorEastAsia"/>
          <w:color w:val="auto"/>
          <w:kern w:val="0"/>
          <w:sz w:val="32"/>
          <w:szCs w:val="32"/>
          <w:lang w:val="en-US" w:eastAsia="zh-CN" w:bidi="ar-SA"/>
        </w:rPr>
        <w:t>0</w:t>
      </w:r>
      <w:r>
        <w:rPr>
          <w:rFonts w:hint="eastAsia" w:cs="黑体" w:asciiTheme="minorEastAsia" w:hAnsiTheme="minorEastAsia" w:eastAsiaTheme="minorEastAsia"/>
          <w:color w:val="auto"/>
          <w:kern w:val="0"/>
          <w:sz w:val="32"/>
          <w:szCs w:val="32"/>
          <w:lang w:val="en-US" w:eastAsia="zh-CN" w:bidi="ar-SA"/>
        </w:rPr>
        <w:t>万元，支出决算为</w:t>
      </w:r>
      <w:r>
        <w:rPr>
          <w:rFonts w:hint="eastAsia" w:cs="黑体" w:asciiTheme="minorEastAsia" w:hAnsiTheme="minorEastAsia"/>
          <w:color w:val="auto"/>
          <w:kern w:val="0"/>
          <w:sz w:val="32"/>
          <w:szCs w:val="32"/>
          <w:lang w:val="en-US" w:eastAsia="zh-CN" w:bidi="ar-SA"/>
        </w:rPr>
        <w:t>200.41</w:t>
      </w:r>
      <w:r>
        <w:rPr>
          <w:rFonts w:hint="eastAsia" w:cs="黑体" w:asciiTheme="minorEastAsia" w:hAnsiTheme="minorEastAsia" w:eastAsiaTheme="minorEastAsia"/>
          <w:color w:val="auto"/>
          <w:kern w:val="0"/>
          <w:sz w:val="32"/>
          <w:szCs w:val="32"/>
          <w:lang w:val="en-US" w:eastAsia="zh-CN" w:bidi="ar-SA"/>
        </w:rPr>
        <w:t>万元，决算数</w:t>
      </w:r>
      <w:r>
        <w:rPr>
          <w:rFonts w:hint="eastAsia" w:cs="黑体" w:asciiTheme="minorEastAsia" w:hAnsiTheme="minorEastAsia"/>
          <w:color w:val="auto"/>
          <w:kern w:val="0"/>
          <w:sz w:val="32"/>
          <w:szCs w:val="32"/>
          <w:lang w:val="en-US" w:eastAsia="zh-CN" w:bidi="ar-SA"/>
        </w:rPr>
        <w:t>大</w:t>
      </w:r>
      <w:r>
        <w:rPr>
          <w:rFonts w:hint="eastAsia" w:cs="黑体" w:asciiTheme="minorEastAsia" w:hAnsiTheme="minorEastAsia" w:eastAsiaTheme="minorEastAsia"/>
          <w:color w:val="auto"/>
          <w:kern w:val="0"/>
          <w:sz w:val="32"/>
          <w:szCs w:val="32"/>
          <w:lang w:val="en-US" w:eastAsia="zh-CN" w:bidi="ar-SA"/>
        </w:rPr>
        <w:t>于年初预算数的主要原因是：</w:t>
      </w:r>
      <w:r>
        <w:rPr>
          <w:rFonts w:hint="eastAsia" w:cs="黑体" w:asciiTheme="minorEastAsia" w:hAnsiTheme="minorEastAsia"/>
          <w:color w:val="auto"/>
          <w:kern w:val="0"/>
          <w:sz w:val="32"/>
          <w:szCs w:val="32"/>
          <w:lang w:val="en-US" w:eastAsia="zh-CN" w:bidi="ar-SA"/>
        </w:rPr>
        <w:t>消化</w:t>
      </w:r>
      <w:r>
        <w:rPr>
          <w:rFonts w:hint="eastAsia" w:cs="黑体" w:asciiTheme="minorEastAsia" w:hAnsiTheme="minorEastAsia" w:eastAsiaTheme="minorEastAsia"/>
          <w:color w:val="auto"/>
          <w:kern w:val="0"/>
          <w:sz w:val="32"/>
          <w:szCs w:val="32"/>
          <w:lang w:val="en-US" w:eastAsia="zh-CN" w:bidi="ar-SA"/>
        </w:rPr>
        <w:t>退役安置补助</w:t>
      </w:r>
      <w:r>
        <w:rPr>
          <w:rFonts w:hint="eastAsia" w:cs="黑体" w:asciiTheme="minorEastAsia" w:hAnsiTheme="minorEastAsia"/>
          <w:color w:val="auto"/>
          <w:kern w:val="0"/>
          <w:sz w:val="32"/>
          <w:szCs w:val="32"/>
          <w:lang w:val="en-US" w:eastAsia="zh-CN" w:bidi="ar-SA"/>
        </w:rPr>
        <w:t>存量资金</w:t>
      </w:r>
      <w:r>
        <w:rPr>
          <w:rFonts w:hint="eastAsia" w:cs="黑体" w:asciiTheme="minorEastAsia" w:hAnsiTheme="minorEastAsia" w:eastAsiaTheme="minorEastAsia"/>
          <w:color w:val="auto"/>
          <w:kern w:val="0"/>
          <w:sz w:val="32"/>
          <w:szCs w:val="32"/>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6、社会保障和就业</w:t>
      </w:r>
      <w:r>
        <w:rPr>
          <w:rFonts w:hint="eastAsia" w:cs="黑体" w:asciiTheme="minorEastAsia" w:hAnsiTheme="minorEastAsia"/>
          <w:color w:val="auto"/>
          <w:kern w:val="0"/>
          <w:sz w:val="32"/>
          <w:szCs w:val="32"/>
          <w:lang w:val="en-US" w:eastAsia="zh-CN" w:bidi="ar-SA"/>
        </w:rPr>
        <w:t>支出</w:t>
      </w:r>
      <w:r>
        <w:rPr>
          <w:rFonts w:hint="eastAsia" w:cs="黑体" w:asciiTheme="minorEastAsia" w:hAnsiTheme="minorEastAsia" w:eastAsiaTheme="minorEastAsia"/>
          <w:color w:val="auto"/>
          <w:kern w:val="0"/>
          <w:sz w:val="32"/>
          <w:szCs w:val="32"/>
          <w:lang w:val="en-US" w:eastAsia="zh-CN" w:bidi="ar-SA"/>
        </w:rPr>
        <w:t>（类）退役安置（款）</w:t>
      </w:r>
      <w:r>
        <w:rPr>
          <w:rFonts w:hint="eastAsia" w:cs="黑体" w:asciiTheme="minorEastAsia" w:hAnsiTheme="minorEastAsia"/>
          <w:color w:val="auto"/>
          <w:kern w:val="0"/>
          <w:sz w:val="32"/>
          <w:szCs w:val="32"/>
          <w:lang w:val="en-US" w:eastAsia="zh-CN" w:bidi="ar-SA"/>
        </w:rPr>
        <w:t>涉密（项</w:t>
      </w:r>
      <w:bookmarkStart w:id="0" w:name="_GoBack"/>
      <w:bookmarkEnd w:id="0"/>
      <w:r>
        <w:rPr>
          <w:rFonts w:hint="eastAsia" w:cs="黑体" w:asciiTheme="minorEastAsia" w:hAnsiTheme="minorEastAsia"/>
          <w:color w:val="auto"/>
          <w:kern w:val="0"/>
          <w:sz w:val="32"/>
          <w:szCs w:val="32"/>
          <w:lang w:val="en-US" w:eastAsia="zh-CN" w:bidi="ar-SA"/>
        </w:rPr>
        <w:t>）</w:t>
      </w:r>
      <w:r>
        <w:rPr>
          <w:rFonts w:hint="eastAsia" w:cs="黑体" w:asciiTheme="minorEastAsia" w:hAnsiTheme="minorEastAsia" w:eastAsiaTheme="minorEastAsia"/>
          <w:color w:val="auto"/>
          <w:kern w:val="0"/>
          <w:sz w:val="32"/>
          <w:szCs w:val="32"/>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default"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年初预算为</w:t>
      </w:r>
      <w:r>
        <w:rPr>
          <w:rFonts w:hint="eastAsia" w:cs="黑体" w:asciiTheme="minorEastAsia" w:hAnsiTheme="minorEastAsia"/>
          <w:color w:val="auto"/>
          <w:kern w:val="0"/>
          <w:sz w:val="32"/>
          <w:szCs w:val="32"/>
          <w:lang w:val="en-US" w:eastAsia="zh-CN" w:bidi="ar-SA"/>
        </w:rPr>
        <w:t>1179.41</w:t>
      </w:r>
      <w:r>
        <w:rPr>
          <w:rFonts w:hint="eastAsia" w:cs="黑体" w:asciiTheme="minorEastAsia" w:hAnsiTheme="minorEastAsia" w:eastAsiaTheme="minorEastAsia"/>
          <w:color w:val="auto"/>
          <w:kern w:val="0"/>
          <w:sz w:val="32"/>
          <w:szCs w:val="32"/>
          <w:lang w:val="en-US" w:eastAsia="zh-CN" w:bidi="ar-SA"/>
        </w:rPr>
        <w:t>万元，支出决算为</w:t>
      </w:r>
      <w:r>
        <w:rPr>
          <w:rFonts w:hint="eastAsia" w:cs="黑体" w:asciiTheme="minorEastAsia" w:hAnsiTheme="minorEastAsia"/>
          <w:color w:val="auto"/>
          <w:kern w:val="0"/>
          <w:sz w:val="32"/>
          <w:szCs w:val="32"/>
          <w:lang w:val="en-US" w:eastAsia="zh-CN" w:bidi="ar-SA"/>
        </w:rPr>
        <w:t>1118.31</w:t>
      </w:r>
      <w:r>
        <w:rPr>
          <w:rFonts w:hint="eastAsia" w:cs="黑体" w:asciiTheme="minorEastAsia" w:hAnsiTheme="minorEastAsia" w:eastAsiaTheme="minorEastAsia"/>
          <w:color w:val="auto"/>
          <w:kern w:val="0"/>
          <w:sz w:val="32"/>
          <w:szCs w:val="32"/>
          <w:lang w:val="en-US" w:eastAsia="zh-CN" w:bidi="ar-SA"/>
        </w:rPr>
        <w:t>万元，完成年初预算的</w:t>
      </w:r>
      <w:r>
        <w:rPr>
          <w:rFonts w:hint="eastAsia" w:cs="黑体" w:asciiTheme="minorEastAsia" w:hAnsiTheme="minorEastAsia"/>
          <w:color w:val="auto"/>
          <w:kern w:val="0"/>
          <w:sz w:val="32"/>
          <w:szCs w:val="32"/>
          <w:lang w:val="en-US" w:eastAsia="zh-CN" w:bidi="ar-SA"/>
        </w:rPr>
        <w:t>94.82</w:t>
      </w:r>
      <w:r>
        <w:rPr>
          <w:rFonts w:hint="eastAsia" w:cs="黑体" w:asciiTheme="minorEastAsia" w:hAnsiTheme="minorEastAsia" w:eastAsiaTheme="minorEastAsia"/>
          <w:color w:val="auto"/>
          <w:kern w:val="0"/>
          <w:sz w:val="32"/>
          <w:szCs w:val="32"/>
          <w:lang w:val="en-US" w:eastAsia="zh-CN" w:bidi="ar-SA"/>
        </w:rPr>
        <w:t>%，决算数</w:t>
      </w:r>
      <w:r>
        <w:rPr>
          <w:rFonts w:hint="eastAsia" w:cs="黑体" w:asciiTheme="minorEastAsia" w:hAnsiTheme="minorEastAsia"/>
          <w:color w:val="auto"/>
          <w:kern w:val="0"/>
          <w:sz w:val="32"/>
          <w:szCs w:val="32"/>
          <w:lang w:val="en-US" w:eastAsia="zh-CN" w:bidi="ar-SA"/>
        </w:rPr>
        <w:t>小</w:t>
      </w:r>
      <w:r>
        <w:rPr>
          <w:rFonts w:hint="eastAsia" w:cs="黑体" w:asciiTheme="minorEastAsia" w:hAnsiTheme="minorEastAsia" w:eastAsiaTheme="minorEastAsia"/>
          <w:color w:val="auto"/>
          <w:kern w:val="0"/>
          <w:sz w:val="32"/>
          <w:szCs w:val="32"/>
          <w:lang w:val="en-US" w:eastAsia="zh-CN" w:bidi="ar-SA"/>
        </w:rPr>
        <w:t>于年初预算数的主要原因</w:t>
      </w:r>
      <w:r>
        <w:rPr>
          <w:rFonts w:hint="eastAsia" w:cs="黑体" w:asciiTheme="minorEastAsia" w:hAnsiTheme="minorEastAsia"/>
          <w:color w:val="auto"/>
          <w:kern w:val="0"/>
          <w:sz w:val="32"/>
          <w:szCs w:val="32"/>
          <w:lang w:val="en-US" w:eastAsia="zh-CN" w:bidi="ar-SA"/>
        </w:rPr>
        <w:t>涉密，预算执行率在合理范围内。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color w:val="auto"/>
          <w:kern w:val="0"/>
          <w:sz w:val="32"/>
          <w:szCs w:val="32"/>
          <w:lang w:val="en-US" w:eastAsia="zh-CN" w:bidi="ar-SA"/>
        </w:rPr>
        <w:t>7</w:t>
      </w:r>
      <w:r>
        <w:rPr>
          <w:rFonts w:hint="eastAsia" w:cs="黑体" w:asciiTheme="minorEastAsia" w:hAnsiTheme="minorEastAsia" w:eastAsiaTheme="minorEastAsia"/>
          <w:color w:val="auto"/>
          <w:kern w:val="0"/>
          <w:sz w:val="32"/>
          <w:szCs w:val="32"/>
          <w:lang w:val="en-US" w:eastAsia="zh-CN" w:bidi="ar-SA"/>
        </w:rPr>
        <w:t>、社会保障和就业</w:t>
      </w:r>
      <w:r>
        <w:rPr>
          <w:rFonts w:hint="eastAsia" w:cs="黑体" w:asciiTheme="minorEastAsia" w:hAnsiTheme="minorEastAsia"/>
          <w:color w:val="auto"/>
          <w:kern w:val="0"/>
          <w:sz w:val="32"/>
          <w:szCs w:val="32"/>
          <w:lang w:val="en-US" w:eastAsia="zh-CN" w:bidi="ar-SA"/>
        </w:rPr>
        <w:t>支出</w:t>
      </w:r>
      <w:r>
        <w:rPr>
          <w:rFonts w:hint="eastAsia" w:cs="黑体" w:asciiTheme="minorEastAsia" w:hAnsiTheme="minorEastAsia" w:eastAsiaTheme="minorEastAsia"/>
          <w:color w:val="auto"/>
          <w:kern w:val="0"/>
          <w:sz w:val="32"/>
          <w:szCs w:val="32"/>
          <w:lang w:val="en-US" w:eastAsia="zh-CN" w:bidi="ar-SA"/>
        </w:rPr>
        <w:t>（类）退役军人管理事务（款）</w:t>
      </w:r>
      <w:r>
        <w:rPr>
          <w:rFonts w:hint="eastAsia" w:cs="黑体" w:asciiTheme="minorEastAsia" w:hAnsiTheme="minorEastAsia"/>
          <w:color w:val="auto"/>
          <w:kern w:val="0"/>
          <w:sz w:val="32"/>
          <w:szCs w:val="32"/>
          <w:lang w:val="en-US" w:eastAsia="zh-CN" w:bidi="ar-SA"/>
        </w:rPr>
        <w:t>事业运行</w:t>
      </w:r>
      <w:r>
        <w:rPr>
          <w:rFonts w:hint="eastAsia" w:cs="黑体" w:asciiTheme="minorEastAsia" w:hAnsiTheme="minorEastAsia" w:eastAsiaTheme="minorEastAsia"/>
          <w:color w:val="auto"/>
          <w:kern w:val="0"/>
          <w:sz w:val="32"/>
          <w:szCs w:val="32"/>
          <w:lang w:val="en-US" w:eastAsia="zh-CN" w:bidi="ar-SA"/>
        </w:rPr>
        <w:t>（项）。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firstLine="640" w:firstLineChars="200"/>
        <w:jc w:val="both"/>
        <w:rPr>
          <w:rFonts w:hint="default"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年初预算为0万元，支出决算为</w:t>
      </w:r>
      <w:r>
        <w:rPr>
          <w:rFonts w:hint="eastAsia" w:cs="黑体" w:asciiTheme="minorEastAsia" w:hAnsiTheme="minorEastAsia"/>
          <w:color w:val="auto"/>
          <w:kern w:val="0"/>
          <w:sz w:val="32"/>
          <w:szCs w:val="32"/>
          <w:lang w:val="en-US" w:eastAsia="zh-CN" w:bidi="ar-SA"/>
        </w:rPr>
        <w:t>20</w:t>
      </w:r>
      <w:r>
        <w:rPr>
          <w:rFonts w:hint="eastAsia" w:cs="黑体" w:asciiTheme="minorEastAsia" w:hAnsiTheme="minorEastAsia" w:eastAsiaTheme="minorEastAsia"/>
          <w:color w:val="auto"/>
          <w:kern w:val="0"/>
          <w:sz w:val="32"/>
          <w:szCs w:val="32"/>
          <w:lang w:val="en-US" w:eastAsia="zh-CN" w:bidi="ar-SA"/>
        </w:rPr>
        <w:t>万元，决算数大于年初预算数的主要原因是：</w:t>
      </w:r>
      <w:r>
        <w:rPr>
          <w:rFonts w:hint="eastAsia" w:cs="黑体" w:asciiTheme="minorEastAsia" w:hAnsiTheme="minorEastAsia"/>
          <w:color w:val="auto"/>
          <w:kern w:val="0"/>
          <w:sz w:val="32"/>
          <w:szCs w:val="32"/>
          <w:lang w:val="en-US" w:eastAsia="zh-CN" w:bidi="ar-SA"/>
        </w:rPr>
        <w:t>年中追加</w:t>
      </w:r>
      <w:r>
        <w:rPr>
          <w:rFonts w:hint="eastAsia" w:cs="黑体" w:asciiTheme="minorEastAsia" w:hAnsiTheme="minorEastAsia" w:eastAsiaTheme="minorEastAsia"/>
          <w:color w:val="auto"/>
          <w:kern w:val="0"/>
          <w:sz w:val="32"/>
          <w:szCs w:val="32"/>
          <w:lang w:val="en-US" w:eastAsia="zh-CN" w:bidi="ar-SA"/>
        </w:rPr>
        <w:t>在职人员2020年绩效奖</w:t>
      </w:r>
      <w:r>
        <w:rPr>
          <w:rFonts w:hint="eastAsia" w:cs="黑体" w:asciiTheme="minorEastAsia" w:hAnsiTheme="minorEastAsia"/>
          <w:color w:val="auto"/>
          <w:kern w:val="0"/>
          <w:sz w:val="32"/>
          <w:szCs w:val="32"/>
          <w:lang w:val="en-US" w:eastAsia="zh-CN" w:bidi="ar-SA"/>
        </w:rPr>
        <w:t>、综合治理奖金20万元。</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rightChars="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color w:val="auto"/>
          <w:kern w:val="0"/>
          <w:sz w:val="32"/>
          <w:szCs w:val="32"/>
          <w:lang w:val="en-US" w:eastAsia="zh-CN" w:bidi="ar-SA"/>
        </w:rPr>
        <w:t>8、</w:t>
      </w:r>
      <w:r>
        <w:rPr>
          <w:rFonts w:hint="eastAsia" w:cs="黑体" w:asciiTheme="minorEastAsia" w:hAnsiTheme="minorEastAsia" w:eastAsiaTheme="minorEastAsia"/>
          <w:color w:val="auto"/>
          <w:kern w:val="0"/>
          <w:sz w:val="32"/>
          <w:szCs w:val="32"/>
          <w:lang w:val="en-US" w:eastAsia="zh-CN" w:bidi="ar-SA"/>
        </w:rPr>
        <w:t>卫生健康（类）行政事业单位医疗（款）</w:t>
      </w:r>
      <w:r>
        <w:rPr>
          <w:rFonts w:hint="eastAsia" w:cs="黑体" w:asciiTheme="minorEastAsia" w:hAnsiTheme="minorEastAsia"/>
          <w:color w:val="auto"/>
          <w:kern w:val="0"/>
          <w:sz w:val="32"/>
          <w:szCs w:val="32"/>
          <w:lang w:val="en-US" w:eastAsia="zh-CN" w:bidi="ar-SA"/>
        </w:rPr>
        <w:t>行政</w:t>
      </w:r>
      <w:r>
        <w:rPr>
          <w:rFonts w:hint="eastAsia" w:cs="黑体" w:asciiTheme="minorEastAsia" w:hAnsiTheme="minorEastAsia" w:eastAsiaTheme="minorEastAsia"/>
          <w:color w:val="auto"/>
          <w:kern w:val="0"/>
          <w:sz w:val="32"/>
          <w:szCs w:val="32"/>
          <w:lang w:val="en-US" w:eastAsia="zh-CN" w:bidi="ar-SA"/>
        </w:rPr>
        <w:t>单位医疗（项）</w:t>
      </w:r>
      <w:r>
        <w:rPr>
          <w:rFonts w:hint="eastAsia" w:cs="黑体" w:asciiTheme="minorEastAsia" w:hAnsiTheme="minorEastAsia"/>
          <w:color w:val="auto"/>
          <w:kern w:val="0"/>
          <w:sz w:val="32"/>
          <w:szCs w:val="32"/>
          <w:lang w:val="en-US" w:eastAsia="zh-CN" w:bidi="ar-SA"/>
        </w:rPr>
        <w:t>。</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right="0" w:rightChars="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color w:val="auto"/>
          <w:kern w:val="0"/>
          <w:sz w:val="32"/>
          <w:szCs w:val="32"/>
          <w:lang w:val="en-US" w:eastAsia="zh-CN" w:bidi="ar-SA"/>
        </w:rPr>
        <w:t>年初预算为0万元，支出决算为</w:t>
      </w:r>
      <w:r>
        <w:rPr>
          <w:rFonts w:hint="eastAsia" w:cs="黑体" w:asciiTheme="minorEastAsia" w:hAnsiTheme="minorEastAsia"/>
          <w:color w:val="auto"/>
          <w:kern w:val="0"/>
          <w:sz w:val="32"/>
          <w:szCs w:val="32"/>
          <w:lang w:val="en-US" w:eastAsia="zh-CN" w:bidi="ar-SA"/>
        </w:rPr>
        <w:t>4.49</w:t>
      </w:r>
      <w:r>
        <w:rPr>
          <w:rFonts w:hint="eastAsia" w:cs="黑体" w:asciiTheme="minorEastAsia" w:hAnsiTheme="minorEastAsia" w:eastAsiaTheme="minorEastAsia"/>
          <w:color w:val="auto"/>
          <w:kern w:val="0"/>
          <w:sz w:val="32"/>
          <w:szCs w:val="32"/>
          <w:lang w:val="en-US" w:eastAsia="zh-CN" w:bidi="ar-SA"/>
        </w:rPr>
        <w:t>万元，决算数大于年初预算数的主要原因是：本年度发生职工基本医疗保险缴费支出，而年初未纳入预算。</w:t>
      </w:r>
    </w:p>
    <w:p>
      <w:pPr>
        <w:pStyle w:val="13"/>
        <w:ind w:firstLine="640" w:firstLineChars="200"/>
        <w:rPr>
          <w:rFonts w:hAnsi="黑体"/>
          <w:b/>
          <w:color w:val="auto"/>
          <w:sz w:val="32"/>
          <w:szCs w:val="32"/>
        </w:rPr>
      </w:pPr>
      <w:r>
        <w:rPr>
          <w:rFonts w:hint="eastAsia" w:hAnsi="黑体"/>
          <w:b/>
          <w:color w:val="auto"/>
          <w:sz w:val="32"/>
          <w:szCs w:val="32"/>
        </w:rPr>
        <w:t>六、一般公共预算财政拨款基本支出决算情况说明</w:t>
      </w:r>
    </w:p>
    <w:p>
      <w:pPr>
        <w:pStyle w:val="13"/>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2021年度财政拨款基本支出96.92万元，其中：人员经费89.74万元，占基本支出的</w:t>
      </w:r>
      <w:r>
        <w:rPr>
          <w:rFonts w:hint="eastAsia" w:asciiTheme="minorEastAsia" w:hAnsiTheme="minorEastAsia" w:eastAsiaTheme="minorEastAsia"/>
          <w:color w:val="auto"/>
          <w:sz w:val="32"/>
          <w:szCs w:val="32"/>
          <w:lang w:val="en-US" w:eastAsia="zh-CN"/>
        </w:rPr>
        <w:t>92.59</w:t>
      </w:r>
      <w:r>
        <w:rPr>
          <w:rFonts w:hint="eastAsia" w:asciiTheme="minorEastAsia" w:hAnsiTheme="minorEastAsia" w:eastAsiaTheme="minorEastAsia"/>
          <w:color w:val="auto"/>
          <w:sz w:val="32"/>
          <w:szCs w:val="32"/>
        </w:rPr>
        <w:t>%,主要包括基本工资、津贴补贴、奖金、</w:t>
      </w:r>
      <w:r>
        <w:rPr>
          <w:rFonts w:hint="eastAsia" w:asciiTheme="minorEastAsia" w:hAnsiTheme="minorEastAsia" w:eastAsiaTheme="minorEastAsia"/>
          <w:color w:val="auto"/>
          <w:sz w:val="32"/>
          <w:szCs w:val="32"/>
          <w:lang w:eastAsia="zh-CN"/>
        </w:rPr>
        <w:t>机关事业单位基本养老保险缴费、职工基本医疗保险缴费、其他社会保障缴费、住房公积金、其他工资福利支出、生活补助、奖励金、其他对个人和家庭的补助</w:t>
      </w:r>
      <w:r>
        <w:rPr>
          <w:rFonts w:hint="eastAsia" w:asciiTheme="minorEastAsia" w:hAnsiTheme="minorEastAsia" w:eastAsiaTheme="minorEastAsia"/>
          <w:color w:val="auto"/>
          <w:sz w:val="32"/>
          <w:szCs w:val="32"/>
        </w:rPr>
        <w:t>；公用经费7.18万元，占基本支出的</w:t>
      </w:r>
      <w:r>
        <w:rPr>
          <w:rFonts w:hint="eastAsia" w:asciiTheme="minorEastAsia" w:hAnsiTheme="minorEastAsia" w:eastAsiaTheme="minorEastAsia"/>
          <w:color w:val="auto"/>
          <w:sz w:val="32"/>
          <w:szCs w:val="32"/>
          <w:lang w:val="en-US" w:eastAsia="zh-CN"/>
        </w:rPr>
        <w:t>7.41</w:t>
      </w:r>
      <w:r>
        <w:rPr>
          <w:rFonts w:hint="eastAsia" w:asciiTheme="minorEastAsia" w:hAnsiTheme="minorEastAsia" w:eastAsiaTheme="minorEastAsia"/>
          <w:color w:val="auto"/>
          <w:sz w:val="32"/>
          <w:szCs w:val="32"/>
        </w:rPr>
        <w:t>%，主要包括办公费、</w:t>
      </w:r>
      <w:r>
        <w:rPr>
          <w:rFonts w:hint="eastAsia" w:asciiTheme="minorEastAsia" w:hAnsiTheme="minorEastAsia" w:eastAsiaTheme="minorEastAsia"/>
          <w:color w:val="auto"/>
          <w:sz w:val="32"/>
          <w:szCs w:val="32"/>
          <w:lang w:val="en-US" w:eastAsia="zh-CN"/>
        </w:rPr>
        <w:t>差旅费、维修（护）费、培训费、劳务费、福利费、公务用车运行维护费、其他商品和服务支出</w:t>
      </w:r>
      <w:r>
        <w:rPr>
          <w:rFonts w:hint="eastAsia" w:asciiTheme="minorEastAsia" w:hAnsiTheme="minorEastAsia" w:eastAsiaTheme="minorEastAsia"/>
          <w:color w:val="auto"/>
          <w:sz w:val="32"/>
          <w:szCs w:val="32"/>
        </w:rPr>
        <w:t>。</w:t>
      </w:r>
    </w:p>
    <w:p>
      <w:pPr>
        <w:pStyle w:val="13"/>
        <w:ind w:firstLine="640" w:firstLineChars="200"/>
        <w:rPr>
          <w:rFonts w:hAnsi="黑体"/>
          <w:b/>
          <w:color w:val="auto"/>
          <w:sz w:val="32"/>
          <w:szCs w:val="32"/>
        </w:rPr>
      </w:pPr>
      <w:r>
        <w:rPr>
          <w:rFonts w:hint="eastAsia" w:hAnsi="黑体"/>
          <w:b/>
          <w:color w:val="auto"/>
          <w:sz w:val="32"/>
          <w:szCs w:val="32"/>
        </w:rPr>
        <w:t>七、一般公共预算财政拨款“三公”经费支出决算情况说明</w:t>
      </w:r>
    </w:p>
    <w:p>
      <w:pPr>
        <w:pStyle w:val="13"/>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2021年度“三公”经费财政拨款支出预算为</w:t>
      </w:r>
      <w:r>
        <w:rPr>
          <w:rFonts w:hint="eastAsia" w:asciiTheme="minorEastAsia" w:hAnsiTheme="minorEastAsia" w:eastAsiaTheme="minorEastAsia"/>
          <w:color w:val="auto"/>
          <w:sz w:val="32"/>
          <w:szCs w:val="32"/>
          <w:lang w:val="en-US" w:eastAsia="zh-CN"/>
        </w:rPr>
        <w:t>13.73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6.77</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49.31</w:t>
      </w:r>
      <w:r>
        <w:rPr>
          <w:rFonts w:hint="eastAsia" w:asciiTheme="minorEastAsia" w:hAnsiTheme="minorEastAsia" w:eastAsiaTheme="minorEastAsia"/>
          <w:color w:val="auto"/>
          <w:sz w:val="32"/>
          <w:szCs w:val="32"/>
        </w:rPr>
        <w:t>%，其中：</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因公出国（境）费支出预算为0万元，支出决算为0万元，决算数与年初预算数持平，主要原因按预算执行，与上年数持平，主要原因是未安排因公出国（境）。</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w:t>
      </w:r>
      <w:r>
        <w:rPr>
          <w:rFonts w:hint="eastAsia" w:asciiTheme="minorEastAsia" w:hAnsiTheme="minorEastAsia" w:eastAsiaTheme="minorEastAsia"/>
          <w:color w:val="auto"/>
          <w:sz w:val="32"/>
          <w:szCs w:val="32"/>
          <w:lang w:val="en-US" w:eastAsia="zh-CN"/>
        </w:rPr>
        <w:t>4.28</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%，决算数小于预算数的主要原因是本单位厉行节俭，与上年相比减少</w:t>
      </w:r>
      <w:r>
        <w:rPr>
          <w:rFonts w:hint="eastAsia" w:asciiTheme="minorEastAsia" w:hAnsiTheme="minorEastAsia" w:eastAsiaTheme="minorEastAsia"/>
          <w:color w:val="auto"/>
          <w:sz w:val="32"/>
          <w:szCs w:val="32"/>
          <w:lang w:val="en-US" w:eastAsia="zh-CN"/>
        </w:rPr>
        <w:t>0.24</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%,减少的主要原因是</w:t>
      </w:r>
      <w:r>
        <w:rPr>
          <w:rFonts w:hint="eastAsia" w:asciiTheme="minorEastAsia" w:hAnsiTheme="minorEastAsia" w:eastAsiaTheme="minorEastAsia"/>
          <w:color w:val="auto"/>
          <w:sz w:val="32"/>
          <w:szCs w:val="32"/>
          <w:lang w:val="en-US" w:eastAsia="zh-CN"/>
        </w:rPr>
        <w:t>未发生退役安置工作接待费</w:t>
      </w:r>
      <w:r>
        <w:rPr>
          <w:rFonts w:hint="eastAsia" w:asciiTheme="minorEastAsia" w:hAnsiTheme="minorEastAsia" w:eastAsiaTheme="minorEastAsia"/>
          <w:color w:val="auto"/>
          <w:sz w:val="32"/>
          <w:szCs w:val="32"/>
        </w:rPr>
        <w:t>。</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公务用车购置费支出预算为0万元，支出决算为0万元，决算数与年初预算数持平主要原因按预算执行，与上年数持平，主要原因是厉行节约，减少开支。</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公务用车运行维护费支出预算为</w:t>
      </w:r>
      <w:r>
        <w:rPr>
          <w:rFonts w:hint="eastAsia" w:asciiTheme="minorEastAsia" w:hAnsiTheme="minorEastAsia" w:eastAsiaTheme="minorEastAsia"/>
          <w:color w:val="auto"/>
          <w:sz w:val="32"/>
          <w:szCs w:val="32"/>
          <w:lang w:val="en-US" w:eastAsia="zh-CN"/>
        </w:rPr>
        <w:t>9.45</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6.77</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71.64</w:t>
      </w:r>
      <w:r>
        <w:rPr>
          <w:rFonts w:hint="eastAsia" w:asciiTheme="minorEastAsia" w:hAnsiTheme="minorEastAsia" w:eastAsiaTheme="minorEastAsia"/>
          <w:color w:val="auto"/>
          <w:sz w:val="32"/>
          <w:szCs w:val="32"/>
        </w:rPr>
        <w:t>%，决算数小于预算数的主要原因是本单位厉行节俭，与上年相比减少</w:t>
      </w:r>
      <w:r>
        <w:rPr>
          <w:rFonts w:hint="eastAsia" w:asciiTheme="minorEastAsia" w:hAnsiTheme="minorEastAsia" w:eastAsiaTheme="minorEastAsia"/>
          <w:color w:val="auto"/>
          <w:sz w:val="32"/>
          <w:szCs w:val="32"/>
          <w:lang w:val="en-US" w:eastAsia="zh-CN"/>
        </w:rPr>
        <w:t>1.34</w:t>
      </w:r>
      <w:r>
        <w:rPr>
          <w:rFonts w:hint="eastAsia" w:asciiTheme="minorEastAsia" w:hAnsiTheme="minorEastAsia" w:eastAsiaTheme="minorEastAsia"/>
          <w:color w:val="auto"/>
          <w:sz w:val="32"/>
          <w:szCs w:val="32"/>
        </w:rPr>
        <w:t>万元，减少</w:t>
      </w:r>
      <w:r>
        <w:rPr>
          <w:rFonts w:hint="eastAsia" w:asciiTheme="minorEastAsia" w:hAnsiTheme="minorEastAsia" w:eastAsiaTheme="minorEastAsia"/>
          <w:color w:val="auto"/>
          <w:sz w:val="32"/>
          <w:szCs w:val="32"/>
          <w:lang w:val="en-US" w:eastAsia="zh-CN"/>
        </w:rPr>
        <w:t>16.52</w:t>
      </w:r>
      <w:r>
        <w:rPr>
          <w:rFonts w:hint="eastAsia" w:asciiTheme="minorEastAsia" w:hAnsiTheme="minorEastAsia" w:eastAsiaTheme="minorEastAsia"/>
          <w:color w:val="auto"/>
          <w:sz w:val="32"/>
          <w:szCs w:val="32"/>
        </w:rPr>
        <w:t>%,减少的主要原因是车辆维修费开支</w:t>
      </w:r>
      <w:r>
        <w:rPr>
          <w:rFonts w:hint="eastAsia" w:asciiTheme="minorEastAsia" w:hAnsiTheme="minorEastAsia" w:eastAsiaTheme="minorEastAsia"/>
          <w:color w:val="auto"/>
          <w:sz w:val="32"/>
          <w:szCs w:val="32"/>
          <w:lang w:val="en-US" w:eastAsia="zh-CN"/>
        </w:rPr>
        <w:t>减少</w:t>
      </w:r>
      <w:r>
        <w:rPr>
          <w:rFonts w:hint="eastAsia" w:asciiTheme="minorEastAsia" w:hAnsiTheme="minorEastAsia" w:eastAsiaTheme="minorEastAsia"/>
          <w:color w:val="auto"/>
          <w:sz w:val="32"/>
          <w:szCs w:val="32"/>
        </w:rPr>
        <w:t>。</w:t>
      </w:r>
    </w:p>
    <w:p>
      <w:pPr>
        <w:pStyle w:val="13"/>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%,因公出国（境）费支出决算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%,公务用车购置费及运行维护费支出决算</w:t>
      </w:r>
      <w:r>
        <w:rPr>
          <w:rFonts w:hint="eastAsia" w:asciiTheme="minorEastAsia" w:hAnsiTheme="minorEastAsia" w:eastAsiaTheme="minorEastAsia"/>
          <w:color w:val="auto"/>
          <w:sz w:val="32"/>
          <w:szCs w:val="32"/>
          <w:lang w:val="en-US" w:eastAsia="zh-CN"/>
        </w:rPr>
        <w:t>6.77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%。其中：</w:t>
      </w:r>
    </w:p>
    <w:p>
      <w:pPr>
        <w:pStyle w:val="13"/>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1、因公出国（境）费支出决算为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r>
        <w:rPr>
          <w:rFonts w:hint="eastAsia" w:asciiTheme="minorEastAsia" w:hAnsiTheme="minorEastAsia" w:eastAsiaTheme="minorEastAsia"/>
          <w:color w:val="auto"/>
          <w:sz w:val="32"/>
          <w:szCs w:val="32"/>
          <w:lang w:eastAsia="zh-CN"/>
        </w:rPr>
        <w:t>。</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p>
    <w:p>
      <w:pPr>
        <w:ind w:firstLine="640" w:firstLineChars="200"/>
        <w:rPr>
          <w:rFonts w:cs="黑体" w:asciiTheme="minorEastAsia" w:hAnsiTheme="minorEastAsia"/>
          <w:color w:val="auto"/>
          <w:kern w:val="0"/>
          <w:sz w:val="32"/>
          <w:szCs w:val="32"/>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6.77</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w:t>
      </w:r>
      <w:r>
        <w:rPr>
          <w:rFonts w:hint="eastAsia" w:asciiTheme="minorEastAsia" w:hAnsiTheme="minorEastAsia"/>
          <w:bCs/>
          <w:color w:val="auto"/>
          <w:kern w:val="0"/>
          <w:sz w:val="32"/>
          <w:szCs w:val="32"/>
        </w:rPr>
        <w:t>怀化市军队离休退休干部服务管理中心</w:t>
      </w:r>
      <w:r>
        <w:rPr>
          <w:rFonts w:hint="eastAsia" w:asciiTheme="minorEastAsia" w:hAnsiTheme="minorEastAsia"/>
          <w:color w:val="auto"/>
          <w:sz w:val="32"/>
          <w:szCs w:val="32"/>
        </w:rPr>
        <w:t>更新公务用车</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辆。公务用车运行维护费</w:t>
      </w:r>
      <w:r>
        <w:rPr>
          <w:rFonts w:hint="eastAsia" w:asciiTheme="minorEastAsia" w:hAnsiTheme="minorEastAsia"/>
          <w:color w:val="auto"/>
          <w:sz w:val="32"/>
          <w:szCs w:val="32"/>
          <w:lang w:val="en-US" w:eastAsia="zh-CN"/>
        </w:rPr>
        <w:t>6.77</w:t>
      </w:r>
      <w:r>
        <w:rPr>
          <w:rFonts w:hint="eastAsia" w:asciiTheme="minorEastAsia" w:hAnsiTheme="minorEastAsia"/>
          <w:color w:val="auto"/>
          <w:sz w:val="32"/>
          <w:szCs w:val="32"/>
        </w:rPr>
        <w:t>万元，主要是车辆油料费、维修费、保险费和过路费支出，截止2021年12月31日，我单位开支财政拨款的公务用车保有量为</w:t>
      </w:r>
      <w:r>
        <w:rPr>
          <w:rFonts w:hint="eastAsia" w:asciiTheme="minorEastAsia" w:hAnsiTheme="minorEastAsia"/>
          <w:color w:val="auto"/>
          <w:sz w:val="32"/>
          <w:szCs w:val="32"/>
          <w:lang w:val="en-US" w:eastAsia="zh-CN"/>
        </w:rPr>
        <w:t>3</w:t>
      </w:r>
      <w:r>
        <w:rPr>
          <w:rFonts w:hint="eastAsia" w:asciiTheme="minorEastAsia" w:hAnsiTheme="minorEastAsia"/>
          <w:color w:val="auto"/>
          <w:sz w:val="32"/>
          <w:szCs w:val="32"/>
        </w:rPr>
        <w:t>辆。</w:t>
      </w:r>
    </w:p>
    <w:p>
      <w:pPr>
        <w:pStyle w:val="13"/>
        <w:ind w:firstLine="640" w:firstLineChars="200"/>
        <w:rPr>
          <w:rFonts w:hAnsi="黑体"/>
          <w:b/>
          <w:color w:val="auto"/>
          <w:sz w:val="32"/>
          <w:szCs w:val="32"/>
        </w:rPr>
      </w:pPr>
      <w:r>
        <w:rPr>
          <w:rFonts w:hint="eastAsia" w:hAnsi="黑体"/>
          <w:b/>
          <w:color w:val="auto"/>
          <w:sz w:val="32"/>
          <w:szCs w:val="32"/>
        </w:rPr>
        <w:t>八、政府性基金预算收入支出决算情况</w:t>
      </w:r>
    </w:p>
    <w:p>
      <w:pPr>
        <w:pStyle w:val="13"/>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2021年度政府性基金预算财政拨款收入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万元；年初结转和结余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万元，项目支出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万元；年末结转和结余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万元。本单位无政府性基金收支</w:t>
      </w:r>
      <w:r>
        <w:rPr>
          <w:rFonts w:hint="eastAsia" w:asciiTheme="minorEastAsia" w:hAnsiTheme="minorEastAsia" w:eastAsiaTheme="minorEastAsia"/>
          <w:color w:val="auto"/>
          <w:sz w:val="32"/>
          <w:szCs w:val="32"/>
          <w:lang w:eastAsia="zh-CN"/>
        </w:rPr>
        <w:t>。</w:t>
      </w:r>
    </w:p>
    <w:p>
      <w:pPr>
        <w:pStyle w:val="13"/>
        <w:ind w:firstLine="640" w:firstLineChars="200"/>
        <w:rPr>
          <w:rFonts w:hAnsi="黑体"/>
          <w:b/>
          <w:color w:val="auto"/>
          <w:sz w:val="32"/>
          <w:szCs w:val="32"/>
        </w:rPr>
      </w:pPr>
      <w:r>
        <w:rPr>
          <w:rFonts w:hint="eastAsia" w:hAnsi="黑体"/>
          <w:b/>
          <w:color w:val="auto"/>
          <w:sz w:val="32"/>
          <w:szCs w:val="32"/>
          <w:lang w:val="en-US" w:eastAsia="zh-CN"/>
        </w:rPr>
        <w:t>九</w:t>
      </w:r>
      <w:r>
        <w:rPr>
          <w:rFonts w:hint="eastAsia" w:hAnsi="黑体"/>
          <w:b/>
          <w:color w:val="auto"/>
          <w:sz w:val="32"/>
          <w:szCs w:val="32"/>
        </w:rPr>
        <w:t>、国有资本经营预算支出决算情况</w:t>
      </w:r>
    </w:p>
    <w:p>
      <w:pPr>
        <w:pStyle w:val="13"/>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年度国有资本经营预算财政拨款支出0万元，其中基本支出0万元，项目支出0万元。</w:t>
      </w:r>
    </w:p>
    <w:p>
      <w:pPr>
        <w:pStyle w:val="13"/>
        <w:ind w:firstLine="640" w:firstLineChars="200"/>
        <w:rPr>
          <w:rFonts w:hAnsi="黑体"/>
          <w:b/>
          <w:color w:val="auto"/>
          <w:sz w:val="32"/>
          <w:szCs w:val="32"/>
        </w:rPr>
      </w:pPr>
      <w:r>
        <w:rPr>
          <w:rFonts w:hint="eastAsia" w:hAnsi="黑体"/>
          <w:b/>
          <w:color w:val="auto"/>
          <w:sz w:val="32"/>
          <w:szCs w:val="32"/>
          <w:lang w:val="en-US" w:eastAsia="zh-CN"/>
        </w:rPr>
        <w:t>十</w:t>
      </w:r>
      <w:r>
        <w:rPr>
          <w:rFonts w:hint="eastAsia" w:hAnsi="黑体"/>
          <w:b/>
          <w:color w:val="auto"/>
          <w:sz w:val="32"/>
          <w:szCs w:val="32"/>
        </w:rPr>
        <w:t>、机关运行经费支出说明</w:t>
      </w:r>
    </w:p>
    <w:p>
      <w:pPr>
        <w:pStyle w:val="13"/>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本部门为事业单位，无机关运行经费支出。</w:t>
      </w:r>
    </w:p>
    <w:p>
      <w:pPr>
        <w:pStyle w:val="13"/>
        <w:ind w:firstLine="640" w:firstLineChars="200"/>
        <w:rPr>
          <w:rFonts w:hAnsi="黑体"/>
          <w:b/>
          <w:color w:val="auto"/>
          <w:sz w:val="32"/>
          <w:szCs w:val="32"/>
        </w:rPr>
      </w:pPr>
      <w:r>
        <w:rPr>
          <w:rFonts w:hint="eastAsia" w:hAnsi="黑体"/>
          <w:b/>
          <w:color w:val="auto"/>
          <w:sz w:val="32"/>
          <w:szCs w:val="32"/>
        </w:rPr>
        <w:t>十</w:t>
      </w:r>
      <w:r>
        <w:rPr>
          <w:rFonts w:hint="eastAsia" w:hAnsi="黑体"/>
          <w:b/>
          <w:color w:val="auto"/>
          <w:sz w:val="32"/>
          <w:szCs w:val="32"/>
          <w:lang w:val="en-US" w:eastAsia="zh-CN"/>
        </w:rPr>
        <w:t>一</w:t>
      </w:r>
      <w:r>
        <w:rPr>
          <w:rFonts w:hint="eastAsia" w:hAnsi="黑体"/>
          <w:b/>
          <w:color w:val="auto"/>
          <w:sz w:val="32"/>
          <w:szCs w:val="32"/>
        </w:rPr>
        <w:t>、一般性支出情况说明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2021年本部门开支会议费</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万元；开支培训费</w:t>
      </w:r>
      <w:r>
        <w:rPr>
          <w:rFonts w:hint="eastAsia" w:asciiTheme="minorEastAsia" w:hAnsiTheme="minorEastAsia" w:eastAsiaTheme="minorEastAsia"/>
          <w:color w:val="auto"/>
          <w:sz w:val="32"/>
          <w:szCs w:val="32"/>
          <w:lang w:val="en-US" w:eastAsia="zh-CN"/>
        </w:rPr>
        <w:t>0.3</w:t>
      </w:r>
      <w:r>
        <w:rPr>
          <w:rFonts w:hint="eastAsia" w:asciiTheme="minorEastAsia" w:hAnsiTheme="minorEastAsia" w:eastAsiaTheme="minorEastAsia"/>
          <w:color w:val="auto"/>
          <w:sz w:val="32"/>
          <w:szCs w:val="32"/>
        </w:rPr>
        <w:t>万元，用于开展</w:t>
      </w:r>
      <w:r>
        <w:rPr>
          <w:rFonts w:hint="eastAsia" w:asciiTheme="minorEastAsia" w:hAnsiTheme="minorEastAsia" w:eastAsiaTheme="minorEastAsia"/>
          <w:color w:val="auto"/>
          <w:sz w:val="32"/>
          <w:szCs w:val="32"/>
          <w:lang w:val="en-US" w:eastAsia="zh-CN"/>
        </w:rPr>
        <w:t>事业单位工作人员</w:t>
      </w:r>
      <w:r>
        <w:rPr>
          <w:rFonts w:hint="eastAsia" w:asciiTheme="minorEastAsia" w:hAnsiTheme="minorEastAsia" w:eastAsiaTheme="minorEastAsia"/>
          <w:color w:val="auto"/>
          <w:sz w:val="32"/>
          <w:szCs w:val="32"/>
        </w:rPr>
        <w:t>培训，人数</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人，内容为</w:t>
      </w:r>
      <w:r>
        <w:rPr>
          <w:rFonts w:hint="eastAsia" w:asciiTheme="minorEastAsia" w:hAnsiTheme="minorEastAsia" w:eastAsiaTheme="minorEastAsia"/>
          <w:color w:val="auto"/>
          <w:sz w:val="32"/>
          <w:szCs w:val="32"/>
          <w:lang w:val="en-US" w:eastAsia="zh-CN"/>
        </w:rPr>
        <w:t>公共科目、专业科目线上培训</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未</w:t>
      </w:r>
      <w:r>
        <w:rPr>
          <w:rFonts w:hint="eastAsia" w:asciiTheme="minorEastAsia" w:hAnsiTheme="minorEastAsia" w:eastAsiaTheme="minorEastAsia"/>
          <w:color w:val="auto"/>
          <w:sz w:val="32"/>
          <w:szCs w:val="32"/>
        </w:rPr>
        <w:t>举办节庆、晚会、论坛、赛事活动，开支</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p>
    <w:p>
      <w:pPr>
        <w:pStyle w:val="13"/>
        <w:ind w:firstLine="640" w:firstLineChars="200"/>
        <w:rPr>
          <w:rFonts w:hAnsi="黑体"/>
          <w:b/>
          <w:color w:val="auto"/>
          <w:sz w:val="32"/>
          <w:szCs w:val="32"/>
        </w:rPr>
      </w:pPr>
      <w:r>
        <w:rPr>
          <w:rFonts w:hint="eastAsia" w:hAnsi="黑体"/>
          <w:b/>
          <w:color w:val="auto"/>
          <w:sz w:val="32"/>
          <w:szCs w:val="32"/>
        </w:rPr>
        <w:t>十</w:t>
      </w:r>
      <w:r>
        <w:rPr>
          <w:rFonts w:hint="eastAsia" w:hAnsi="黑体"/>
          <w:b/>
          <w:color w:val="auto"/>
          <w:sz w:val="32"/>
          <w:szCs w:val="32"/>
          <w:lang w:val="en-US" w:eastAsia="zh-CN"/>
        </w:rPr>
        <w:t>二</w:t>
      </w:r>
      <w:r>
        <w:rPr>
          <w:rFonts w:hint="eastAsia" w:hAnsi="黑体"/>
          <w:b/>
          <w:color w:val="auto"/>
          <w:sz w:val="32"/>
          <w:szCs w:val="32"/>
        </w:rPr>
        <w:t>、政府采购支出说明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本部门2021年度政府采购支出总额</w:t>
      </w:r>
      <w:r>
        <w:rPr>
          <w:rFonts w:hint="eastAsia" w:asciiTheme="minorEastAsia" w:hAnsiTheme="minorEastAsia" w:eastAsiaTheme="minorEastAsia"/>
          <w:color w:val="auto"/>
          <w:sz w:val="32"/>
          <w:szCs w:val="32"/>
          <w:lang w:val="en-US" w:eastAsia="zh-CN"/>
        </w:rPr>
        <w:t>377.75</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val="en-US" w:eastAsia="zh-CN"/>
        </w:rPr>
        <w:t>37.48</w:t>
      </w:r>
      <w:r>
        <w:rPr>
          <w:rFonts w:hint="eastAsia" w:asciiTheme="minorEastAsia" w:hAnsiTheme="minorEastAsia" w:eastAsiaTheme="minorEastAsia"/>
          <w:color w:val="auto"/>
          <w:sz w:val="32"/>
          <w:szCs w:val="32"/>
        </w:rPr>
        <w:t>万元、政府采购工程支出</w:t>
      </w:r>
      <w:r>
        <w:rPr>
          <w:rFonts w:hint="eastAsia" w:asciiTheme="minorEastAsia" w:hAnsiTheme="minorEastAsia" w:eastAsiaTheme="minorEastAsia"/>
          <w:color w:val="auto"/>
          <w:sz w:val="32"/>
          <w:szCs w:val="32"/>
          <w:lang w:val="en-US" w:eastAsia="zh-CN"/>
        </w:rPr>
        <w:t>340.27</w:t>
      </w:r>
      <w:r>
        <w:rPr>
          <w:rFonts w:hint="eastAsia" w:asciiTheme="minorEastAsia" w:hAnsiTheme="minorEastAsia" w:eastAsiaTheme="minorEastAsia"/>
          <w:color w:val="auto"/>
          <w:sz w:val="32"/>
          <w:szCs w:val="32"/>
        </w:rPr>
        <w:t>万元、政府采购服务支出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377.75</w:t>
      </w:r>
      <w:r>
        <w:rPr>
          <w:rFonts w:hint="eastAsia" w:asciiTheme="minorEastAsia" w:hAnsiTheme="minorEastAsia" w:eastAsiaTheme="minorEastAsia"/>
          <w:color w:val="auto"/>
          <w:sz w:val="32"/>
          <w:szCs w:val="32"/>
        </w:rPr>
        <w:t>万元，占政府采购支出总额的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%，其中：授予小微企业合同金额</w:t>
      </w:r>
      <w:r>
        <w:rPr>
          <w:rFonts w:hint="eastAsia" w:asciiTheme="minorEastAsia" w:hAnsiTheme="minorEastAsia" w:eastAsiaTheme="minorEastAsia"/>
          <w:color w:val="auto"/>
          <w:sz w:val="32"/>
          <w:szCs w:val="32"/>
          <w:lang w:val="en-US" w:eastAsia="zh-CN"/>
        </w:rPr>
        <w:t>377.75</w:t>
      </w:r>
      <w:r>
        <w:rPr>
          <w:rFonts w:hint="eastAsia" w:asciiTheme="minorEastAsia" w:hAnsiTheme="minorEastAsia" w:eastAsiaTheme="minorEastAsia"/>
          <w:color w:val="auto"/>
          <w:sz w:val="32"/>
          <w:szCs w:val="32"/>
        </w:rPr>
        <w:t>万元，占授予中小企业合同金额的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%；货物采购授予中小企业合同金额占货物支出金额的</w:t>
      </w:r>
      <w:r>
        <w:rPr>
          <w:rFonts w:hint="eastAsia" w:asciiTheme="minorEastAsia" w:hAnsiTheme="minorEastAsia" w:eastAsiaTheme="minorEastAsia"/>
          <w:color w:val="auto"/>
          <w:sz w:val="32"/>
          <w:szCs w:val="32"/>
          <w:lang w:val="en-US" w:eastAsia="zh-CN"/>
        </w:rPr>
        <w:t>9.92</w:t>
      </w:r>
      <w:r>
        <w:rPr>
          <w:rFonts w:hint="eastAsia" w:asciiTheme="minorEastAsia" w:hAnsiTheme="minorEastAsia" w:eastAsiaTheme="minorEastAsia"/>
          <w:color w:val="auto"/>
          <w:sz w:val="32"/>
          <w:szCs w:val="32"/>
        </w:rPr>
        <w:t>%，工程采购授予中小企业合同金额占工程支出金额的</w:t>
      </w:r>
      <w:r>
        <w:rPr>
          <w:rFonts w:hint="eastAsia" w:asciiTheme="minorEastAsia" w:hAnsiTheme="minorEastAsia" w:eastAsiaTheme="minorEastAsia"/>
          <w:color w:val="auto"/>
          <w:sz w:val="32"/>
          <w:szCs w:val="32"/>
          <w:lang w:val="en-US" w:eastAsia="zh-CN"/>
        </w:rPr>
        <w:t>90.08</w:t>
      </w:r>
      <w:r>
        <w:rPr>
          <w:rFonts w:hint="eastAsia" w:asciiTheme="minorEastAsia" w:hAnsiTheme="minorEastAsia" w:eastAsiaTheme="minorEastAsia"/>
          <w:color w:val="auto"/>
          <w:sz w:val="32"/>
          <w:szCs w:val="32"/>
        </w:rPr>
        <w:t>%，服务采购授予中小企业合同金额占服务支出金额的</w:t>
      </w:r>
      <w:r>
        <w:rPr>
          <w:rFonts w:hint="eastAsia" w:asciiTheme="minorEastAsia" w:hAnsiTheme="minorEastAsia" w:eastAsiaTheme="minorEastAsia"/>
          <w:color w:val="auto"/>
          <w:sz w:val="32"/>
          <w:szCs w:val="32"/>
          <w:lang w:val="en-US" w:eastAsia="zh-CN"/>
        </w:rPr>
        <w:t>百分比无法计算</w:t>
      </w:r>
      <w:r>
        <w:rPr>
          <w:rFonts w:hint="eastAsia" w:asciiTheme="minorEastAsia" w:hAnsiTheme="minorEastAsia" w:eastAsiaTheme="minorEastAsia"/>
          <w:color w:val="auto"/>
          <w:sz w:val="32"/>
          <w:szCs w:val="32"/>
        </w:rPr>
        <w:t>。</w:t>
      </w:r>
    </w:p>
    <w:p>
      <w:pPr>
        <w:pStyle w:val="13"/>
        <w:ind w:firstLine="640" w:firstLineChars="200"/>
        <w:rPr>
          <w:rFonts w:hAnsi="黑体"/>
          <w:b/>
          <w:color w:val="auto"/>
          <w:sz w:val="32"/>
          <w:szCs w:val="32"/>
        </w:rPr>
      </w:pPr>
      <w:r>
        <w:rPr>
          <w:rFonts w:hint="eastAsia" w:hAnsi="黑体"/>
          <w:b/>
          <w:color w:val="auto"/>
          <w:sz w:val="32"/>
          <w:szCs w:val="32"/>
        </w:rPr>
        <w:t>十</w:t>
      </w:r>
      <w:r>
        <w:rPr>
          <w:rFonts w:hint="eastAsia" w:hAnsi="黑体"/>
          <w:b/>
          <w:color w:val="auto"/>
          <w:sz w:val="32"/>
          <w:szCs w:val="32"/>
          <w:lang w:val="en-US" w:eastAsia="zh-CN"/>
        </w:rPr>
        <w:t>三</w:t>
      </w:r>
      <w:r>
        <w:rPr>
          <w:rFonts w:hint="eastAsia" w:hAnsi="黑体"/>
          <w:b/>
          <w:color w:val="auto"/>
          <w:sz w:val="32"/>
          <w:szCs w:val="32"/>
        </w:rPr>
        <w:t>、国有资产占用情况说明</w:t>
      </w:r>
    </w:p>
    <w:p>
      <w:pPr>
        <w:pStyle w:val="13"/>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截至2021年12月31日，怀化市军队离休退休干部服务管理中心共有车辆</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辆，其他用车主要是老干服务用车；单位价值50万元以上通用设备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3"/>
        <w:ind w:firstLine="640" w:firstLineChars="200"/>
        <w:rPr>
          <w:rFonts w:hAnsi="黑体"/>
          <w:b/>
          <w:color w:val="auto"/>
          <w:sz w:val="32"/>
          <w:szCs w:val="32"/>
        </w:rPr>
      </w:pPr>
      <w:r>
        <w:rPr>
          <w:rFonts w:hint="eastAsia" w:hAnsi="黑体"/>
          <w:b/>
          <w:color w:val="auto"/>
          <w:sz w:val="32"/>
          <w:szCs w:val="32"/>
        </w:rPr>
        <w:t>十</w:t>
      </w:r>
      <w:r>
        <w:rPr>
          <w:rFonts w:hint="eastAsia" w:hAnsi="黑体"/>
          <w:b/>
          <w:color w:val="auto"/>
          <w:sz w:val="32"/>
          <w:szCs w:val="32"/>
          <w:lang w:val="en-US" w:eastAsia="zh-CN"/>
        </w:rPr>
        <w:t>四</w:t>
      </w:r>
      <w:r>
        <w:rPr>
          <w:rFonts w:hint="eastAsia" w:hAnsi="黑体"/>
          <w:b/>
          <w:color w:val="auto"/>
          <w:sz w:val="32"/>
          <w:szCs w:val="32"/>
        </w:rPr>
        <w:t>、2021年度预算绩效情况说明</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（1）绩效管理评价工作开展情况</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根据预算绩效管理要求，我部门组织对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年度一般公共预算项目支出全面开展绩效自评，其中，一级项目</w:t>
      </w: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rPr>
        <w:t>个，二级项目</w:t>
      </w:r>
      <w:r>
        <w:rPr>
          <w:rFonts w:hint="eastAsia" w:cs="黑体" w:asciiTheme="minorEastAsia" w:hAnsiTheme="minorEastAsia"/>
          <w:color w:val="auto"/>
          <w:kern w:val="0"/>
          <w:sz w:val="32"/>
          <w:szCs w:val="32"/>
          <w:lang w:val="en-US" w:eastAsia="zh-CN"/>
        </w:rPr>
        <w:t>7</w:t>
      </w:r>
      <w:r>
        <w:rPr>
          <w:rFonts w:hint="eastAsia" w:cs="黑体" w:asciiTheme="minorEastAsia" w:hAnsiTheme="minorEastAsia"/>
          <w:color w:val="auto"/>
          <w:kern w:val="0"/>
          <w:sz w:val="32"/>
          <w:szCs w:val="32"/>
        </w:rPr>
        <w:t>个，共涉及资金</w:t>
      </w:r>
      <w:r>
        <w:rPr>
          <w:rFonts w:hint="eastAsia" w:cs="黑体" w:asciiTheme="minorEastAsia" w:hAnsiTheme="minorEastAsia"/>
          <w:color w:val="auto"/>
          <w:kern w:val="0"/>
          <w:sz w:val="32"/>
          <w:szCs w:val="32"/>
          <w:lang w:val="en-US" w:eastAsia="zh-CN"/>
        </w:rPr>
        <w:t>1324.52</w:t>
      </w:r>
      <w:r>
        <w:rPr>
          <w:rFonts w:hint="eastAsia" w:cs="黑体" w:asciiTheme="minorEastAsia" w:hAnsiTheme="minorEastAsia"/>
          <w:color w:val="auto"/>
          <w:kern w:val="0"/>
          <w:sz w:val="32"/>
          <w:szCs w:val="32"/>
        </w:rPr>
        <w:t>万元，占一般公共预算项目支出总额的</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年度政府性基金预算项目支出开展绩效自评，共涉及资金</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万元，占政府性基金预算项目支出总额的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。组织对</w:t>
      </w:r>
      <w:r>
        <w:rPr>
          <w:rFonts w:cs="黑体" w:asciiTheme="minorEastAsia" w:hAnsiTheme="minorEastAsia"/>
          <w:color w:val="auto"/>
          <w:kern w:val="0"/>
          <w:sz w:val="32"/>
          <w:szCs w:val="32"/>
        </w:rPr>
        <w:t>2021</w:t>
      </w:r>
      <w:r>
        <w:rPr>
          <w:rFonts w:hint="eastAsia" w:cs="黑体" w:asciiTheme="minorEastAsia" w:hAnsiTheme="minorEastAsia"/>
          <w:color w:val="auto"/>
          <w:kern w:val="0"/>
          <w:sz w:val="32"/>
          <w:szCs w:val="32"/>
        </w:rPr>
        <w:t>年度国有资本经营预算项目支出开展绩效自评，共涉及资金</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万元，占国有资本经营预算项目支出总额的</w:t>
      </w:r>
      <w:r>
        <w:rPr>
          <w:rFonts w:hint="eastAsia" w:cs="黑体" w:asciiTheme="minorEastAsia" w:hAnsiTheme="minorEastAsia"/>
          <w:color w:val="auto"/>
          <w:kern w:val="0"/>
          <w:sz w:val="32"/>
          <w:szCs w:val="32"/>
          <w:lang w:val="en-US" w:eastAsia="zh-CN"/>
        </w:rPr>
        <w:t>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组织对</w:t>
      </w:r>
      <w:r>
        <w:rPr>
          <w:rFonts w:hint="eastAsia" w:asciiTheme="minorEastAsia" w:hAnsiTheme="minorEastAsia" w:eastAsiaTheme="minorEastAsia"/>
          <w:color w:val="auto"/>
          <w:sz w:val="32"/>
          <w:szCs w:val="32"/>
        </w:rPr>
        <w:t>怀化市军队离休退休干部服务管理中心</w:t>
      </w:r>
      <w:r>
        <w:rPr>
          <w:rFonts w:hint="eastAsia" w:cs="黑体" w:asciiTheme="minorEastAsia" w:hAnsiTheme="minorEastAsia"/>
          <w:color w:val="auto"/>
          <w:kern w:val="0"/>
          <w:sz w:val="32"/>
          <w:szCs w:val="32"/>
        </w:rPr>
        <w:t>开展整体支出绩效评价，涉及一般公共预算支出</w:t>
      </w:r>
      <w:r>
        <w:rPr>
          <w:rFonts w:hint="eastAsia" w:cs="黑体" w:asciiTheme="minorEastAsia" w:hAnsiTheme="minorEastAsia"/>
          <w:color w:val="auto"/>
          <w:kern w:val="0"/>
          <w:sz w:val="32"/>
          <w:szCs w:val="32"/>
          <w:lang w:val="en-US" w:eastAsia="zh-CN"/>
        </w:rPr>
        <w:t>1421.44</w:t>
      </w:r>
      <w:r>
        <w:rPr>
          <w:rFonts w:hint="eastAsia" w:cs="黑体" w:asciiTheme="minorEastAsia" w:hAnsiTheme="minorEastAsia"/>
          <w:color w:val="auto"/>
          <w:kern w:val="0"/>
          <w:sz w:val="32"/>
          <w:szCs w:val="32"/>
        </w:rPr>
        <w:t>万元，政府性基金预算支出</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万元。从评价情况来看，绩效指标设置符合部门职责和相关管理规定，通过项目实施，较好完成了年初设定的各项工作目标，</w:t>
      </w:r>
      <w:r>
        <w:rPr>
          <w:rFonts w:hint="eastAsia" w:cs="黑体" w:asciiTheme="minorEastAsia" w:hAnsiTheme="minorEastAsia"/>
          <w:color w:val="auto"/>
          <w:kern w:val="0"/>
          <w:sz w:val="32"/>
          <w:szCs w:val="32"/>
          <w:lang w:val="en-US" w:eastAsia="zh-CN"/>
        </w:rPr>
        <w:t>退役安置工作</w:t>
      </w:r>
      <w:r>
        <w:rPr>
          <w:rFonts w:hint="eastAsia" w:cs="黑体" w:asciiTheme="minorEastAsia" w:hAnsiTheme="minorEastAsia"/>
          <w:color w:val="auto"/>
          <w:kern w:val="0"/>
          <w:sz w:val="32"/>
          <w:szCs w:val="32"/>
        </w:rPr>
        <w:t>取得了较好的成效。</w:t>
      </w:r>
    </w:p>
    <w:p>
      <w:pPr>
        <w:autoSpaceDE w:val="0"/>
        <w:autoSpaceDN w:val="0"/>
        <w:adjustRightInd w:val="0"/>
        <w:ind w:firstLine="640" w:firstLineChars="200"/>
        <w:jc w:val="left"/>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（2）部门决算中项目绩效自评结果。</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lang w:val="en-US" w:eastAsia="zh-CN"/>
        </w:rPr>
        <w:t>无部门决算项目绩效自评</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w:t>
      </w:r>
      <w:r>
        <w:rPr>
          <w:rFonts w:cs="黑体" w:asciiTheme="minorEastAsia" w:hAnsiTheme="minorEastAsia"/>
          <w:b/>
          <w:color w:val="auto"/>
          <w:kern w:val="0"/>
          <w:sz w:val="32"/>
          <w:szCs w:val="32"/>
        </w:rPr>
        <w:t>3</w:t>
      </w:r>
      <w:r>
        <w:rPr>
          <w:rFonts w:hint="eastAsia" w:cs="黑体" w:asciiTheme="minorEastAsia" w:hAnsiTheme="minorEastAsia"/>
          <w:b/>
          <w:color w:val="auto"/>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eastAsiaTheme="minorEastAsia"/>
          <w:color w:val="auto"/>
          <w:kern w:val="0"/>
          <w:sz w:val="32"/>
          <w:szCs w:val="32"/>
          <w:lang w:val="en-US" w:eastAsia="zh-CN" w:bidi="ar-SA"/>
        </w:rPr>
        <w:t>无部门评价项目。</w:t>
      </w:r>
      <w:r>
        <w:rPr>
          <w:rFonts w:hint="eastAsia" w:cs="黑体" w:asciiTheme="minorEastAsia" w:hAnsiTheme="minorEastAsia"/>
          <w:color w:val="auto"/>
          <w:kern w:val="0"/>
          <w:sz w:val="32"/>
          <w:szCs w:val="32"/>
        </w:rPr>
        <w:t>本单位无重点项目，因此无重点项目绩效报告。</w:t>
      </w:r>
    </w:p>
    <w:p>
      <w:pPr>
        <w:pStyle w:val="13"/>
        <w:ind w:firstLine="640" w:firstLineChars="200"/>
        <w:jc w:val="both"/>
        <w:rPr>
          <w:rFonts w:hint="eastAsia" w:cs="黑体" w:asciiTheme="minorEastAsia" w:hAnsiTheme="minorEastAsia" w:eastAsiaTheme="minorEastAsia"/>
          <w:color w:val="auto"/>
          <w:kern w:val="0"/>
          <w:sz w:val="32"/>
          <w:szCs w:val="32"/>
          <w:lang w:val="en-US" w:eastAsia="zh-CN" w:bidi="ar-SA"/>
        </w:rPr>
      </w:pPr>
    </w:p>
    <w:p>
      <w:pPr>
        <w:pStyle w:val="13"/>
        <w:jc w:val="center"/>
        <w:rPr>
          <w:rFonts w:hint="eastAsia" w:cs="黑体" w:asciiTheme="minorEastAsia" w:hAnsiTheme="minorEastAsia" w:eastAsiaTheme="minorEastAsia"/>
          <w:color w:val="auto"/>
          <w:kern w:val="0"/>
          <w:sz w:val="32"/>
          <w:szCs w:val="32"/>
          <w:lang w:val="en-US" w:eastAsia="zh-CN" w:bidi="ar-SA"/>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rPr>
          <w:color w:val="auto"/>
          <w:sz w:val="72"/>
          <w:szCs w:val="72"/>
        </w:rPr>
      </w:pPr>
    </w:p>
    <w:p>
      <w:pPr>
        <w:pStyle w:val="13"/>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rFonts w:hint="eastAsia"/>
          <w:color w:val="auto"/>
          <w:sz w:val="72"/>
          <w:szCs w:val="72"/>
        </w:rPr>
      </w:pPr>
    </w:p>
    <w:p>
      <w:pPr>
        <w:pStyle w:val="13"/>
        <w:jc w:val="center"/>
        <w:rPr>
          <w:rFonts w:hint="eastAsia"/>
          <w:color w:val="auto"/>
          <w:sz w:val="84"/>
          <w:szCs w:val="84"/>
        </w:rPr>
      </w:pPr>
    </w:p>
    <w:p>
      <w:pPr>
        <w:pStyle w:val="13"/>
        <w:ind w:firstLine="1680" w:firstLineChars="200"/>
        <w:jc w:val="center"/>
        <w:rPr>
          <w:color w:val="auto"/>
          <w:sz w:val="84"/>
          <w:szCs w:val="84"/>
        </w:rPr>
      </w:pPr>
      <w:r>
        <w:rPr>
          <w:rFonts w:hint="eastAsia"/>
          <w:color w:val="auto"/>
          <w:sz w:val="84"/>
          <w:szCs w:val="84"/>
        </w:rPr>
        <w:t>第四部分</w:t>
      </w:r>
    </w:p>
    <w:p>
      <w:pPr>
        <w:jc w:val="center"/>
        <w:rPr>
          <w:rFonts w:ascii="黑体" w:eastAsia="黑体" w:cs="黑体"/>
          <w:color w:val="auto"/>
          <w:kern w:val="0"/>
          <w:sz w:val="84"/>
          <w:szCs w:val="84"/>
        </w:rPr>
      </w:pPr>
    </w:p>
    <w:p>
      <w:pPr>
        <w:ind w:firstLine="1680" w:firstLineChars="200"/>
        <w:jc w:val="center"/>
        <w:rPr>
          <w:rFonts w:ascii="黑体" w:eastAsia="黑体" w:cs="黑体"/>
          <w:color w:val="auto"/>
          <w:kern w:val="0"/>
          <w:sz w:val="84"/>
          <w:szCs w:val="84"/>
        </w:rPr>
      </w:pPr>
      <w:r>
        <w:rPr>
          <w:rFonts w:hint="eastAsia" w:ascii="黑体" w:eastAsia="黑体" w:cs="黑体"/>
          <w:color w:val="auto"/>
          <w:kern w:val="0"/>
          <w:sz w:val="84"/>
          <w:szCs w:val="84"/>
        </w:rPr>
        <w:t>名词解释</w:t>
      </w:r>
    </w:p>
    <w:p>
      <w:pPr>
        <w:widowControl/>
        <w:ind w:firstLine="1400" w:firstLineChars="200"/>
        <w:jc w:val="left"/>
        <w:rPr>
          <w:rFonts w:ascii="黑体" w:eastAsia="黑体" w:cs="黑体"/>
          <w:color w:val="auto"/>
          <w:kern w:val="0"/>
          <w:sz w:val="70"/>
          <w:szCs w:val="70"/>
        </w:rPr>
      </w:pPr>
      <w:r>
        <w:rPr>
          <w:rFonts w:ascii="黑体" w:eastAsia="黑体" w:cs="黑体"/>
          <w:color w:val="auto"/>
          <w:kern w:val="0"/>
          <w:sz w:val="70"/>
          <w:szCs w:val="70"/>
        </w:rPr>
        <w:br w:type="page"/>
      </w:r>
    </w:p>
    <w:p>
      <w:pPr>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widowControl/>
        <w:ind w:firstLine="640" w:firstLineChars="200"/>
        <w:jc w:val="left"/>
        <w:rPr>
          <w:rFonts w:eastAsia="黑体" w:cs="黑体" w:asciiTheme="minorEastAsia" w:hAnsiTheme="minorEastAsia"/>
          <w:color w:val="auto"/>
          <w:kern w:val="0"/>
          <w:sz w:val="28"/>
          <w:szCs w:val="32"/>
        </w:rPr>
      </w:pPr>
      <w:r>
        <w:rPr>
          <w:rFonts w:hint="eastAsia" w:cs="黑体" w:asciiTheme="minorEastAsia" w:hAnsiTheme="minorEastAsia"/>
          <w:color w:val="auto"/>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eastAsia="黑体" w:cs="黑体" w:asciiTheme="minorEastAsia" w:hAnsiTheme="minorEastAsia"/>
          <w:color w:val="auto"/>
          <w:kern w:val="0"/>
          <w:sz w:val="28"/>
          <w:szCs w:val="3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jc w:val="center"/>
        <w:rPr>
          <w:color w:val="auto"/>
          <w:sz w:val="72"/>
          <w:szCs w:val="72"/>
        </w:rPr>
      </w:pPr>
    </w:p>
    <w:p>
      <w:pPr>
        <w:pStyle w:val="13"/>
        <w:ind w:firstLine="1440" w:firstLineChars="200"/>
        <w:jc w:val="both"/>
        <w:rPr>
          <w:rFonts w:hint="eastAsia" w:eastAsia="黑体"/>
          <w:color w:val="auto"/>
          <w:sz w:val="72"/>
          <w:szCs w:val="72"/>
          <w:lang w:val="en-US" w:eastAsia="zh-CN"/>
        </w:rPr>
      </w:pPr>
      <w:r>
        <w:rPr>
          <w:rFonts w:hint="eastAsia"/>
          <w:color w:val="auto"/>
          <w:sz w:val="72"/>
          <w:szCs w:val="72"/>
          <w:lang w:val="en-US" w:eastAsia="zh-CN"/>
        </w:rPr>
        <w:t xml:space="preserve"> </w:t>
      </w:r>
    </w:p>
    <w:p>
      <w:pPr>
        <w:pStyle w:val="13"/>
        <w:jc w:val="center"/>
        <w:rPr>
          <w:color w:val="auto"/>
          <w:sz w:val="72"/>
          <w:szCs w:val="72"/>
        </w:rPr>
      </w:pPr>
    </w:p>
    <w:p>
      <w:pPr>
        <w:pStyle w:val="13"/>
        <w:jc w:val="both"/>
        <w:rPr>
          <w:color w:val="auto"/>
          <w:sz w:val="72"/>
          <w:szCs w:val="72"/>
        </w:rPr>
      </w:pPr>
    </w:p>
    <w:p>
      <w:pPr>
        <w:pStyle w:val="13"/>
        <w:ind w:firstLine="1680" w:firstLineChars="200"/>
        <w:jc w:val="center"/>
        <w:rPr>
          <w:color w:val="auto"/>
          <w:sz w:val="84"/>
          <w:szCs w:val="84"/>
        </w:rPr>
      </w:pPr>
      <w:r>
        <w:rPr>
          <w:rFonts w:hint="eastAsia"/>
          <w:color w:val="auto"/>
          <w:sz w:val="84"/>
          <w:szCs w:val="84"/>
        </w:rPr>
        <w:t>第五部分</w:t>
      </w:r>
    </w:p>
    <w:p>
      <w:pPr>
        <w:jc w:val="center"/>
        <w:rPr>
          <w:rFonts w:ascii="黑体" w:eastAsia="黑体" w:cs="黑体"/>
          <w:color w:val="auto"/>
          <w:kern w:val="0"/>
          <w:sz w:val="84"/>
          <w:szCs w:val="84"/>
        </w:rPr>
      </w:pPr>
    </w:p>
    <w:p>
      <w:pPr>
        <w:ind w:firstLine="1680" w:firstLineChars="200"/>
        <w:jc w:val="center"/>
        <w:rPr>
          <w:rFonts w:ascii="黑体" w:eastAsia="黑体" w:cs="黑体"/>
          <w:color w:val="auto"/>
          <w:kern w:val="0"/>
          <w:sz w:val="84"/>
          <w:szCs w:val="84"/>
        </w:rPr>
      </w:pPr>
      <w:r>
        <w:rPr>
          <w:rFonts w:hint="eastAsia" w:ascii="黑体" w:eastAsia="黑体" w:cs="黑体"/>
          <w:color w:val="auto"/>
          <w:kern w:val="0"/>
          <w:sz w:val="84"/>
          <w:szCs w:val="84"/>
        </w:rPr>
        <w:t>附件</w:t>
      </w:r>
    </w:p>
    <w:p>
      <w:pPr>
        <w:ind w:firstLine="640" w:firstLineChars="200"/>
        <w:rPr>
          <w:rFonts w:hint="eastAsia" w:ascii="仿宋" w:hAnsi="仿宋" w:eastAsia="仿宋" w:cs="Times New Roman"/>
          <w:color w:val="auto"/>
          <w:spacing w:val="-2"/>
          <w:kern w:val="2"/>
          <w:sz w:val="32"/>
          <w:szCs w:val="32"/>
          <w:lang w:val="en-US" w:eastAsia="zh-CN" w:bidi="ar-SA"/>
        </w:rPr>
      </w:pPr>
      <w:r>
        <w:rPr>
          <w:rFonts w:cs="黑体" w:asciiTheme="minorEastAsia" w:hAnsiTheme="minorEastAsia"/>
          <w:color w:val="auto"/>
          <w:kern w:val="0"/>
          <w:sz w:val="32"/>
          <w:szCs w:val="32"/>
        </w:rPr>
        <w:br w:type="page"/>
      </w:r>
    </w:p>
    <w:p>
      <w:pPr>
        <w:widowControl/>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YjVmZmRlN2M5YWU1ZjAzNGYzZGU5YzVkMThkNGE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E70F4"/>
    <w:rsid w:val="00FF5CD6"/>
    <w:rsid w:val="021951C9"/>
    <w:rsid w:val="038A570F"/>
    <w:rsid w:val="0532464E"/>
    <w:rsid w:val="09D24653"/>
    <w:rsid w:val="0C0A2BE2"/>
    <w:rsid w:val="11C664AC"/>
    <w:rsid w:val="173E1866"/>
    <w:rsid w:val="18361E85"/>
    <w:rsid w:val="1CB32CE3"/>
    <w:rsid w:val="1CCB73F1"/>
    <w:rsid w:val="21EF55AB"/>
    <w:rsid w:val="26821ABD"/>
    <w:rsid w:val="2770578A"/>
    <w:rsid w:val="29B82726"/>
    <w:rsid w:val="2DB9081B"/>
    <w:rsid w:val="33206E21"/>
    <w:rsid w:val="3344479A"/>
    <w:rsid w:val="36F82262"/>
    <w:rsid w:val="3CF7310E"/>
    <w:rsid w:val="3D7B5AED"/>
    <w:rsid w:val="3E430D41"/>
    <w:rsid w:val="40712974"/>
    <w:rsid w:val="4093021D"/>
    <w:rsid w:val="411C75E7"/>
    <w:rsid w:val="43CC52F4"/>
    <w:rsid w:val="44662AC1"/>
    <w:rsid w:val="44CD30D2"/>
    <w:rsid w:val="48F36E7F"/>
    <w:rsid w:val="4B771FE9"/>
    <w:rsid w:val="4DBE0184"/>
    <w:rsid w:val="4EF456FF"/>
    <w:rsid w:val="5080428C"/>
    <w:rsid w:val="52014570"/>
    <w:rsid w:val="52CB1FA6"/>
    <w:rsid w:val="55180399"/>
    <w:rsid w:val="58382ADA"/>
    <w:rsid w:val="5A144EA7"/>
    <w:rsid w:val="5D0F4F10"/>
    <w:rsid w:val="5F020754"/>
    <w:rsid w:val="60433DF0"/>
    <w:rsid w:val="61930DA7"/>
    <w:rsid w:val="64D97649"/>
    <w:rsid w:val="65077AE2"/>
    <w:rsid w:val="656625F8"/>
    <w:rsid w:val="669048C8"/>
    <w:rsid w:val="676B553C"/>
    <w:rsid w:val="6ABC311D"/>
    <w:rsid w:val="6BD67EAD"/>
    <w:rsid w:val="74566390"/>
    <w:rsid w:val="751E5510"/>
    <w:rsid w:val="772B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qFormat/>
    <w:uiPriority w:val="0"/>
    <w:pPr>
      <w:keepNext/>
      <w:keepLines/>
      <w:spacing w:before="280" w:after="290" w:line="376" w:lineRule="auto"/>
      <w:ind w:firstLine="250" w:firstLineChars="250"/>
      <w:outlineLvl w:val="3"/>
    </w:pPr>
    <w:rPr>
      <w:rFonts w:hint="default" w:ascii="Cambria" w:hAnsi="Cambria" w:eastAsia="宋体" w:cs="Cambria"/>
      <w:b/>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ind w:firstLine="420"/>
    </w:pPr>
  </w:style>
  <w:style w:type="paragraph" w:styleId="3">
    <w:name w:val="Body Text Indent"/>
    <w:basedOn w:val="1"/>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paragraph" w:customStyle="1" w:styleId="16">
    <w:name w:val="NormalIndent"/>
    <w:basedOn w:val="1"/>
    <w:qFormat/>
    <w:uiPriority w:val="0"/>
    <w:pPr>
      <w:ind w:firstLine="4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9992</Words>
  <Characters>10938</Characters>
  <Lines>69</Lines>
  <Paragraphs>19</Paragraphs>
  <TotalTime>0</TotalTime>
  <ScaleCrop>false</ScaleCrop>
  <LinksUpToDate>false</LinksUpToDate>
  <CharactersWithSpaces>10951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WPS_1608525663</cp:lastModifiedBy>
  <cp:lastPrinted>2022-07-27T12:55:00Z</cp:lastPrinted>
  <dcterms:modified xsi:type="dcterms:W3CDTF">2023-10-07T02:05:34Z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28EEFED721BC45CB9606AB5ED8D39E51_13</vt:lpwstr>
  </property>
</Properties>
</file>