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b/>
          <w:bCs/>
          <w:color w:val="000000" w:themeColor="text1"/>
          <w:sz w:val="48"/>
          <w:szCs w:val="48"/>
          <w14:textFill>
            <w14:solidFill>
              <w14:schemeClr w14:val="tx1"/>
            </w14:solidFill>
          </w14:textFill>
        </w:rPr>
      </w:pPr>
      <w:r>
        <w:rPr>
          <w:rFonts w:ascii="仿宋" w:hAnsi="仿宋" w:eastAsia="仿宋"/>
          <w:b/>
          <w:bCs/>
          <w:color w:val="000000" w:themeColor="text1"/>
          <w:sz w:val="48"/>
          <w:szCs w:val="48"/>
          <w14:textFill>
            <w14:solidFill>
              <w14:schemeClr w14:val="tx1"/>
            </w14:solidFill>
          </w14:textFill>
        </w:rPr>
        <w:t>2021年度</w:t>
      </w:r>
      <w:r>
        <w:rPr>
          <w:rFonts w:hint="eastAsia" w:ascii="仿宋" w:hAnsi="仿宋" w:eastAsia="仿宋"/>
          <w:b/>
          <w:bCs/>
          <w:color w:val="000000" w:themeColor="text1"/>
          <w:sz w:val="48"/>
          <w:szCs w:val="48"/>
          <w14:textFill>
            <w14:solidFill>
              <w14:schemeClr w14:val="tx1"/>
            </w14:solidFill>
          </w14:textFill>
        </w:rPr>
        <w:t>怀化市烈士陵园管理所部门决算</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目 录</w:t>
      </w:r>
    </w:p>
    <w:p>
      <w:pPr>
        <w:spacing w:line="600" w:lineRule="exact"/>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第一部分 怀化市烈士陵园管理所概况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一、部门职责</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二、机构设置</w:t>
      </w:r>
    </w:p>
    <w:p>
      <w:pPr>
        <w:spacing w:line="600" w:lineRule="exact"/>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 xml:space="preserve">第二部分 </w:t>
      </w:r>
      <w:r>
        <w:rPr>
          <w:rFonts w:ascii="黑体" w:hAnsi="黑体" w:eastAsia="黑体"/>
          <w:b/>
          <w:bCs/>
          <w:color w:val="000000" w:themeColor="text1"/>
          <w:sz w:val="32"/>
          <w:szCs w:val="32"/>
          <w14:textFill>
            <w14:solidFill>
              <w14:schemeClr w14:val="tx1"/>
            </w14:solidFill>
          </w14:textFill>
        </w:rPr>
        <w:t>2021年度部门决算表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一、收入支出决算总表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二、收入决算表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三、支出决算表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四、财政拨款收入支出决算总表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五、一般公共预算财政拨款支出决算表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六、一般公共预算财政拨款基本支出决算明细表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七、一般公共预算财政拨款“三公”经费支出决算表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八、政府性基金预算财政拨款收入支出决算表</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九、国有资本经营预算财政拨款支出决算表</w:t>
      </w:r>
    </w:p>
    <w:p>
      <w:pPr>
        <w:spacing w:line="600" w:lineRule="exact"/>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 xml:space="preserve">第三部分 </w:t>
      </w:r>
      <w:r>
        <w:rPr>
          <w:rFonts w:ascii="黑体" w:hAnsi="黑体" w:eastAsia="黑体"/>
          <w:b/>
          <w:bCs/>
          <w:color w:val="000000" w:themeColor="text1"/>
          <w:sz w:val="32"/>
          <w:szCs w:val="32"/>
          <w14:textFill>
            <w14:solidFill>
              <w14:schemeClr w14:val="tx1"/>
            </w14:solidFill>
          </w14:textFill>
        </w:rPr>
        <w:t>2021年度部门决算情况说明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一、收入支出决算总体情况说明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二、收入决算情况说明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四、财政拨款收入支出决算总体情况说明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五、一般公共预算财政拨款支出决算情况说明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六、一般公共预算财政拨款基本支出决算情况说明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七、一般公共预算财政拨款“三公”经费支出决算情况说明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八、政府性基金预算收入支出决算情况说明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九、国有资本经营预算财政拨款支出决算情况说明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十、关于机关运行经费支出说明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十一、一般性支出情况说明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十二、关于政府采购支出说明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十三、关于国有资产占用情况说明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十四、关于</w:t>
      </w:r>
      <w:r>
        <w:rPr>
          <w:rFonts w:ascii="仿宋" w:hAnsi="仿宋" w:eastAsia="仿宋"/>
          <w:color w:val="000000" w:themeColor="text1"/>
          <w:sz w:val="32"/>
          <w:szCs w:val="32"/>
          <w14:textFill>
            <w14:solidFill>
              <w14:schemeClr w14:val="tx1"/>
            </w14:solidFill>
          </w14:textFill>
        </w:rPr>
        <w:t>2021年度预算绩效情况的说明</w:t>
      </w:r>
    </w:p>
    <w:p>
      <w:pPr>
        <w:spacing w:line="600" w:lineRule="exact"/>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第四部分名词解释</w:t>
      </w:r>
    </w:p>
    <w:p>
      <w:pPr>
        <w:spacing w:line="600" w:lineRule="exact"/>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第五部分附件</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w:t>
      </w:r>
    </w:p>
    <w:p>
      <w:pPr>
        <w:spacing w:line="600" w:lineRule="exact"/>
        <w:ind w:firstLine="883" w:firstLineChars="200"/>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第一部分 怀化市烈士陵园管理所概况</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一、部门职责</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（一）主要负责市本级烈士陵园和烈士纪念设施的建设维护、管理和环境美化</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（二）负责全市烈士精神的宣传和传承</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（三）负责为社会各界及烈士亲属祭扫、纪念活动提供服务，充分发挥爱国主义及青少年教育基地的作用等。</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二、机构设置及决算单位构成</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（一）内设机构设置。</w:t>
      </w:r>
      <w:r>
        <w:rPr>
          <w:rFonts w:hint="eastAsia" w:ascii="仿宋" w:hAnsi="仿宋" w:eastAsia="仿宋"/>
          <w:color w:val="000000" w:themeColor="text1"/>
          <w:sz w:val="32"/>
          <w:szCs w:val="32"/>
          <w14:textFill>
            <w14:solidFill>
              <w14:schemeClr w14:val="tx1"/>
            </w14:solidFill>
          </w14:textFill>
        </w:rPr>
        <w:t>怀化市烈士陵园管理所作为怀化市退役军人事务局的二级部门预算单位，纳入一般公共财政预算，现有财政全额拨款编制</w:t>
      </w:r>
      <w:r>
        <w:rPr>
          <w:rFonts w:ascii="仿宋" w:hAnsi="仿宋" w:eastAsia="仿宋"/>
          <w:color w:val="000000" w:themeColor="text1"/>
          <w:sz w:val="32"/>
          <w:szCs w:val="32"/>
          <w14:textFill>
            <w14:solidFill>
              <w14:schemeClr w14:val="tx1"/>
            </w14:solidFill>
          </w14:textFill>
        </w:rPr>
        <w:t>3个，在职人员2人，2021年末编制人数3人，实有在职人员2人，在职人员控制率66.67%。</w:t>
      </w:r>
      <w:r>
        <w:rPr>
          <w:rFonts w:hint="eastAsia" w:ascii="仿宋" w:hAnsi="仿宋" w:eastAsia="仿宋"/>
          <w:color w:val="000000" w:themeColor="text1"/>
          <w:sz w:val="32"/>
          <w:szCs w:val="32"/>
          <w14:textFill>
            <w14:solidFill>
              <w14:schemeClr w14:val="tx1"/>
            </w14:solidFill>
          </w14:textFill>
        </w:rPr>
        <w:t>无</w:t>
      </w:r>
      <w:r>
        <w:rPr>
          <w:rFonts w:ascii="仿宋" w:hAnsi="仿宋" w:eastAsia="仿宋"/>
          <w:color w:val="000000" w:themeColor="text1"/>
          <w:sz w:val="32"/>
          <w:szCs w:val="32"/>
          <w14:textFill>
            <w14:solidFill>
              <w14:schemeClr w14:val="tx1"/>
            </w14:solidFill>
          </w14:textFill>
        </w:rPr>
        <w:t>内设科室。</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（二）决算单位构成。</w:t>
      </w:r>
      <w:r>
        <w:rPr>
          <w:rFonts w:hint="eastAsia" w:ascii="仿宋" w:hAnsi="仿宋" w:eastAsia="仿宋"/>
          <w:color w:val="000000" w:themeColor="text1"/>
          <w:sz w:val="32"/>
          <w:szCs w:val="32"/>
          <w14:textFill>
            <w14:solidFill>
              <w14:schemeClr w14:val="tx1"/>
            </w14:solidFill>
          </w14:textFill>
        </w:rPr>
        <w:t>怀化市烈士陵园管理所</w:t>
      </w:r>
      <w:r>
        <w:rPr>
          <w:rFonts w:ascii="仿宋" w:hAnsi="仿宋" w:eastAsia="仿宋"/>
          <w:color w:val="000000" w:themeColor="text1"/>
          <w:sz w:val="32"/>
          <w:szCs w:val="32"/>
          <w14:textFill>
            <w14:solidFill>
              <w14:schemeClr w14:val="tx1"/>
            </w14:solidFill>
          </w14:textFill>
        </w:rPr>
        <w:t>2021年部门决算汇总公开单位构成包括：怀化市烈士陵园管理所。</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883" w:firstLineChars="200"/>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第二部分 部门决算表</w:t>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（详情见附件）</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883" w:firstLineChars="200"/>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 xml:space="preserve">第三部分 </w:t>
      </w:r>
      <w:r>
        <w:rPr>
          <w:rFonts w:ascii="黑体" w:hAnsi="黑体" w:eastAsia="黑体"/>
          <w:b/>
          <w:bCs/>
          <w:color w:val="000000" w:themeColor="text1"/>
          <w:sz w:val="44"/>
          <w:szCs w:val="44"/>
          <w14:textFill>
            <w14:solidFill>
              <w14:schemeClr w14:val="tx1"/>
            </w14:solidFill>
          </w14:textFill>
        </w:rPr>
        <w:t>2021年度部门决算情况说明</w:t>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一、收入支出决算总体情况说明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2021年度收、支总计</w:t>
      </w:r>
      <w:r>
        <w:rPr>
          <w:rFonts w:hint="eastAsia" w:ascii="仿宋" w:hAnsi="仿宋" w:eastAsia="仿宋"/>
          <w:color w:val="000000" w:themeColor="text1"/>
          <w:sz w:val="32"/>
          <w:szCs w:val="32"/>
          <w14:textFill>
            <w14:solidFill>
              <w14:schemeClr w14:val="tx1"/>
            </w14:solidFill>
          </w14:textFill>
        </w:rPr>
        <w:t>各</w:t>
      </w:r>
      <w:r>
        <w:rPr>
          <w:rFonts w:ascii="仿宋" w:hAnsi="仿宋" w:eastAsia="仿宋"/>
          <w:color w:val="000000" w:themeColor="text1"/>
          <w:sz w:val="32"/>
          <w:szCs w:val="32"/>
          <w14:textFill>
            <w14:solidFill>
              <w14:schemeClr w14:val="tx1"/>
            </w14:solidFill>
          </w14:textFill>
        </w:rPr>
        <w:t>73.12万元。与上年相比，减少262.7万元，减少78.23%，主要是因为与2021年相比，2020年的年初结余结转资金较多。</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二、收入决算情况说明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2021年度收入合计67.64万元，其中：财政拨款收入67.64万元，占100%；上级补助收入0万元，占0%；事业收入0万元，占0%；经营收入0万元，占0%；附属单位上缴收入0万元，占0；其他收入0万元，占0%。</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2021年度支出合计73.12万元，其中：基本支出26.72万元，占36.54%；项目支出46.4万元，占63.46%；上缴上级支出0万元，占0%；经营支出0万元，占0%；对附属单位补助支出0万元，占0%。</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四、财政拨款收入支出决算总体情况说明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2021年度财政拨款收、支总计</w:t>
      </w:r>
      <w:r>
        <w:rPr>
          <w:rFonts w:hint="eastAsia" w:ascii="仿宋" w:hAnsi="仿宋" w:eastAsia="仿宋"/>
          <w:color w:val="000000" w:themeColor="text1"/>
          <w:sz w:val="32"/>
          <w:szCs w:val="32"/>
          <w14:textFill>
            <w14:solidFill>
              <w14:schemeClr w14:val="tx1"/>
            </w14:solidFill>
          </w14:textFill>
        </w:rPr>
        <w:t>各</w:t>
      </w:r>
      <w:r>
        <w:rPr>
          <w:rFonts w:ascii="仿宋" w:hAnsi="仿宋" w:eastAsia="仿宋"/>
          <w:color w:val="000000" w:themeColor="text1"/>
          <w:sz w:val="32"/>
          <w:szCs w:val="32"/>
          <w14:textFill>
            <w14:solidFill>
              <w14:schemeClr w14:val="tx1"/>
            </w14:solidFill>
          </w14:textFill>
        </w:rPr>
        <w:t>73.12万元，与上年相比，减少262.57万元,减少78.22%，主要是因为与2021年相比，2020年的年初结余结转资金较多。</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五、一般公共预算财政拨款支出决算情况说明</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（一）财政拨款支出决算总体情况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2021年度财政拨款支出73.12万元，占本年支出合计的100%，与上年相比，财政拨款支出减少262.57万元，减少78.22%，主要是因为与2021年相比，2020年的年初结余结转资金较多。</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（二）财政拨款支出决算结构情况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2021年度财政拨款支出73.12万元，主要用于以下方面：社会保障和就业（类）支出72.07万元，占98.56%；卫生健康（类）支出1.05万元，占1.44%。</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（三）财政拨款支出决算具体情况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2021年度财政拨款支出年初预算数为596.51万元，支出决算数为73.12万元，完成年初预算的12.26%，其中：</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1、社会保障和就业支出（类）人力资源和社会保障管理事务（款）行政运行（项）。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2.4万元，支出决算为0.62万元，完成年初预算的25.83%，决算数小于年初预算数的主要原因是：对预算进行了调整。</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2、社会保障和就业支出（类）民政管理事务（款）行政运行（项）。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14.11万元，支出决算为13.9万元，完成年初预算的98.51%，决算数小于年初预算数的主要原因是：部分工程项目未实施。</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3、社会保障和就业支出（类）行政事业单位养老支出（款）机关事业单位基本养老保险缴费支出（项）。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0元，支出决算为2.11万元，决算数大于年初预算数的主要原因是：行政事业单位养老保险缴费额度的下拨需年初上报基数，经财政及人社部门审批后，年中拨付相关经费，未列入年初预算。</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4、社会保障和就业支出（类）行政事业单位养老支出（款）其他行政事业单位养老支出（项）。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0万元，支出决算为4.59万元，决算数大于年初预算数的主要原因是：其他行政事业单位养老支出额度未纳入年初预算。</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5、社会保障和就业支出（类）抚恤（款）其他优抚支出（项）。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0万元，支出决算为5.48万元，决算数大于年初预算数的主要原因是：追加预算。</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6、社会保障和就业支出（类）退役军人管理事务（款）事业运行（项）。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0万元，支出决算为4.45万元，决算数大于年初预算数的主要原因是：该支出为在职人员绩效奖，未列入年初预算。</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7、社会保障和就业支出（类）退役军人管理事务（款）其他退役军人事务管理支出（项）。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580万元，支出决算为40.92万元，完成年初预算的7.06%，决算数大于年初预算数的主要原因是：对预算进行了调整。</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8、卫生健康支出（类）行政事业单位医疗（款）行政单位医疗（项）。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ascii="仿宋" w:hAnsi="仿宋" w:eastAsia="仿宋"/>
          <w:color w:val="000000" w:themeColor="text1"/>
          <w:sz w:val="32"/>
          <w:szCs w:val="32"/>
          <w14:textFill>
            <w14:solidFill>
              <w14:schemeClr w14:val="tx1"/>
            </w14:solidFill>
          </w14:textFill>
        </w:rPr>
        <w:t>0万元，支出决算为1.05万元，决算数大于年初预算数的主要原因是：医疗保险缴费额度的下拨需年初上报基数，经财政及人社部门审批后，年中拨付相关经费。</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六、一般公共预算财政拨款基本支出决算情况说明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财政拨款基本支出26.72万元，其中：人员经费26.17万元，占基本支出的97.94%,主要包括基本工资、津贴补贴、奖金、机关事业单位基本养老保险缴费、职工基本医疗保险缴费、其他社会保障缴费和奖励金；公用经费0.55万元，占基本支出的2.06%，主要包括办公费、差旅费、公务用车运行维护费和其他商品和服务支出。</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七、一般公共预算财政拨款“三公”经费支出决算情况说明</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（一）“三公”经费财政拨款支出决算总体情况说明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2021年度“三公”经费财政拨款支出预算为2.68万元，支出决算为2.43万元，完成预算的90.67%，其中：</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、因公出国（境）费支出预算为</w:t>
      </w:r>
      <w:r>
        <w:rPr>
          <w:rFonts w:ascii="仿宋" w:hAnsi="仿宋" w:eastAsia="仿宋"/>
          <w:color w:val="000000" w:themeColor="text1"/>
          <w:sz w:val="32"/>
          <w:szCs w:val="32"/>
          <w14:textFill>
            <w14:solidFill>
              <w14:schemeClr w14:val="tx1"/>
            </w14:solidFill>
          </w14:textFill>
        </w:rPr>
        <w:t>0.00万元，支出决算为0.00万元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决算数与年初预算数持平，主要原因按预算执行，与上年数持平，主要原因本年度未安排因公出国（境）</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2、公务接待费支出预算为</w:t>
      </w:r>
      <w:r>
        <w:rPr>
          <w:rFonts w:ascii="仿宋" w:hAnsi="仿宋" w:eastAsia="仿宋"/>
          <w:color w:val="000000" w:themeColor="text1"/>
          <w:sz w:val="32"/>
          <w:szCs w:val="32"/>
          <w14:textFill>
            <w14:solidFill>
              <w14:schemeClr w14:val="tx1"/>
            </w14:solidFill>
          </w14:textFill>
        </w:rPr>
        <w:t>0.68万元，支出决算为0.45万元，完成预算的66.18%，决算数小于预算数的主要原因是厉行节约，与上年相比增加0.06万元，增长15.38%,增长的主要原因是公务接待次数略有增加。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、公务用车购置费支出预算为</w:t>
      </w:r>
      <w:r>
        <w:rPr>
          <w:rFonts w:ascii="仿宋" w:hAnsi="仿宋" w:eastAsia="仿宋"/>
          <w:color w:val="000000" w:themeColor="text1"/>
          <w:sz w:val="32"/>
          <w:szCs w:val="32"/>
          <w14:textFill>
            <w14:solidFill>
              <w14:schemeClr w14:val="tx1"/>
            </w14:solidFill>
          </w14:textFill>
        </w:rPr>
        <w:t>0万元，支出决算为0万元，决算数与预算数持平，与上年相比持平，主要原因是压减经费开支。</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4、公务用车运行维护费支出预算为</w:t>
      </w:r>
      <w:r>
        <w:rPr>
          <w:rFonts w:ascii="仿宋" w:hAnsi="仿宋" w:eastAsia="仿宋"/>
          <w:color w:val="000000" w:themeColor="text1"/>
          <w:sz w:val="32"/>
          <w:szCs w:val="32"/>
          <w14:textFill>
            <w14:solidFill>
              <w14:schemeClr w14:val="tx1"/>
            </w14:solidFill>
          </w14:textFill>
        </w:rPr>
        <w:t>2万元，支出决算为1.97万元，完成预算的98.5%，决算数小于预算数的主要原因是严格控制三公经费，厉行节约，与上年相比减少0.19万元，减少8.80%,减少的主要原因是严格控制三公经费，厉行节约。</w:t>
      </w:r>
    </w:p>
    <w:p>
      <w:pPr>
        <w:spacing w:line="60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（二）“三公”经费财政拨款支出决算具体情况说明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2021年度“三公”经费财政拨款支出决算中，公务接待费支出决算0.45万元，占18.52%,因公出国（境）费支出决算0万元，占0%,公务用车购置费及运行维护费支出决算1.97万元，占81.07%。其中：</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1、因公出国（境）费支出决算为0万元，全年安排因公出国（境）团组0个，累计0人次。</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2、公务接待费支出决算为0.45万元，全年共接待来访团组6个、来宾19人次，主要是烈士家属清明节祭扫接待及餐饮发生的接待支出。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公务用车购置费及运行维护费支出决算为1.97万元，其中：公务用车购置费0万元，怀化市烈士陵园管理所更新公务用车0辆。公务用车运行维护费1.97万元，主要是车辆燃油费、维修费、车辆保险费等支出，截至2021年12月31日，我单位开支财政拨款的公务用车保有量为1辆。</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八、政府性基金预算收入支出决算情况说明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本单位无政府性基金收支。</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九、国有资本经营预算财政拨款支出决算情况说明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本单位无国有资本经营预算财政拨款支出。</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十、机关运行经费支出说明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本单位是全额拨款事业单位，没有机关运行经费。</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十一、一般性支出情况说明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2021年本部门开支会议费0万元；开支培训费0万元；未举办节庆、晚会、论坛、赛事活动。</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十二、政府采购支出说明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十三、国有资产占用情况说明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截至</w:t>
      </w:r>
      <w:r>
        <w:rPr>
          <w:rFonts w:ascii="仿宋" w:hAnsi="仿宋" w:eastAsia="仿宋"/>
          <w:color w:val="000000" w:themeColor="text1"/>
          <w:sz w:val="32"/>
          <w:szCs w:val="32"/>
          <w14:textFill>
            <w14:solidFill>
              <w14:schemeClr w14:val="tx1"/>
            </w14:solidFill>
          </w14:textFill>
        </w:rPr>
        <w:t>2021年12月31日，部门（单位）共有车辆1辆，其中，主要领导干部用车0辆，机要通信用车0辆、应急保障用车0辆、执法执勤用车0辆、特种专业技术用车0辆、其他</w:t>
      </w:r>
      <w:bookmarkStart w:id="0" w:name="_GoBack"/>
      <w:bookmarkEnd w:id="0"/>
      <w:r>
        <w:rPr>
          <w:rFonts w:ascii="仿宋" w:hAnsi="仿宋" w:eastAsia="仿宋"/>
          <w:color w:val="000000" w:themeColor="text1"/>
          <w:sz w:val="32"/>
          <w:szCs w:val="32"/>
          <w14:textFill>
            <w14:solidFill>
              <w14:schemeClr w14:val="tx1"/>
            </w14:solidFill>
          </w14:textFill>
        </w:rPr>
        <w:t>用车1辆，其他用车主要是日常业务用车；单位价值50万元以上通用设备0台（套）；单位价值100万元以上专用设备0台（套）。</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十四、</w:t>
      </w:r>
      <w:r>
        <w:rPr>
          <w:rFonts w:ascii="黑体" w:hAnsi="黑体" w:eastAsia="黑体"/>
          <w:color w:val="000000" w:themeColor="text1"/>
          <w:sz w:val="32"/>
          <w:szCs w:val="32"/>
          <w14:textFill>
            <w14:solidFill>
              <w14:schemeClr w14:val="tx1"/>
            </w14:solidFill>
          </w14:textFill>
        </w:rPr>
        <w:t>2021年度预算绩效情况说明</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本部门预算绩效管理开展情况、绩效自评和绩效评价报告见附件。本单位无重点项目，因此无重点项目绩效报告。</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883" w:firstLineChars="200"/>
        <w:jc w:val="center"/>
        <w:rPr>
          <w:rFonts w:hint="eastAsia"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第四部分 名词解释</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883" w:firstLineChars="200"/>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第五部分 附件</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20252B"/>
    <w:rsid w:val="0020252B"/>
    <w:rsid w:val="00632B2B"/>
    <w:rsid w:val="00D042E7"/>
    <w:rsid w:val="1DE27A58"/>
    <w:rsid w:val="26C436A5"/>
    <w:rsid w:val="4BD8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647</Words>
  <Characters>3689</Characters>
  <Lines>30</Lines>
  <Paragraphs>8</Paragraphs>
  <TotalTime>0</TotalTime>
  <ScaleCrop>false</ScaleCrop>
  <LinksUpToDate>false</LinksUpToDate>
  <CharactersWithSpaces>4328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2023-09-06T13:03:00Z</dcterms:created>
  <dc:creator>汪 梦引</dc:creator>
  <cp:lastModifiedBy>非鱼</cp:lastModifiedBy>
  <dcterms:modified xsi:type="dcterms:W3CDTF">2023-10-03T08:50:29Z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24B5EECE96C54EE18401A0A3AAAC610F_12</vt:lpwstr>
  </property>
</Properties>
</file>