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74E0D8">
      <w:pPr>
        <w:spacing w:line="600" w:lineRule="exact"/>
        <w:jc w:val="center"/>
        <w:rPr>
          <w:rFonts w:ascii="仿宋" w:hAnsi="仿宋" w:eastAsia="仿宋"/>
          <w:b/>
          <w:bCs/>
          <w:sz w:val="48"/>
          <w:szCs w:val="48"/>
        </w:rPr>
      </w:pPr>
      <w:r>
        <w:rPr>
          <w:rFonts w:ascii="仿宋" w:hAnsi="仿宋" w:eastAsia="仿宋"/>
          <w:b/>
          <w:bCs/>
          <w:sz w:val="48"/>
          <w:szCs w:val="48"/>
        </w:rPr>
        <w:t>2021年</w:t>
      </w:r>
      <w:r>
        <w:rPr>
          <w:rFonts w:hint="eastAsia" w:ascii="仿宋" w:hAnsi="仿宋" w:eastAsia="仿宋"/>
          <w:b/>
          <w:bCs/>
          <w:sz w:val="48"/>
          <w:szCs w:val="48"/>
        </w:rPr>
        <w:t>怀化市退役军人事务局（本级）部门决算</w:t>
      </w:r>
    </w:p>
    <w:p w14:paraId="7831D3D1">
      <w:pPr>
        <w:spacing w:line="600" w:lineRule="exact"/>
        <w:rPr>
          <w:rFonts w:hint="eastAsia" w:ascii="仿宋" w:hAnsi="仿宋" w:eastAsia="仿宋"/>
          <w:sz w:val="32"/>
          <w:szCs w:val="32"/>
        </w:rPr>
      </w:pPr>
    </w:p>
    <w:p w14:paraId="697E39E8">
      <w:pPr>
        <w:spacing w:line="600" w:lineRule="exact"/>
        <w:jc w:val="center"/>
        <w:rPr>
          <w:rFonts w:ascii="黑体" w:hAnsi="黑体" w:eastAsia="黑体"/>
          <w:b/>
          <w:bCs/>
          <w:sz w:val="32"/>
          <w:szCs w:val="32"/>
        </w:rPr>
      </w:pPr>
      <w:r>
        <w:rPr>
          <w:rFonts w:hint="eastAsia" w:ascii="黑体" w:hAnsi="黑体" w:eastAsia="黑体"/>
          <w:b/>
          <w:bCs/>
          <w:sz w:val="32"/>
          <w:szCs w:val="32"/>
        </w:rPr>
        <w:t>目 录</w:t>
      </w:r>
    </w:p>
    <w:p w14:paraId="5E03BC92">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第一部分 怀化市退役军人事务局部门概况</w:t>
      </w:r>
    </w:p>
    <w:p w14:paraId="5EF297FC">
      <w:pPr>
        <w:spacing w:line="600" w:lineRule="exact"/>
        <w:ind w:firstLine="640" w:firstLineChars="200"/>
        <w:rPr>
          <w:rFonts w:ascii="仿宋" w:hAnsi="仿宋" w:eastAsia="仿宋"/>
          <w:sz w:val="32"/>
          <w:szCs w:val="32"/>
        </w:rPr>
      </w:pPr>
      <w:r>
        <w:rPr>
          <w:rFonts w:hint="eastAsia" w:ascii="仿宋" w:hAnsi="仿宋" w:eastAsia="仿宋"/>
          <w:sz w:val="32"/>
          <w:szCs w:val="32"/>
        </w:rPr>
        <w:t>一、部门职责</w:t>
      </w:r>
    </w:p>
    <w:p w14:paraId="2AB2FA81">
      <w:pPr>
        <w:spacing w:line="600" w:lineRule="exact"/>
        <w:ind w:firstLine="640" w:firstLineChars="200"/>
        <w:rPr>
          <w:rFonts w:ascii="仿宋" w:hAnsi="仿宋" w:eastAsia="仿宋"/>
          <w:sz w:val="32"/>
          <w:szCs w:val="32"/>
        </w:rPr>
      </w:pPr>
      <w:r>
        <w:rPr>
          <w:rFonts w:hint="eastAsia" w:ascii="仿宋" w:hAnsi="仿宋" w:eastAsia="仿宋"/>
          <w:sz w:val="32"/>
          <w:szCs w:val="32"/>
        </w:rPr>
        <w:t>二、机构设置</w:t>
      </w:r>
    </w:p>
    <w:p w14:paraId="45B114DC">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第二部分</w:t>
      </w:r>
      <w:r>
        <w:rPr>
          <w:rFonts w:ascii="黑体" w:hAnsi="黑体" w:eastAsia="黑体"/>
          <w:b/>
          <w:bCs/>
          <w:sz w:val="32"/>
          <w:szCs w:val="32"/>
        </w:rPr>
        <w:t>2021年度部门决算表</w:t>
      </w:r>
    </w:p>
    <w:p w14:paraId="46800FF2">
      <w:pPr>
        <w:spacing w:line="600" w:lineRule="exact"/>
        <w:ind w:firstLine="640" w:firstLineChars="200"/>
        <w:rPr>
          <w:rFonts w:ascii="仿宋" w:hAnsi="仿宋" w:eastAsia="仿宋"/>
          <w:sz w:val="32"/>
          <w:szCs w:val="32"/>
        </w:rPr>
      </w:pPr>
      <w:r>
        <w:rPr>
          <w:rFonts w:hint="eastAsia" w:ascii="仿宋" w:hAnsi="仿宋" w:eastAsia="仿宋"/>
          <w:sz w:val="32"/>
          <w:szCs w:val="32"/>
        </w:rPr>
        <w:t>一、收入支出决算总表</w:t>
      </w:r>
    </w:p>
    <w:p w14:paraId="7459B2DB">
      <w:pPr>
        <w:spacing w:line="600" w:lineRule="exact"/>
        <w:ind w:firstLine="640" w:firstLineChars="200"/>
        <w:rPr>
          <w:rFonts w:ascii="仿宋" w:hAnsi="仿宋" w:eastAsia="仿宋"/>
          <w:sz w:val="32"/>
          <w:szCs w:val="32"/>
        </w:rPr>
      </w:pPr>
      <w:r>
        <w:rPr>
          <w:rFonts w:hint="eastAsia" w:ascii="仿宋" w:hAnsi="仿宋" w:eastAsia="仿宋"/>
          <w:sz w:val="32"/>
          <w:szCs w:val="32"/>
        </w:rPr>
        <w:t>二、收入决算表</w:t>
      </w:r>
    </w:p>
    <w:p w14:paraId="02D97254">
      <w:pPr>
        <w:spacing w:line="600" w:lineRule="exact"/>
        <w:ind w:firstLine="640" w:firstLineChars="200"/>
        <w:rPr>
          <w:rFonts w:ascii="仿宋" w:hAnsi="仿宋" w:eastAsia="仿宋"/>
          <w:sz w:val="32"/>
          <w:szCs w:val="32"/>
        </w:rPr>
      </w:pPr>
      <w:r>
        <w:rPr>
          <w:rFonts w:hint="eastAsia" w:ascii="仿宋" w:hAnsi="仿宋" w:eastAsia="仿宋"/>
          <w:sz w:val="32"/>
          <w:szCs w:val="32"/>
        </w:rPr>
        <w:t>三、支出决算表</w:t>
      </w:r>
    </w:p>
    <w:p w14:paraId="5570D9F1">
      <w:pPr>
        <w:spacing w:line="600" w:lineRule="exact"/>
        <w:ind w:firstLine="640" w:firstLineChars="200"/>
        <w:rPr>
          <w:rFonts w:ascii="仿宋" w:hAnsi="仿宋" w:eastAsia="仿宋"/>
          <w:sz w:val="32"/>
          <w:szCs w:val="32"/>
        </w:rPr>
      </w:pPr>
      <w:r>
        <w:rPr>
          <w:rFonts w:hint="eastAsia" w:ascii="仿宋" w:hAnsi="仿宋" w:eastAsia="仿宋"/>
          <w:sz w:val="32"/>
          <w:szCs w:val="32"/>
        </w:rPr>
        <w:t>四、财政拨款收入支出决算总表</w:t>
      </w:r>
    </w:p>
    <w:p w14:paraId="607048D4">
      <w:pPr>
        <w:spacing w:line="600" w:lineRule="exact"/>
        <w:ind w:firstLine="640" w:firstLineChars="200"/>
        <w:rPr>
          <w:rFonts w:ascii="仿宋" w:hAnsi="仿宋" w:eastAsia="仿宋"/>
          <w:sz w:val="32"/>
          <w:szCs w:val="32"/>
        </w:rPr>
      </w:pPr>
      <w:r>
        <w:rPr>
          <w:rFonts w:hint="eastAsia" w:ascii="仿宋" w:hAnsi="仿宋" w:eastAsia="仿宋"/>
          <w:sz w:val="32"/>
          <w:szCs w:val="32"/>
        </w:rPr>
        <w:t>五、一般公共预算财政拨款支出决算表</w:t>
      </w:r>
    </w:p>
    <w:p w14:paraId="4B1000CF">
      <w:pPr>
        <w:spacing w:line="600" w:lineRule="exact"/>
        <w:ind w:firstLine="640" w:firstLineChars="200"/>
        <w:rPr>
          <w:rFonts w:ascii="仿宋" w:hAnsi="仿宋" w:eastAsia="仿宋"/>
          <w:sz w:val="32"/>
          <w:szCs w:val="32"/>
        </w:rPr>
      </w:pPr>
      <w:r>
        <w:rPr>
          <w:rFonts w:hint="eastAsia" w:ascii="仿宋" w:hAnsi="仿宋" w:eastAsia="仿宋"/>
          <w:sz w:val="32"/>
          <w:szCs w:val="32"/>
        </w:rPr>
        <w:t>六、一般公共预算财政拨款基本支出决算明细表</w:t>
      </w:r>
    </w:p>
    <w:p w14:paraId="03723F97">
      <w:pPr>
        <w:spacing w:line="600" w:lineRule="exact"/>
        <w:ind w:firstLine="640" w:firstLineChars="200"/>
        <w:rPr>
          <w:rFonts w:ascii="仿宋" w:hAnsi="仿宋" w:eastAsia="仿宋"/>
          <w:sz w:val="32"/>
          <w:szCs w:val="32"/>
        </w:rPr>
      </w:pPr>
      <w:r>
        <w:rPr>
          <w:rFonts w:hint="eastAsia" w:ascii="仿宋" w:hAnsi="仿宋" w:eastAsia="仿宋"/>
          <w:sz w:val="32"/>
          <w:szCs w:val="32"/>
        </w:rPr>
        <w:t>七、一般公共预算财政拨款“三公”经费支出决算表</w:t>
      </w:r>
    </w:p>
    <w:p w14:paraId="519426AB">
      <w:pPr>
        <w:spacing w:line="600" w:lineRule="exact"/>
        <w:ind w:firstLine="640" w:firstLineChars="200"/>
        <w:rPr>
          <w:rFonts w:ascii="仿宋" w:hAnsi="仿宋" w:eastAsia="仿宋"/>
          <w:sz w:val="32"/>
          <w:szCs w:val="32"/>
        </w:rPr>
      </w:pPr>
      <w:r>
        <w:rPr>
          <w:rFonts w:hint="eastAsia" w:ascii="仿宋" w:hAnsi="仿宋" w:eastAsia="仿宋"/>
          <w:sz w:val="32"/>
          <w:szCs w:val="32"/>
        </w:rPr>
        <w:t>八、政府性基金预算财政拨款收入支出决算表</w:t>
      </w:r>
    </w:p>
    <w:p w14:paraId="472066A8">
      <w:pPr>
        <w:spacing w:line="600" w:lineRule="exact"/>
        <w:ind w:firstLine="640" w:firstLineChars="200"/>
        <w:rPr>
          <w:rFonts w:ascii="仿宋" w:hAnsi="仿宋" w:eastAsia="仿宋"/>
          <w:sz w:val="32"/>
          <w:szCs w:val="32"/>
        </w:rPr>
      </w:pPr>
      <w:r>
        <w:rPr>
          <w:rFonts w:hint="eastAsia" w:ascii="仿宋" w:hAnsi="仿宋" w:eastAsia="仿宋"/>
          <w:sz w:val="32"/>
          <w:szCs w:val="32"/>
        </w:rPr>
        <w:t>九、国有资本经营预算财政拨款支出决算表</w:t>
      </w:r>
    </w:p>
    <w:p w14:paraId="6CE8A382">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第三部分</w:t>
      </w:r>
      <w:r>
        <w:rPr>
          <w:rFonts w:ascii="黑体" w:hAnsi="黑体" w:eastAsia="黑体"/>
          <w:b/>
          <w:bCs/>
          <w:sz w:val="32"/>
          <w:szCs w:val="32"/>
        </w:rPr>
        <w:t>2021年度部门决算情况说明</w:t>
      </w:r>
    </w:p>
    <w:p w14:paraId="64CA08CD">
      <w:pPr>
        <w:spacing w:line="600" w:lineRule="exact"/>
        <w:ind w:firstLine="640" w:firstLineChars="200"/>
        <w:rPr>
          <w:rFonts w:ascii="仿宋" w:hAnsi="仿宋" w:eastAsia="仿宋"/>
          <w:sz w:val="32"/>
          <w:szCs w:val="32"/>
        </w:rPr>
      </w:pPr>
      <w:r>
        <w:rPr>
          <w:rFonts w:hint="eastAsia" w:ascii="仿宋" w:hAnsi="仿宋" w:eastAsia="仿宋"/>
          <w:sz w:val="32"/>
          <w:szCs w:val="32"/>
        </w:rPr>
        <w:t>一、收入支出决算总体情况说明</w:t>
      </w:r>
    </w:p>
    <w:p w14:paraId="60EC8B9C">
      <w:pPr>
        <w:spacing w:line="600" w:lineRule="exact"/>
        <w:ind w:firstLine="640" w:firstLineChars="200"/>
        <w:rPr>
          <w:rFonts w:ascii="仿宋" w:hAnsi="仿宋" w:eastAsia="仿宋"/>
          <w:sz w:val="32"/>
          <w:szCs w:val="32"/>
        </w:rPr>
      </w:pPr>
      <w:r>
        <w:rPr>
          <w:rFonts w:hint="eastAsia" w:ascii="仿宋" w:hAnsi="仿宋" w:eastAsia="仿宋"/>
          <w:sz w:val="32"/>
          <w:szCs w:val="32"/>
        </w:rPr>
        <w:t>二、收入决算情况说明</w:t>
      </w:r>
    </w:p>
    <w:p w14:paraId="5FB8E111">
      <w:pPr>
        <w:spacing w:line="600" w:lineRule="exact"/>
        <w:ind w:firstLine="640" w:firstLineChars="200"/>
        <w:rPr>
          <w:rFonts w:ascii="仿宋" w:hAnsi="仿宋" w:eastAsia="仿宋"/>
          <w:sz w:val="32"/>
          <w:szCs w:val="32"/>
        </w:rPr>
      </w:pPr>
      <w:r>
        <w:rPr>
          <w:rFonts w:hint="eastAsia" w:ascii="仿宋" w:hAnsi="仿宋" w:eastAsia="仿宋"/>
          <w:sz w:val="32"/>
          <w:szCs w:val="32"/>
        </w:rPr>
        <w:t>三、支出决算情况说明</w:t>
      </w:r>
    </w:p>
    <w:p w14:paraId="45F519E9">
      <w:pPr>
        <w:spacing w:line="600" w:lineRule="exact"/>
        <w:ind w:firstLine="640" w:firstLineChars="200"/>
        <w:rPr>
          <w:rFonts w:ascii="仿宋" w:hAnsi="仿宋" w:eastAsia="仿宋"/>
          <w:sz w:val="32"/>
          <w:szCs w:val="32"/>
        </w:rPr>
      </w:pPr>
      <w:r>
        <w:rPr>
          <w:rFonts w:hint="eastAsia" w:ascii="仿宋" w:hAnsi="仿宋" w:eastAsia="仿宋"/>
          <w:sz w:val="32"/>
          <w:szCs w:val="32"/>
        </w:rPr>
        <w:t>四、财政拨款收入支出决算总体情况说明</w:t>
      </w:r>
    </w:p>
    <w:p w14:paraId="6DEF6039">
      <w:pPr>
        <w:spacing w:line="600" w:lineRule="exact"/>
        <w:ind w:firstLine="640" w:firstLineChars="200"/>
        <w:rPr>
          <w:rFonts w:ascii="仿宋" w:hAnsi="仿宋" w:eastAsia="仿宋"/>
          <w:sz w:val="32"/>
          <w:szCs w:val="32"/>
        </w:rPr>
      </w:pPr>
      <w:r>
        <w:rPr>
          <w:rFonts w:hint="eastAsia" w:ascii="仿宋" w:hAnsi="仿宋" w:eastAsia="仿宋"/>
          <w:sz w:val="32"/>
          <w:szCs w:val="32"/>
        </w:rPr>
        <w:t>五、一般公共预算财政拨款支出决算情况说明</w:t>
      </w:r>
    </w:p>
    <w:p w14:paraId="49E84993">
      <w:pPr>
        <w:spacing w:line="600" w:lineRule="exact"/>
        <w:ind w:firstLine="640" w:firstLineChars="200"/>
        <w:rPr>
          <w:rFonts w:ascii="仿宋" w:hAnsi="仿宋" w:eastAsia="仿宋"/>
          <w:sz w:val="32"/>
          <w:szCs w:val="32"/>
        </w:rPr>
      </w:pPr>
      <w:r>
        <w:rPr>
          <w:rFonts w:hint="eastAsia" w:ascii="仿宋" w:hAnsi="仿宋" w:eastAsia="仿宋"/>
          <w:sz w:val="32"/>
          <w:szCs w:val="32"/>
        </w:rPr>
        <w:t>六、一般公共预算财政拨款基本支出决算情况说明</w:t>
      </w:r>
    </w:p>
    <w:p w14:paraId="7857D60E">
      <w:pPr>
        <w:spacing w:line="600" w:lineRule="exact"/>
        <w:ind w:firstLine="640" w:firstLineChars="200"/>
        <w:rPr>
          <w:rFonts w:ascii="仿宋" w:hAnsi="仿宋" w:eastAsia="仿宋"/>
          <w:sz w:val="32"/>
          <w:szCs w:val="32"/>
        </w:rPr>
      </w:pPr>
      <w:r>
        <w:rPr>
          <w:rFonts w:hint="eastAsia" w:ascii="仿宋" w:hAnsi="仿宋" w:eastAsia="仿宋"/>
          <w:sz w:val="32"/>
          <w:szCs w:val="32"/>
        </w:rPr>
        <w:t>七、一般公共预算财政拨款“三公”经费支出决算情况说明</w:t>
      </w:r>
    </w:p>
    <w:p w14:paraId="76AA900D">
      <w:pPr>
        <w:spacing w:line="600" w:lineRule="exact"/>
        <w:ind w:firstLine="640" w:firstLineChars="200"/>
        <w:rPr>
          <w:rFonts w:ascii="仿宋" w:hAnsi="仿宋" w:eastAsia="仿宋"/>
          <w:sz w:val="32"/>
          <w:szCs w:val="32"/>
        </w:rPr>
      </w:pPr>
      <w:r>
        <w:rPr>
          <w:rFonts w:hint="eastAsia" w:ascii="仿宋" w:hAnsi="仿宋" w:eastAsia="仿宋"/>
          <w:sz w:val="32"/>
          <w:szCs w:val="32"/>
        </w:rPr>
        <w:t>八、政府性基金预算收入支出决算情况</w:t>
      </w:r>
    </w:p>
    <w:p w14:paraId="7DD030BF">
      <w:pPr>
        <w:spacing w:line="600" w:lineRule="exact"/>
        <w:ind w:firstLine="640" w:firstLineChars="200"/>
        <w:rPr>
          <w:rFonts w:ascii="仿宋" w:hAnsi="仿宋" w:eastAsia="仿宋"/>
          <w:sz w:val="32"/>
          <w:szCs w:val="32"/>
        </w:rPr>
      </w:pPr>
      <w:r>
        <w:rPr>
          <w:rFonts w:hint="eastAsia" w:ascii="仿宋" w:hAnsi="仿宋" w:eastAsia="仿宋"/>
          <w:sz w:val="32"/>
          <w:szCs w:val="32"/>
        </w:rPr>
        <w:t>九、国有资本经营预算财政拨款支出决算情况说明</w:t>
      </w:r>
    </w:p>
    <w:p w14:paraId="64216BD2">
      <w:pPr>
        <w:spacing w:line="600" w:lineRule="exact"/>
        <w:ind w:firstLine="640" w:firstLineChars="200"/>
        <w:rPr>
          <w:rFonts w:ascii="仿宋" w:hAnsi="仿宋" w:eastAsia="仿宋"/>
          <w:sz w:val="32"/>
          <w:szCs w:val="32"/>
        </w:rPr>
      </w:pPr>
      <w:r>
        <w:rPr>
          <w:rFonts w:hint="eastAsia" w:ascii="仿宋" w:hAnsi="仿宋" w:eastAsia="仿宋"/>
          <w:sz w:val="32"/>
          <w:szCs w:val="32"/>
        </w:rPr>
        <w:t>十、关于机关运行经费支出说明</w:t>
      </w:r>
    </w:p>
    <w:p w14:paraId="57F235BD">
      <w:pPr>
        <w:spacing w:line="600" w:lineRule="exact"/>
        <w:ind w:firstLine="640" w:firstLineChars="200"/>
        <w:rPr>
          <w:rFonts w:ascii="仿宋" w:hAnsi="仿宋" w:eastAsia="仿宋"/>
          <w:sz w:val="32"/>
          <w:szCs w:val="32"/>
        </w:rPr>
      </w:pPr>
      <w:r>
        <w:rPr>
          <w:rFonts w:hint="eastAsia" w:ascii="仿宋" w:hAnsi="仿宋" w:eastAsia="仿宋"/>
          <w:sz w:val="32"/>
          <w:szCs w:val="32"/>
        </w:rPr>
        <w:t>十一、一般性支出情况说明</w:t>
      </w:r>
    </w:p>
    <w:p w14:paraId="4983B6DF">
      <w:pPr>
        <w:spacing w:line="600" w:lineRule="exact"/>
        <w:ind w:firstLine="640" w:firstLineChars="200"/>
        <w:rPr>
          <w:rFonts w:ascii="仿宋" w:hAnsi="仿宋" w:eastAsia="仿宋"/>
          <w:sz w:val="32"/>
          <w:szCs w:val="32"/>
        </w:rPr>
      </w:pPr>
      <w:r>
        <w:rPr>
          <w:rFonts w:hint="eastAsia" w:ascii="仿宋" w:hAnsi="仿宋" w:eastAsia="仿宋"/>
          <w:sz w:val="32"/>
          <w:szCs w:val="32"/>
        </w:rPr>
        <w:t>十二、关于政府采购支出说明</w:t>
      </w:r>
    </w:p>
    <w:p w14:paraId="4F842155">
      <w:pPr>
        <w:spacing w:line="600" w:lineRule="exact"/>
        <w:ind w:firstLine="640" w:firstLineChars="200"/>
        <w:rPr>
          <w:rFonts w:ascii="仿宋" w:hAnsi="仿宋" w:eastAsia="仿宋"/>
          <w:sz w:val="32"/>
          <w:szCs w:val="32"/>
        </w:rPr>
      </w:pPr>
      <w:r>
        <w:rPr>
          <w:rFonts w:hint="eastAsia" w:ascii="仿宋" w:hAnsi="仿宋" w:eastAsia="仿宋"/>
          <w:sz w:val="32"/>
          <w:szCs w:val="32"/>
        </w:rPr>
        <w:t>十三、关于国有资产占用情况说明</w:t>
      </w:r>
    </w:p>
    <w:p w14:paraId="7A1F89A9">
      <w:pPr>
        <w:spacing w:line="600" w:lineRule="exact"/>
        <w:ind w:firstLine="640" w:firstLineChars="200"/>
        <w:rPr>
          <w:rFonts w:ascii="仿宋" w:hAnsi="仿宋" w:eastAsia="仿宋"/>
          <w:sz w:val="32"/>
          <w:szCs w:val="32"/>
        </w:rPr>
      </w:pPr>
      <w:r>
        <w:rPr>
          <w:rFonts w:hint="eastAsia" w:ascii="仿宋" w:hAnsi="仿宋" w:eastAsia="仿宋"/>
          <w:sz w:val="32"/>
          <w:szCs w:val="32"/>
        </w:rPr>
        <w:t>十四、关于</w:t>
      </w:r>
      <w:r>
        <w:rPr>
          <w:rFonts w:ascii="仿宋" w:hAnsi="仿宋" w:eastAsia="仿宋"/>
          <w:sz w:val="32"/>
          <w:szCs w:val="32"/>
        </w:rPr>
        <w:t>2021年度预算绩效情况的说明</w:t>
      </w:r>
    </w:p>
    <w:p w14:paraId="50B97238">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第四部分名词解释</w:t>
      </w:r>
    </w:p>
    <w:p w14:paraId="02663AD3">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第五部分附件</w:t>
      </w:r>
    </w:p>
    <w:p w14:paraId="40FA2399">
      <w:pPr>
        <w:spacing w:line="600" w:lineRule="exact"/>
        <w:ind w:firstLine="640" w:firstLineChars="200"/>
        <w:rPr>
          <w:rFonts w:ascii="仿宋" w:hAnsi="仿宋" w:eastAsia="仿宋"/>
          <w:sz w:val="32"/>
          <w:szCs w:val="32"/>
        </w:rPr>
      </w:pPr>
    </w:p>
    <w:p w14:paraId="40D7B36A">
      <w:pPr>
        <w:spacing w:line="600" w:lineRule="exact"/>
        <w:jc w:val="center"/>
        <w:rPr>
          <w:rFonts w:ascii="黑体" w:hAnsi="黑体" w:eastAsia="黑体"/>
          <w:b/>
          <w:bCs/>
          <w:sz w:val="44"/>
          <w:szCs w:val="44"/>
        </w:rPr>
      </w:pPr>
      <w:r>
        <w:rPr>
          <w:rFonts w:hint="eastAsia" w:ascii="黑体" w:hAnsi="黑体" w:eastAsia="黑体"/>
          <w:b/>
          <w:bCs/>
          <w:sz w:val="44"/>
          <w:szCs w:val="44"/>
        </w:rPr>
        <w:t>第一部分 怀化市退役军人事务局概况</w:t>
      </w:r>
    </w:p>
    <w:p w14:paraId="3A733C9E">
      <w:pPr>
        <w:spacing w:line="600" w:lineRule="exact"/>
        <w:rPr>
          <w:rFonts w:hint="eastAsia" w:ascii="仿宋" w:hAnsi="仿宋" w:eastAsia="仿宋"/>
          <w:sz w:val="32"/>
          <w:szCs w:val="32"/>
        </w:rPr>
      </w:pPr>
    </w:p>
    <w:p w14:paraId="3243D8B7">
      <w:pPr>
        <w:spacing w:line="600" w:lineRule="exact"/>
        <w:ind w:firstLine="640" w:firstLineChars="200"/>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部门职责</w:t>
      </w:r>
    </w:p>
    <w:p w14:paraId="51F27E21">
      <w:pPr>
        <w:spacing w:line="600" w:lineRule="exact"/>
        <w:ind w:firstLine="640" w:firstLineChars="200"/>
        <w:rPr>
          <w:rFonts w:ascii="仿宋" w:hAnsi="仿宋" w:eastAsia="仿宋"/>
          <w:sz w:val="32"/>
          <w:szCs w:val="32"/>
        </w:rPr>
      </w:pPr>
      <w:r>
        <w:rPr>
          <w:rFonts w:hint="eastAsia" w:ascii="仿宋" w:hAnsi="仿宋" w:eastAsia="仿宋"/>
          <w:sz w:val="32"/>
          <w:szCs w:val="32"/>
        </w:rPr>
        <w:t>（一）</w:t>
      </w:r>
      <w:r>
        <w:rPr>
          <w:rFonts w:ascii="仿宋" w:hAnsi="仿宋" w:eastAsia="仿宋"/>
          <w:sz w:val="32"/>
          <w:szCs w:val="32"/>
        </w:rPr>
        <w:t>贯彻执行党和国家关于退役军人思想政治、管理保障和安置优抚等工作政策法规，拟定全市退役军人发展规划和政策，并组织实施；褒扬彰显退役军人为党、国家和人民牺牲奉献的精神风范和价值导向。</w:t>
      </w:r>
    </w:p>
    <w:p w14:paraId="72F10E20">
      <w:pPr>
        <w:spacing w:line="600" w:lineRule="exact"/>
        <w:ind w:firstLine="640" w:firstLineChars="200"/>
        <w:rPr>
          <w:rFonts w:ascii="仿宋" w:hAnsi="仿宋" w:eastAsia="仿宋"/>
          <w:sz w:val="32"/>
          <w:szCs w:val="32"/>
        </w:rPr>
      </w:pPr>
      <w:r>
        <w:rPr>
          <w:rFonts w:hint="eastAsia" w:ascii="仿宋" w:hAnsi="仿宋" w:eastAsia="仿宋"/>
          <w:sz w:val="32"/>
          <w:szCs w:val="32"/>
        </w:rPr>
        <w:t>（二）负责全市军队转业干部、复</w:t>
      </w:r>
      <w:r>
        <w:rPr>
          <w:rFonts w:hint="eastAsia" w:ascii="仿宋" w:hAnsi="仿宋" w:eastAsia="仿宋"/>
          <w:sz w:val="32"/>
          <w:szCs w:val="32"/>
          <w:lang w:eastAsia="zh-CN"/>
        </w:rPr>
        <w:t>员</w:t>
      </w:r>
      <w:bookmarkStart w:id="0" w:name="_GoBack"/>
      <w:bookmarkEnd w:id="0"/>
      <w:r>
        <w:rPr>
          <w:rFonts w:hint="eastAsia" w:ascii="仿宋" w:hAnsi="仿宋" w:eastAsia="仿宋"/>
          <w:sz w:val="32"/>
          <w:szCs w:val="32"/>
        </w:rPr>
        <w:t>干部、离退休干部、退役士兵和无军籍退休退职职工的移交安置工作和自主择业、就业退役军人服务管理工作。</w:t>
      </w:r>
    </w:p>
    <w:p w14:paraId="4FA7BBA5">
      <w:pPr>
        <w:spacing w:line="600" w:lineRule="exact"/>
        <w:ind w:firstLine="640" w:firstLineChars="200"/>
        <w:rPr>
          <w:rFonts w:ascii="仿宋" w:hAnsi="仿宋" w:eastAsia="仿宋"/>
          <w:sz w:val="32"/>
          <w:szCs w:val="32"/>
        </w:rPr>
      </w:pPr>
      <w:r>
        <w:rPr>
          <w:rFonts w:hint="eastAsia" w:ascii="仿宋" w:hAnsi="仿宋" w:eastAsia="仿宋"/>
          <w:sz w:val="32"/>
          <w:szCs w:val="32"/>
        </w:rPr>
        <w:t>（三）组织指导全市退役军人教育培训工作，协调扶持退役军人和随军随调家属就业创业。</w:t>
      </w:r>
    </w:p>
    <w:p w14:paraId="7144010A">
      <w:pPr>
        <w:spacing w:line="600" w:lineRule="exact"/>
        <w:ind w:firstLine="640" w:firstLineChars="200"/>
        <w:rPr>
          <w:rFonts w:ascii="仿宋" w:hAnsi="仿宋" w:eastAsia="仿宋"/>
          <w:sz w:val="32"/>
          <w:szCs w:val="32"/>
        </w:rPr>
      </w:pPr>
      <w:r>
        <w:rPr>
          <w:rFonts w:hint="eastAsia" w:ascii="仿宋" w:hAnsi="仿宋" w:eastAsia="仿宋"/>
          <w:sz w:val="32"/>
          <w:szCs w:val="32"/>
        </w:rPr>
        <w:t>（四）贯彻落实国家关于退役军人的特殊保障政策，会同有关部门制定相关政策，并组织实施。</w:t>
      </w:r>
    </w:p>
    <w:p w14:paraId="1056ED30">
      <w:pPr>
        <w:spacing w:line="600" w:lineRule="exact"/>
        <w:ind w:firstLine="640" w:firstLineChars="200"/>
        <w:rPr>
          <w:rFonts w:ascii="仿宋" w:hAnsi="仿宋" w:eastAsia="仿宋"/>
          <w:sz w:val="32"/>
          <w:szCs w:val="32"/>
        </w:rPr>
      </w:pPr>
      <w:r>
        <w:rPr>
          <w:rFonts w:hint="eastAsia" w:ascii="仿宋" w:hAnsi="仿宋" w:eastAsia="仿宋"/>
          <w:sz w:val="32"/>
          <w:szCs w:val="32"/>
        </w:rPr>
        <w:t>（五）组织协调落实全市移交地方的离休退休军人、符合条件的其他退役军人和无军籍退休退职职工的住房保障工作，以及退役军人医疗保障、社会保险等待遇保障工作。</w:t>
      </w:r>
    </w:p>
    <w:p w14:paraId="795F50F3">
      <w:pPr>
        <w:spacing w:line="600" w:lineRule="exact"/>
        <w:ind w:firstLine="640" w:firstLineChars="200"/>
        <w:rPr>
          <w:rFonts w:ascii="仿宋" w:hAnsi="仿宋" w:eastAsia="仿宋"/>
          <w:sz w:val="32"/>
          <w:szCs w:val="32"/>
        </w:rPr>
      </w:pPr>
      <w:r>
        <w:rPr>
          <w:rFonts w:hint="eastAsia" w:ascii="仿宋" w:hAnsi="仿宋" w:eastAsia="仿宋"/>
          <w:sz w:val="32"/>
          <w:szCs w:val="32"/>
        </w:rPr>
        <w:t>（六）组织指导全市伤病残退役军人服务管理和抚恤工作，贯彻落实有关退役军人医疗、疗养、养老等机构的规划政策并指导实施。承担全市不适宜继续服役的伤病残军人相关工作。组织指导全市军供服务保障工作。</w:t>
      </w:r>
    </w:p>
    <w:p w14:paraId="69189977">
      <w:pPr>
        <w:spacing w:line="600" w:lineRule="exact"/>
        <w:ind w:firstLine="640" w:firstLineChars="200"/>
        <w:rPr>
          <w:rFonts w:ascii="仿宋" w:hAnsi="仿宋" w:eastAsia="仿宋"/>
          <w:sz w:val="32"/>
          <w:szCs w:val="32"/>
        </w:rPr>
      </w:pPr>
      <w:r>
        <w:rPr>
          <w:rFonts w:hint="eastAsia" w:ascii="仿宋" w:hAnsi="仿宋" w:eastAsia="仿宋"/>
          <w:sz w:val="32"/>
          <w:szCs w:val="32"/>
        </w:rPr>
        <w:t>（七）组织指导全市拥军优属工作。负责全市现役军人、退役军人、军队文职人员和军属优待、抚恤等工作；贯彻执行国家关于国民党抗战老兵等有关人员优待政策并指导实施。</w:t>
      </w:r>
    </w:p>
    <w:p w14:paraId="36003944">
      <w:pPr>
        <w:spacing w:line="600" w:lineRule="exact"/>
        <w:ind w:firstLine="640" w:firstLineChars="200"/>
        <w:rPr>
          <w:rFonts w:ascii="仿宋" w:hAnsi="仿宋" w:eastAsia="仿宋"/>
          <w:sz w:val="32"/>
          <w:szCs w:val="32"/>
        </w:rPr>
      </w:pPr>
      <w:r>
        <w:rPr>
          <w:rFonts w:hint="eastAsia" w:ascii="仿宋" w:hAnsi="仿宋" w:eastAsia="仿宋"/>
          <w:sz w:val="32"/>
          <w:szCs w:val="32"/>
        </w:rPr>
        <w:t>（八）负责全市烈士及退役军人荣誉奖励、军人公墓管理维护、纪念活动等工作，依法承担英雄烈士保护相关工作，审核拟列入全市重点保护单位的烈士纪念建筑物名录，总结表彰和宣扬退役军人、退役军人工作单位和个人先进典型事迹。</w:t>
      </w:r>
    </w:p>
    <w:p w14:paraId="1800E32B">
      <w:pPr>
        <w:spacing w:line="600" w:lineRule="exact"/>
        <w:ind w:firstLine="640" w:firstLineChars="200"/>
        <w:rPr>
          <w:rFonts w:ascii="仿宋" w:hAnsi="仿宋" w:eastAsia="仿宋"/>
          <w:sz w:val="32"/>
          <w:szCs w:val="32"/>
        </w:rPr>
      </w:pPr>
      <w:r>
        <w:rPr>
          <w:rFonts w:hint="eastAsia" w:ascii="仿宋" w:hAnsi="仿宋" w:eastAsia="仿宋"/>
          <w:sz w:val="32"/>
          <w:szCs w:val="32"/>
        </w:rPr>
        <w:t>（九）指导并监督检查关于退役军人相关法律法规和政策措施的落实；开展全市退役军人权益维护和有关人员的帮扶援助工作。</w:t>
      </w:r>
    </w:p>
    <w:p w14:paraId="3269D117">
      <w:pPr>
        <w:spacing w:line="600" w:lineRule="exact"/>
        <w:ind w:firstLine="640" w:firstLineChars="200"/>
        <w:rPr>
          <w:rFonts w:ascii="仿宋" w:hAnsi="仿宋" w:eastAsia="仿宋"/>
          <w:sz w:val="32"/>
          <w:szCs w:val="32"/>
        </w:rPr>
      </w:pPr>
      <w:r>
        <w:rPr>
          <w:rFonts w:hint="eastAsia" w:ascii="仿宋" w:hAnsi="仿宋" w:eastAsia="仿宋"/>
          <w:sz w:val="32"/>
          <w:szCs w:val="32"/>
        </w:rPr>
        <w:t>（十）完成市委、市政府交办的其他任务。</w:t>
      </w:r>
    </w:p>
    <w:p w14:paraId="49B6A024">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十一）职能转变。市退役军人事务局应加强退役军人思想政治工作和服务保障体系建设，建立健全集中统一、职责清晰的退役军人管理保障体制，协调各方力量更好为军人军属服务，维护军人军属合法权益，让军人成为全社会尊崇的职业，褒扬彰显退役军人为党、国家和人民牺牲奉献的精神风范和价值导向，更好的为增强部队战斗力和凝聚力做好组织保障。</w:t>
      </w:r>
    </w:p>
    <w:p w14:paraId="3DDA1755">
      <w:pPr>
        <w:spacing w:line="600" w:lineRule="exact"/>
        <w:ind w:firstLine="640" w:firstLineChars="200"/>
        <w:rPr>
          <w:rFonts w:ascii="黑体" w:hAnsi="黑体" w:eastAsia="黑体"/>
          <w:sz w:val="32"/>
          <w:szCs w:val="32"/>
        </w:rPr>
      </w:pPr>
      <w:r>
        <w:rPr>
          <w:rFonts w:hint="eastAsia" w:ascii="黑体" w:hAnsi="黑体" w:eastAsia="黑体"/>
          <w:sz w:val="32"/>
          <w:szCs w:val="32"/>
        </w:rPr>
        <w:t>二、机构设置及决算单位构成</w:t>
      </w:r>
    </w:p>
    <w:p w14:paraId="2054E66E">
      <w:pPr>
        <w:spacing w:line="600" w:lineRule="exact"/>
        <w:ind w:firstLine="643" w:firstLineChars="200"/>
        <w:rPr>
          <w:rFonts w:ascii="仿宋" w:hAnsi="仿宋" w:eastAsia="仿宋"/>
          <w:sz w:val="32"/>
          <w:szCs w:val="32"/>
        </w:rPr>
      </w:pPr>
      <w:r>
        <w:rPr>
          <w:rFonts w:hint="eastAsia" w:ascii="仿宋" w:hAnsi="仿宋" w:eastAsia="仿宋"/>
          <w:b/>
          <w:bCs/>
          <w:sz w:val="32"/>
          <w:szCs w:val="32"/>
        </w:rPr>
        <w:t>（一）内设机构设置。</w:t>
      </w:r>
      <w:r>
        <w:rPr>
          <w:rFonts w:hint="eastAsia" w:ascii="仿宋" w:hAnsi="仿宋" w:eastAsia="仿宋"/>
          <w:sz w:val="32"/>
          <w:szCs w:val="32"/>
        </w:rPr>
        <w:t>怀化市退役军人事务局是一级预算单位，内设机构包括：办公室、思想政治和权益维护科（政策法规科）、规划财务科、移交安置科、就业创业和军休管理科、拥军优抚科、机关党委（人事科）；下设</w:t>
      </w:r>
      <w:r>
        <w:rPr>
          <w:rFonts w:ascii="仿宋" w:hAnsi="仿宋" w:eastAsia="仿宋"/>
          <w:sz w:val="32"/>
          <w:szCs w:val="32"/>
        </w:rPr>
        <w:t>7个二级单位：怀化市军队离休退休干部休养所、怀化市军队离退干部服务管理中心、怀化市烈士陵园管理所、怀化市光荣院、怀化市军用饮食供应站、怀化市军人接待站、怀化市军队转业干部培训接待中心。</w:t>
      </w:r>
    </w:p>
    <w:p w14:paraId="500BD703">
      <w:pPr>
        <w:spacing w:line="600" w:lineRule="exact"/>
        <w:ind w:firstLine="643" w:firstLineChars="200"/>
        <w:rPr>
          <w:rFonts w:hint="eastAsia" w:ascii="仿宋" w:hAnsi="仿宋" w:eastAsia="仿宋"/>
          <w:sz w:val="32"/>
          <w:szCs w:val="32"/>
        </w:rPr>
      </w:pPr>
      <w:r>
        <w:rPr>
          <w:rFonts w:hint="eastAsia" w:ascii="仿宋" w:hAnsi="仿宋" w:eastAsia="仿宋"/>
          <w:b/>
          <w:bCs/>
          <w:sz w:val="32"/>
          <w:szCs w:val="32"/>
        </w:rPr>
        <w:t>（二）决算单位构成。</w:t>
      </w:r>
      <w:r>
        <w:rPr>
          <w:rFonts w:hint="eastAsia" w:ascii="仿宋" w:hAnsi="仿宋" w:eastAsia="仿宋"/>
          <w:sz w:val="32"/>
          <w:szCs w:val="32"/>
        </w:rPr>
        <w:t>怀化市退役军人事务局</w:t>
      </w:r>
      <w:r>
        <w:rPr>
          <w:rFonts w:ascii="仿宋" w:hAnsi="仿宋" w:eastAsia="仿宋"/>
          <w:sz w:val="32"/>
          <w:szCs w:val="32"/>
        </w:rPr>
        <w:t>2021年部门决算公开单位构成包括：怀化市退役军人事务局本级。</w:t>
      </w:r>
    </w:p>
    <w:p w14:paraId="12EBD8A5">
      <w:pPr>
        <w:keepNext w:val="0"/>
        <w:keepLines w:val="0"/>
        <w:pageBreakBefore w:val="0"/>
        <w:widowControl w:val="0"/>
        <w:kinsoku/>
        <w:wordWrap/>
        <w:overflowPunct/>
        <w:topLinePunct w:val="0"/>
        <w:autoSpaceDE/>
        <w:autoSpaceDN/>
        <w:bidi w:val="0"/>
        <w:adjustRightInd/>
        <w:snapToGrid/>
        <w:spacing w:line="600" w:lineRule="exact"/>
        <w:ind w:firstLine="0" w:firstLineChars="0"/>
        <w:textAlignment w:val="auto"/>
        <w:rPr>
          <w:rFonts w:ascii="仿宋" w:hAnsi="仿宋" w:eastAsia="仿宋"/>
          <w:sz w:val="32"/>
          <w:szCs w:val="32"/>
        </w:rPr>
      </w:pPr>
    </w:p>
    <w:p w14:paraId="64550F12">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黑体" w:hAnsi="黑体" w:eastAsia="黑体"/>
          <w:b w:val="0"/>
          <w:bCs w:val="0"/>
          <w:sz w:val="44"/>
          <w:szCs w:val="44"/>
        </w:rPr>
      </w:pPr>
      <w:r>
        <w:rPr>
          <w:rFonts w:hint="eastAsia" w:ascii="黑体" w:hAnsi="黑体" w:eastAsia="黑体"/>
          <w:b w:val="0"/>
          <w:bCs w:val="0"/>
          <w:sz w:val="44"/>
          <w:szCs w:val="44"/>
        </w:rPr>
        <w:t>第二部分 部门决算表</w:t>
      </w:r>
    </w:p>
    <w:p w14:paraId="7B93FBB0">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ascii="仿宋" w:hAnsi="仿宋" w:eastAsia="仿宋"/>
          <w:sz w:val="32"/>
          <w:szCs w:val="32"/>
        </w:rPr>
      </w:pPr>
      <w:r>
        <w:rPr>
          <w:rFonts w:hint="eastAsia" w:ascii="仿宋" w:hAnsi="仿宋" w:eastAsia="仿宋"/>
          <w:sz w:val="32"/>
          <w:szCs w:val="32"/>
        </w:rPr>
        <w:t>（详情见附件）</w:t>
      </w:r>
    </w:p>
    <w:p w14:paraId="6E1394C4">
      <w:pPr>
        <w:spacing w:line="600" w:lineRule="exact"/>
        <w:ind w:firstLine="640" w:firstLineChars="200"/>
        <w:rPr>
          <w:rFonts w:ascii="仿宋" w:hAnsi="仿宋" w:eastAsia="仿宋"/>
          <w:sz w:val="32"/>
          <w:szCs w:val="32"/>
        </w:rPr>
      </w:pPr>
    </w:p>
    <w:p w14:paraId="209A2DD0">
      <w:pPr>
        <w:spacing w:line="600" w:lineRule="exact"/>
        <w:ind w:firstLine="880" w:firstLineChars="200"/>
        <w:jc w:val="center"/>
        <w:rPr>
          <w:rFonts w:ascii="黑体" w:hAnsi="黑体" w:eastAsia="黑体"/>
          <w:sz w:val="44"/>
          <w:szCs w:val="44"/>
        </w:rPr>
      </w:pPr>
      <w:r>
        <w:rPr>
          <w:rFonts w:hint="eastAsia" w:ascii="黑体" w:hAnsi="黑体" w:eastAsia="黑体"/>
          <w:sz w:val="44"/>
          <w:szCs w:val="44"/>
        </w:rPr>
        <w:t xml:space="preserve">第三部分 </w:t>
      </w:r>
      <w:r>
        <w:rPr>
          <w:rFonts w:ascii="黑体" w:hAnsi="黑体" w:eastAsia="黑体"/>
          <w:sz w:val="44"/>
          <w:szCs w:val="44"/>
        </w:rPr>
        <w:t>2021年度部门决算情况说明</w:t>
      </w:r>
    </w:p>
    <w:p w14:paraId="2E56C6B7">
      <w:pPr>
        <w:spacing w:line="600" w:lineRule="exact"/>
        <w:ind w:firstLine="640" w:firstLineChars="200"/>
        <w:rPr>
          <w:rFonts w:hint="eastAsia" w:ascii="仿宋" w:hAnsi="仿宋" w:eastAsia="仿宋"/>
          <w:sz w:val="32"/>
          <w:szCs w:val="32"/>
        </w:rPr>
      </w:pPr>
      <w:r>
        <w:rPr>
          <w:rFonts w:ascii="仿宋" w:hAnsi="仿宋" w:eastAsia="仿宋"/>
          <w:sz w:val="32"/>
          <w:szCs w:val="32"/>
        </w:rPr>
        <w:t> </w:t>
      </w:r>
    </w:p>
    <w:p w14:paraId="0F386155">
      <w:pPr>
        <w:spacing w:line="600" w:lineRule="exact"/>
        <w:ind w:firstLine="640" w:firstLineChars="200"/>
        <w:rPr>
          <w:rFonts w:ascii="黑体" w:hAnsi="黑体" w:eastAsia="黑体"/>
          <w:sz w:val="32"/>
          <w:szCs w:val="32"/>
        </w:rPr>
      </w:pPr>
      <w:r>
        <w:rPr>
          <w:rFonts w:hint="eastAsia" w:ascii="黑体" w:hAnsi="黑体" w:eastAsia="黑体"/>
          <w:sz w:val="32"/>
          <w:szCs w:val="32"/>
        </w:rPr>
        <w:t>一、收入支出决算总体情况说明</w:t>
      </w:r>
    </w:p>
    <w:p w14:paraId="012DB39F">
      <w:pPr>
        <w:spacing w:line="600" w:lineRule="exact"/>
        <w:ind w:firstLine="640" w:firstLineChars="200"/>
        <w:rPr>
          <w:rFonts w:ascii="仿宋" w:hAnsi="仿宋" w:eastAsia="仿宋"/>
          <w:sz w:val="32"/>
          <w:szCs w:val="32"/>
        </w:rPr>
      </w:pPr>
      <w:r>
        <w:rPr>
          <w:rFonts w:ascii="仿宋" w:hAnsi="仿宋" w:eastAsia="仿宋"/>
          <w:sz w:val="32"/>
          <w:szCs w:val="32"/>
        </w:rPr>
        <w:t>2021年度收、支总计</w:t>
      </w:r>
      <w:r>
        <w:rPr>
          <w:rFonts w:hint="eastAsia" w:ascii="仿宋" w:hAnsi="仿宋" w:eastAsia="仿宋"/>
          <w:sz w:val="32"/>
          <w:szCs w:val="32"/>
        </w:rPr>
        <w:t>各</w:t>
      </w:r>
      <w:r>
        <w:rPr>
          <w:rFonts w:ascii="仿宋" w:hAnsi="仿宋" w:eastAsia="仿宋"/>
          <w:sz w:val="32"/>
          <w:szCs w:val="32"/>
        </w:rPr>
        <w:t>1864.87万元。与上年相比，减少1622.21万元，减少46.52%，主要是因为决算口径变更，收支按支出口径。</w:t>
      </w:r>
    </w:p>
    <w:p w14:paraId="686F96B3">
      <w:pPr>
        <w:spacing w:line="600" w:lineRule="exact"/>
        <w:ind w:firstLine="640" w:firstLineChars="200"/>
        <w:rPr>
          <w:rFonts w:ascii="黑体" w:hAnsi="黑体" w:eastAsia="黑体"/>
          <w:sz w:val="32"/>
          <w:szCs w:val="32"/>
        </w:rPr>
      </w:pPr>
      <w:r>
        <w:rPr>
          <w:rFonts w:hint="eastAsia" w:ascii="黑体" w:hAnsi="黑体" w:eastAsia="黑体"/>
          <w:sz w:val="32"/>
          <w:szCs w:val="32"/>
        </w:rPr>
        <w:t>二、收入决算情况说明</w:t>
      </w:r>
    </w:p>
    <w:p w14:paraId="0F530535">
      <w:pPr>
        <w:spacing w:line="600" w:lineRule="exact"/>
        <w:ind w:firstLine="640" w:firstLineChars="200"/>
        <w:rPr>
          <w:rFonts w:ascii="仿宋" w:hAnsi="仿宋" w:eastAsia="仿宋"/>
          <w:sz w:val="32"/>
          <w:szCs w:val="32"/>
        </w:rPr>
      </w:pPr>
      <w:r>
        <w:rPr>
          <w:rFonts w:ascii="仿宋" w:hAnsi="仿宋" w:eastAsia="仿宋"/>
          <w:sz w:val="32"/>
          <w:szCs w:val="32"/>
        </w:rPr>
        <w:t>2021年度收入合计1302.94万元，其中：财政拨款收入1302.94万元，占100%；上级补助收入0万元，占0%；事业收入0万元，占0%；经营收入0万元，占0%；附属单位上缴收入0万元，占0%；其他收入0万元，占0%。</w:t>
      </w:r>
    </w:p>
    <w:p w14:paraId="0E791F07">
      <w:pPr>
        <w:spacing w:line="600" w:lineRule="exact"/>
        <w:ind w:firstLine="640" w:firstLineChars="200"/>
        <w:rPr>
          <w:rFonts w:ascii="黑体" w:hAnsi="黑体" w:eastAsia="黑体"/>
          <w:sz w:val="32"/>
          <w:szCs w:val="32"/>
        </w:rPr>
      </w:pPr>
      <w:r>
        <w:rPr>
          <w:rFonts w:hint="eastAsia" w:ascii="黑体" w:hAnsi="黑体" w:eastAsia="黑体"/>
          <w:sz w:val="32"/>
          <w:szCs w:val="32"/>
        </w:rPr>
        <w:t>三、支出决算情况说明</w:t>
      </w:r>
    </w:p>
    <w:p w14:paraId="10A357CC">
      <w:pPr>
        <w:spacing w:line="600" w:lineRule="exact"/>
        <w:ind w:firstLine="640" w:firstLineChars="200"/>
        <w:rPr>
          <w:rFonts w:ascii="仿宋" w:hAnsi="仿宋" w:eastAsia="仿宋"/>
          <w:sz w:val="32"/>
          <w:szCs w:val="32"/>
        </w:rPr>
      </w:pPr>
      <w:r>
        <w:rPr>
          <w:rFonts w:ascii="仿宋" w:hAnsi="仿宋" w:eastAsia="仿宋"/>
          <w:sz w:val="32"/>
          <w:szCs w:val="32"/>
        </w:rPr>
        <w:t>2021年度支出合计1864.87万元，其中：基本支出606.20万元，占32.51%；项目支出1258.68万元，占67.49%；上缴上级支出0万元，占0%；经营支出0万元，占0%；对附属单位补助支出0万元，占0%。</w:t>
      </w:r>
    </w:p>
    <w:p w14:paraId="6841C10F">
      <w:pPr>
        <w:spacing w:line="600" w:lineRule="exact"/>
        <w:ind w:firstLine="640" w:firstLineChars="200"/>
        <w:rPr>
          <w:rFonts w:ascii="黑体" w:hAnsi="黑体" w:eastAsia="黑体"/>
          <w:sz w:val="32"/>
          <w:szCs w:val="32"/>
        </w:rPr>
      </w:pPr>
      <w:r>
        <w:rPr>
          <w:rFonts w:hint="eastAsia" w:ascii="黑体" w:hAnsi="黑体" w:eastAsia="黑体"/>
          <w:sz w:val="32"/>
          <w:szCs w:val="32"/>
        </w:rPr>
        <w:t>四、财政拨款收入支出决算总体情况说明</w:t>
      </w:r>
    </w:p>
    <w:p w14:paraId="5A797A08">
      <w:pPr>
        <w:spacing w:line="600" w:lineRule="exact"/>
        <w:ind w:firstLine="640" w:firstLineChars="200"/>
        <w:rPr>
          <w:rFonts w:ascii="仿宋" w:hAnsi="仿宋" w:eastAsia="仿宋"/>
          <w:sz w:val="32"/>
          <w:szCs w:val="32"/>
        </w:rPr>
      </w:pPr>
      <w:r>
        <w:rPr>
          <w:rFonts w:ascii="仿宋" w:hAnsi="仿宋" w:eastAsia="仿宋"/>
          <w:sz w:val="32"/>
          <w:szCs w:val="32"/>
        </w:rPr>
        <w:t>2021年度财政拨款收、支总计</w:t>
      </w:r>
      <w:r>
        <w:rPr>
          <w:rFonts w:hint="eastAsia" w:ascii="仿宋" w:hAnsi="仿宋" w:eastAsia="仿宋"/>
          <w:sz w:val="32"/>
          <w:szCs w:val="32"/>
        </w:rPr>
        <w:t>各</w:t>
      </w:r>
      <w:r>
        <w:rPr>
          <w:rFonts w:ascii="仿宋" w:hAnsi="仿宋" w:eastAsia="仿宋"/>
          <w:sz w:val="32"/>
          <w:szCs w:val="32"/>
        </w:rPr>
        <w:t>1864.87万元，与上年相比，减少1622.21万元,减少46.52%，主要是因为决算口径变更，收支按支出口径。</w:t>
      </w:r>
    </w:p>
    <w:p w14:paraId="3E98268F">
      <w:pPr>
        <w:spacing w:line="600" w:lineRule="exact"/>
        <w:ind w:firstLine="640" w:firstLineChars="200"/>
        <w:rPr>
          <w:rFonts w:ascii="黑体" w:hAnsi="黑体" w:eastAsia="黑体"/>
          <w:sz w:val="32"/>
          <w:szCs w:val="32"/>
        </w:rPr>
      </w:pPr>
      <w:r>
        <w:rPr>
          <w:rFonts w:hint="eastAsia" w:ascii="黑体" w:hAnsi="黑体" w:eastAsia="黑体"/>
          <w:sz w:val="32"/>
          <w:szCs w:val="32"/>
        </w:rPr>
        <w:t>五、一般公共预算财政拨款支出决算情况说明</w:t>
      </w:r>
    </w:p>
    <w:p w14:paraId="6C2D630D">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（一）财政拨款支出决算总体情况</w:t>
      </w:r>
    </w:p>
    <w:p w14:paraId="47017EC0">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2021年度财政拨款支出1864.87万元，占本年支出合计的100%，与上年相比，财政拨款支出减少551.96万元，减少22.84%，主要是因为部分一次性工作项目已完成，年初不再安排预算核支出。</w:t>
      </w:r>
    </w:p>
    <w:p w14:paraId="0A7B29FC">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（二）财政拨款支出决算结构情况</w:t>
      </w:r>
    </w:p>
    <w:p w14:paraId="5349667E">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2021年度财政拨款支出1864.87万元，主要用于以下方面：一般公共服务（类）支出2.40万元，占0.13%；社会保障和就业（类）支出1847.41万元，占99.06%；卫生健康（类）支出15.07万元，占0.81%。</w:t>
      </w:r>
    </w:p>
    <w:p w14:paraId="7E5EDA6D">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（三）财政拨款支出决算具体情况</w:t>
      </w:r>
    </w:p>
    <w:p w14:paraId="7FB986EC">
      <w:pPr>
        <w:spacing w:line="600" w:lineRule="exact"/>
        <w:ind w:firstLine="640" w:firstLineChars="200"/>
        <w:rPr>
          <w:rFonts w:ascii="仿宋" w:hAnsi="仿宋" w:eastAsia="仿宋"/>
          <w:sz w:val="32"/>
          <w:szCs w:val="32"/>
        </w:rPr>
      </w:pPr>
      <w:r>
        <w:rPr>
          <w:rFonts w:ascii="仿宋" w:hAnsi="仿宋" w:eastAsia="仿宋"/>
          <w:sz w:val="32"/>
          <w:szCs w:val="32"/>
        </w:rPr>
        <w:t>2021年度财政拨款支出年初预算数为1344.29万元，支出决算数为1864.87万元，完成年初预算的138.73%，其中：</w:t>
      </w:r>
    </w:p>
    <w:p w14:paraId="78C3C131">
      <w:pPr>
        <w:spacing w:line="600" w:lineRule="exact"/>
        <w:ind w:firstLine="643" w:firstLineChars="200"/>
        <w:rPr>
          <w:rFonts w:ascii="仿宋" w:hAnsi="仿宋" w:eastAsia="仿宋"/>
          <w:b/>
          <w:bCs/>
          <w:sz w:val="32"/>
          <w:szCs w:val="32"/>
        </w:rPr>
      </w:pPr>
      <w:r>
        <w:rPr>
          <w:rFonts w:ascii="仿宋" w:hAnsi="仿宋" w:eastAsia="仿宋"/>
          <w:b/>
          <w:bCs/>
          <w:sz w:val="32"/>
          <w:szCs w:val="32"/>
        </w:rPr>
        <w:t>1、一般公共服务支出（类）组织事务（款）其他组织事务支出（项）。</w:t>
      </w:r>
    </w:p>
    <w:p w14:paraId="5AE8C1B9">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0万元，支出决算为2.4万元，决算数大于年初预算数的主要原因是：为人才引进支出，年初预算安排不在本单位。</w:t>
      </w:r>
    </w:p>
    <w:p w14:paraId="732060EE">
      <w:pPr>
        <w:spacing w:line="600" w:lineRule="exact"/>
        <w:ind w:firstLine="643" w:firstLineChars="200"/>
        <w:rPr>
          <w:rFonts w:ascii="仿宋" w:hAnsi="仿宋" w:eastAsia="仿宋"/>
          <w:b/>
          <w:bCs/>
          <w:sz w:val="32"/>
          <w:szCs w:val="32"/>
        </w:rPr>
      </w:pPr>
      <w:r>
        <w:rPr>
          <w:rFonts w:ascii="仿宋" w:hAnsi="仿宋" w:eastAsia="仿宋"/>
          <w:b/>
          <w:bCs/>
          <w:sz w:val="32"/>
          <w:szCs w:val="32"/>
        </w:rPr>
        <w:t>2、一般公共服务支出（类）群众团体事务（款）工会事务（项）。</w:t>
      </w:r>
    </w:p>
    <w:p w14:paraId="75E089ED">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3.28万元，支出决算为0万元，决算数小于年初预算数的主要原因是：市财政调整了预算，实际下达在行政运行。</w:t>
      </w:r>
    </w:p>
    <w:p w14:paraId="4B0113BE">
      <w:pPr>
        <w:spacing w:line="600" w:lineRule="exact"/>
        <w:ind w:firstLine="643" w:firstLineChars="200"/>
        <w:rPr>
          <w:rFonts w:ascii="仿宋" w:hAnsi="仿宋" w:eastAsia="仿宋"/>
          <w:b/>
          <w:bCs/>
          <w:sz w:val="32"/>
          <w:szCs w:val="32"/>
        </w:rPr>
      </w:pPr>
      <w:r>
        <w:rPr>
          <w:rFonts w:ascii="仿宋" w:hAnsi="仿宋" w:eastAsia="仿宋"/>
          <w:b/>
          <w:bCs/>
          <w:sz w:val="32"/>
          <w:szCs w:val="32"/>
        </w:rPr>
        <w:t>3、社会保障和就业支出（类）行政事业单位养老支出（款）机关事业单位基本养老保险缴费支出（项）。</w:t>
      </w:r>
    </w:p>
    <w:p w14:paraId="73677B64">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0万元，支出决算为30.24万元，决算数大于年初预算数的主要原因是：行政事业单位养老保险缴费额度的下拨需年初上报基数，经财政及人社部门审批后，年中拨付相关经费。</w:t>
      </w:r>
    </w:p>
    <w:p w14:paraId="01BA3380">
      <w:pPr>
        <w:spacing w:line="600" w:lineRule="exact"/>
        <w:ind w:firstLine="643" w:firstLineChars="200"/>
        <w:rPr>
          <w:rFonts w:ascii="仿宋" w:hAnsi="仿宋" w:eastAsia="仿宋"/>
          <w:b/>
          <w:bCs/>
          <w:sz w:val="32"/>
          <w:szCs w:val="32"/>
        </w:rPr>
      </w:pPr>
      <w:r>
        <w:rPr>
          <w:rFonts w:ascii="仿宋" w:hAnsi="仿宋" w:eastAsia="仿宋"/>
          <w:b/>
          <w:bCs/>
          <w:sz w:val="32"/>
          <w:szCs w:val="32"/>
        </w:rPr>
        <w:t>4、社会保障和就业支出（类）行政事业单位养老支出（款）其他行政事业单位养老支出（项）。</w:t>
      </w:r>
    </w:p>
    <w:p w14:paraId="33C0EB04">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0万元，支出决算为102.54万元，决算数大于年初预算数的主要原因是：行政事业单位养老保险缴费额度的下拨需年初上报基数，经财政及人社部门审批后，年中拨付相关经费。</w:t>
      </w:r>
    </w:p>
    <w:p w14:paraId="2A2AFB47">
      <w:pPr>
        <w:spacing w:line="600" w:lineRule="exact"/>
        <w:ind w:firstLine="643" w:firstLineChars="200"/>
        <w:rPr>
          <w:rFonts w:ascii="仿宋" w:hAnsi="仿宋" w:eastAsia="仿宋"/>
          <w:b/>
          <w:bCs/>
          <w:sz w:val="32"/>
          <w:szCs w:val="32"/>
        </w:rPr>
      </w:pPr>
      <w:r>
        <w:rPr>
          <w:rFonts w:ascii="仿宋" w:hAnsi="仿宋" w:eastAsia="仿宋"/>
          <w:b/>
          <w:bCs/>
          <w:sz w:val="32"/>
          <w:szCs w:val="32"/>
        </w:rPr>
        <w:t>5、社会保障和就业支出（类）抚恤（款）其他优抚支出（项）。</w:t>
      </w:r>
    </w:p>
    <w:p w14:paraId="64A5423D">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0万元，支出决算为235.86万元，决算数大于年初预算数的主要原因是：上年结转的中央、省级下拨资金，未列入市本级年初预算。</w:t>
      </w:r>
    </w:p>
    <w:p w14:paraId="59090137">
      <w:pPr>
        <w:spacing w:line="600" w:lineRule="exact"/>
        <w:ind w:firstLine="643" w:firstLineChars="200"/>
        <w:rPr>
          <w:rFonts w:ascii="仿宋" w:hAnsi="仿宋" w:eastAsia="仿宋"/>
          <w:b/>
          <w:bCs/>
          <w:sz w:val="32"/>
          <w:szCs w:val="32"/>
        </w:rPr>
      </w:pPr>
      <w:r>
        <w:rPr>
          <w:rFonts w:ascii="仿宋" w:hAnsi="仿宋" w:eastAsia="仿宋"/>
          <w:b/>
          <w:bCs/>
          <w:sz w:val="32"/>
          <w:szCs w:val="32"/>
        </w:rPr>
        <w:t>6、社会保障和就业支出（类）退役安置（款）。</w:t>
      </w:r>
    </w:p>
    <w:p w14:paraId="5C04296C">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8.07万元，支出决算为312.77万元，完成年初预算的3875.71%，决算数大于年初预算数的主要原因是：上年结转的中央、省级下拨资金和当年下拨的中央、省级资金未列入市本级年初预算。</w:t>
      </w:r>
    </w:p>
    <w:p w14:paraId="1F933358">
      <w:pPr>
        <w:spacing w:line="600" w:lineRule="exact"/>
        <w:ind w:firstLine="643" w:firstLineChars="200"/>
        <w:rPr>
          <w:rFonts w:ascii="仿宋" w:hAnsi="仿宋" w:eastAsia="仿宋"/>
          <w:b/>
          <w:bCs/>
          <w:sz w:val="32"/>
          <w:szCs w:val="32"/>
        </w:rPr>
      </w:pPr>
      <w:r>
        <w:rPr>
          <w:rFonts w:ascii="仿宋" w:hAnsi="仿宋" w:eastAsia="仿宋"/>
          <w:b/>
          <w:bCs/>
          <w:sz w:val="32"/>
          <w:szCs w:val="32"/>
        </w:rPr>
        <w:t>7、社会保障和就业支出（类）其他生活救助（款）其他城市生活救助（项）。</w:t>
      </w:r>
    </w:p>
    <w:p w14:paraId="3545FC99">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0万元，支出决算为261.32万元，决算数大于年初预算数的主要原因是：上年结转的中央、省级下拨资金，未列入市本级年初预算。</w:t>
      </w:r>
    </w:p>
    <w:p w14:paraId="7C8ADE7B">
      <w:pPr>
        <w:spacing w:line="600" w:lineRule="exact"/>
        <w:ind w:firstLine="643" w:firstLineChars="200"/>
        <w:rPr>
          <w:rFonts w:ascii="仿宋" w:hAnsi="仿宋" w:eastAsia="仿宋"/>
          <w:b/>
          <w:bCs/>
          <w:sz w:val="32"/>
          <w:szCs w:val="32"/>
        </w:rPr>
      </w:pPr>
      <w:r>
        <w:rPr>
          <w:rFonts w:ascii="仿宋" w:hAnsi="仿宋" w:eastAsia="仿宋"/>
          <w:b/>
          <w:bCs/>
          <w:sz w:val="32"/>
          <w:szCs w:val="32"/>
        </w:rPr>
        <w:t>8、社会保障和就业支出（类）退役军人管理事务（款）。</w:t>
      </w:r>
    </w:p>
    <w:p w14:paraId="449EAD36">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1332.94万元，支出决算为904.67万元，完成年初预算的67.87%，决算数小于年初预算数的主要原因是：缩减工作经费开支，部分项目已完成，项目支出减少。</w:t>
      </w:r>
    </w:p>
    <w:p w14:paraId="54B2870A">
      <w:pPr>
        <w:spacing w:line="600" w:lineRule="exact"/>
        <w:ind w:firstLine="643" w:firstLineChars="200"/>
        <w:rPr>
          <w:rFonts w:ascii="仿宋" w:hAnsi="仿宋" w:eastAsia="仿宋"/>
          <w:b/>
          <w:bCs/>
          <w:sz w:val="32"/>
          <w:szCs w:val="32"/>
        </w:rPr>
      </w:pPr>
      <w:r>
        <w:rPr>
          <w:rFonts w:ascii="仿宋" w:hAnsi="仿宋" w:eastAsia="仿宋"/>
          <w:b/>
          <w:bCs/>
          <w:sz w:val="32"/>
          <w:szCs w:val="32"/>
        </w:rPr>
        <w:t>9、卫生健康支出（类）行政事业单位医疗（款）行政单位医疗（项）。</w:t>
      </w:r>
    </w:p>
    <w:p w14:paraId="06CA2666">
      <w:pPr>
        <w:spacing w:line="600" w:lineRule="exact"/>
        <w:ind w:firstLine="640" w:firstLineChars="200"/>
        <w:rPr>
          <w:rFonts w:ascii="仿宋" w:hAnsi="仿宋" w:eastAsia="仿宋"/>
          <w:b/>
          <w:bCs/>
          <w:sz w:val="32"/>
          <w:szCs w:val="32"/>
        </w:rPr>
      </w:pPr>
      <w:r>
        <w:rPr>
          <w:rFonts w:hint="eastAsia" w:ascii="仿宋" w:hAnsi="仿宋" w:eastAsia="仿宋"/>
          <w:sz w:val="32"/>
          <w:szCs w:val="32"/>
        </w:rPr>
        <w:t>年初预算为</w:t>
      </w:r>
      <w:r>
        <w:rPr>
          <w:rFonts w:ascii="仿宋" w:hAnsi="仿宋" w:eastAsia="仿宋"/>
          <w:sz w:val="32"/>
          <w:szCs w:val="32"/>
        </w:rPr>
        <w:t>0万元，支出决算为14.39万元，决算数大于年初预算数的主要原因是：行政单位医疗保险缴费额度的下拨需年初上报基数，经财政及人社部门审批后，年中拨付</w:t>
      </w:r>
      <w:r>
        <w:rPr>
          <w:rFonts w:ascii="仿宋" w:hAnsi="仿宋" w:eastAsia="仿宋"/>
          <w:b/>
          <w:bCs/>
          <w:sz w:val="32"/>
          <w:szCs w:val="32"/>
        </w:rPr>
        <w:t>相关经费。</w:t>
      </w:r>
    </w:p>
    <w:p w14:paraId="0C29DB85">
      <w:pPr>
        <w:spacing w:line="600" w:lineRule="exact"/>
        <w:ind w:firstLine="643" w:firstLineChars="200"/>
        <w:rPr>
          <w:rFonts w:ascii="仿宋" w:hAnsi="仿宋" w:eastAsia="仿宋"/>
          <w:b/>
          <w:bCs/>
          <w:sz w:val="32"/>
          <w:szCs w:val="32"/>
        </w:rPr>
      </w:pPr>
      <w:r>
        <w:rPr>
          <w:rFonts w:ascii="仿宋" w:hAnsi="仿宋" w:eastAsia="仿宋"/>
          <w:b/>
          <w:bCs/>
          <w:sz w:val="32"/>
          <w:szCs w:val="32"/>
        </w:rPr>
        <w:t>10、卫生健康支出（类）行政事业单位医疗（款）其他行政事业单位医疗支出（项）。</w:t>
      </w:r>
    </w:p>
    <w:p w14:paraId="1F6658A3">
      <w:pPr>
        <w:spacing w:line="600" w:lineRule="exact"/>
        <w:ind w:firstLine="640" w:firstLineChars="200"/>
        <w:rPr>
          <w:rFonts w:ascii="仿宋" w:hAnsi="仿宋" w:eastAsia="仿宋"/>
          <w:sz w:val="32"/>
          <w:szCs w:val="32"/>
        </w:rPr>
      </w:pPr>
      <w:r>
        <w:rPr>
          <w:rFonts w:hint="eastAsia" w:ascii="仿宋" w:hAnsi="仿宋" w:eastAsia="仿宋"/>
          <w:sz w:val="32"/>
          <w:szCs w:val="32"/>
        </w:rPr>
        <w:t>年初预算为</w:t>
      </w:r>
      <w:r>
        <w:rPr>
          <w:rFonts w:ascii="仿宋" w:hAnsi="仿宋" w:eastAsia="仿宋"/>
          <w:sz w:val="32"/>
          <w:szCs w:val="32"/>
        </w:rPr>
        <w:t>0万元，支出决算为0.68万元，决算数大于年初预算数的主要原因是：其他行政事业单位医疗保险缴费额度的下拨需年初上报基数，经财政及人社部门审批后，年中拨付相关经费。</w:t>
      </w:r>
    </w:p>
    <w:p w14:paraId="7D63EF1B">
      <w:pPr>
        <w:spacing w:line="600" w:lineRule="exact"/>
        <w:ind w:firstLine="640" w:firstLineChars="200"/>
        <w:rPr>
          <w:rFonts w:ascii="黑体" w:hAnsi="黑体" w:eastAsia="黑体"/>
          <w:sz w:val="32"/>
          <w:szCs w:val="32"/>
        </w:rPr>
      </w:pPr>
      <w:r>
        <w:rPr>
          <w:rFonts w:hint="eastAsia" w:ascii="黑体" w:hAnsi="黑体" w:eastAsia="黑体"/>
          <w:sz w:val="32"/>
          <w:szCs w:val="32"/>
        </w:rPr>
        <w:t>六、一般公共预算财政拨款基本支出决算情况说明</w:t>
      </w:r>
    </w:p>
    <w:p w14:paraId="21587FC1">
      <w:pPr>
        <w:spacing w:line="600" w:lineRule="exact"/>
        <w:ind w:firstLine="640" w:firstLineChars="200"/>
        <w:rPr>
          <w:rFonts w:ascii="仿宋" w:hAnsi="仿宋" w:eastAsia="仿宋"/>
          <w:sz w:val="32"/>
          <w:szCs w:val="32"/>
        </w:rPr>
      </w:pPr>
      <w:r>
        <w:rPr>
          <w:rFonts w:ascii="仿宋" w:hAnsi="仿宋" w:eastAsia="仿宋"/>
          <w:sz w:val="32"/>
          <w:szCs w:val="32"/>
        </w:rPr>
        <w:t>2021年度财政拨款基本支出606.20万元，其中：人员经费307.82万元，占基本支出的50.78%,主要包括基本工资、津贴补贴、奖金、机关事业单位基本养老保险缴费、职业年金缴费、职工基本医疗保险缴费、其他社会保障缴费、住房公积金、生活补助、其他对个人和家庭的补助；公用经费298.37万元，占基本支出的49.22%，主要包括办公费、印刷费、水费、电费、邮电费、物业管理费、差旅费、维修（护）费、会议费、培训费、公务接待费、劳务费、工会经费、福利费、公务用车运行维护费、其他交通费用、其他商品和服</w:t>
      </w:r>
      <w:r>
        <w:rPr>
          <w:rFonts w:hint="eastAsia" w:ascii="仿宋" w:hAnsi="仿宋" w:eastAsia="仿宋"/>
          <w:sz w:val="32"/>
          <w:szCs w:val="32"/>
        </w:rPr>
        <w:t>务支出、办公设备购置、公务用车购置、无形资产购置。</w:t>
      </w:r>
    </w:p>
    <w:p w14:paraId="137FF33E">
      <w:pPr>
        <w:spacing w:line="600" w:lineRule="exact"/>
        <w:ind w:firstLine="640" w:firstLineChars="200"/>
        <w:rPr>
          <w:rFonts w:ascii="黑体" w:hAnsi="黑体" w:eastAsia="黑体"/>
          <w:sz w:val="32"/>
          <w:szCs w:val="32"/>
        </w:rPr>
      </w:pPr>
      <w:r>
        <w:rPr>
          <w:rFonts w:hint="eastAsia" w:ascii="黑体" w:hAnsi="黑体" w:eastAsia="黑体"/>
          <w:sz w:val="32"/>
          <w:szCs w:val="32"/>
        </w:rPr>
        <w:t>七、一般公共预算财政拨款“三公”经费支出决算情况说明</w:t>
      </w:r>
    </w:p>
    <w:p w14:paraId="694C8FB3">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（一）“三公”经费财政拨款支出决算总体情况说明</w:t>
      </w:r>
    </w:p>
    <w:p w14:paraId="2E1C9390">
      <w:pPr>
        <w:spacing w:line="600" w:lineRule="exact"/>
        <w:ind w:firstLine="640" w:firstLineChars="200"/>
        <w:rPr>
          <w:rFonts w:ascii="仿宋" w:hAnsi="仿宋" w:eastAsia="仿宋"/>
          <w:sz w:val="32"/>
          <w:szCs w:val="32"/>
        </w:rPr>
      </w:pPr>
      <w:r>
        <w:rPr>
          <w:rFonts w:ascii="仿宋" w:hAnsi="仿宋" w:eastAsia="仿宋"/>
          <w:sz w:val="32"/>
          <w:szCs w:val="32"/>
        </w:rPr>
        <w:t>2021年度“三公”经费财政拨款支出预算为31.14万元，支出决算为26.04万元，完成预算的83.62%，其中：</w:t>
      </w:r>
    </w:p>
    <w:p w14:paraId="311755DD">
      <w:pPr>
        <w:spacing w:line="600" w:lineRule="exact"/>
        <w:ind w:firstLine="640" w:firstLineChars="200"/>
        <w:rPr>
          <w:rFonts w:ascii="仿宋" w:hAnsi="仿宋" w:eastAsia="仿宋"/>
          <w:sz w:val="32"/>
          <w:szCs w:val="32"/>
        </w:rPr>
      </w:pP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、因公出国（境）费支出预算为</w:t>
      </w:r>
      <w:r>
        <w:rPr>
          <w:rFonts w:ascii="仿宋" w:hAnsi="仿宋" w:eastAsia="仿宋"/>
          <w:color w:val="000000" w:themeColor="text1"/>
          <w:sz w:val="32"/>
          <w:szCs w:val="32"/>
          <w14:textFill>
            <w14:solidFill>
              <w14:schemeClr w14:val="tx1"/>
            </w14:solidFill>
          </w14:textFill>
        </w:rPr>
        <w:t>0.00万元，支出决算为0.00万元</w:t>
      </w:r>
      <w:r>
        <w:rPr>
          <w:rFonts w:hint="eastAsia" w:ascii="仿宋" w:hAnsi="仿宋" w:eastAsia="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决算数与年初预算数持平，主要原因按预算执行，与上年数持平，主要原因本年度未安排因公出国（境）</w:t>
      </w:r>
      <w:r>
        <w:rPr>
          <w:rFonts w:ascii="仿宋" w:hAnsi="仿宋" w:eastAsia="仿宋"/>
          <w:sz w:val="32"/>
          <w:szCs w:val="32"/>
        </w:rPr>
        <w:t>。</w:t>
      </w:r>
    </w:p>
    <w:p w14:paraId="0432F17D">
      <w:pPr>
        <w:spacing w:line="600" w:lineRule="exact"/>
        <w:ind w:firstLine="640" w:firstLineChars="200"/>
        <w:rPr>
          <w:rFonts w:ascii="仿宋" w:hAnsi="仿宋" w:eastAsia="仿宋"/>
          <w:sz w:val="32"/>
          <w:szCs w:val="32"/>
        </w:rPr>
      </w:pPr>
      <w:r>
        <w:rPr>
          <w:rFonts w:hint="eastAsia" w:ascii="仿宋" w:hAnsi="仿宋" w:eastAsia="仿宋"/>
          <w:sz w:val="32"/>
          <w:szCs w:val="32"/>
        </w:rPr>
        <w:t>2、公务接待费支出预算为</w:t>
      </w:r>
      <w:r>
        <w:rPr>
          <w:rFonts w:ascii="仿宋" w:hAnsi="仿宋" w:eastAsia="仿宋"/>
          <w:sz w:val="32"/>
          <w:szCs w:val="32"/>
        </w:rPr>
        <w:t>6.3万元，支出决算为1.52万元，完成预算的24.13%，决算数小于预算数的主要原因是厉行节约、严控开支，与上年相比减少0.86万元，减少36.13%,减少的主要原因是与去年相比，退役军人事务工作逐步走上正轨，业务交流常态化，比刚成立时减少。</w:t>
      </w:r>
    </w:p>
    <w:p w14:paraId="08D90760">
      <w:pPr>
        <w:spacing w:line="600" w:lineRule="exact"/>
        <w:ind w:firstLine="640" w:firstLineChars="200"/>
        <w:rPr>
          <w:rFonts w:ascii="仿宋" w:hAnsi="仿宋" w:eastAsia="仿宋"/>
          <w:sz w:val="32"/>
          <w:szCs w:val="32"/>
        </w:rPr>
      </w:pPr>
      <w:r>
        <w:rPr>
          <w:rFonts w:ascii="仿宋" w:hAnsi="仿宋" w:eastAsia="仿宋"/>
          <w:sz w:val="32"/>
          <w:szCs w:val="32"/>
        </w:rPr>
        <w:t>3</w:t>
      </w:r>
      <w:r>
        <w:rPr>
          <w:rFonts w:hint="eastAsia" w:ascii="仿宋" w:hAnsi="仿宋" w:eastAsia="仿宋"/>
          <w:sz w:val="32"/>
          <w:szCs w:val="32"/>
        </w:rPr>
        <w:t>、公务用车购置费支出预算为</w:t>
      </w:r>
      <w:r>
        <w:rPr>
          <w:rFonts w:ascii="仿宋" w:hAnsi="仿宋" w:eastAsia="仿宋"/>
          <w:sz w:val="32"/>
          <w:szCs w:val="32"/>
        </w:rPr>
        <w:t>19.80万元，支出决算为19.57万元，完成预算的98.84%，决算数小于预算数的主要原因是严格按照预算购置公车，与上年相比增加19.57万元，增长的主要原因是上年未购置公车。</w:t>
      </w:r>
    </w:p>
    <w:p w14:paraId="246C7C5E">
      <w:pPr>
        <w:spacing w:line="600" w:lineRule="exact"/>
        <w:ind w:firstLine="640" w:firstLineChars="200"/>
        <w:rPr>
          <w:rFonts w:ascii="仿宋" w:hAnsi="仿宋" w:eastAsia="仿宋"/>
          <w:sz w:val="32"/>
          <w:szCs w:val="32"/>
        </w:rPr>
      </w:pPr>
      <w:r>
        <w:rPr>
          <w:rFonts w:ascii="仿宋" w:hAnsi="仿宋" w:eastAsia="仿宋"/>
          <w:sz w:val="32"/>
          <w:szCs w:val="32"/>
        </w:rPr>
        <w:t>4</w:t>
      </w:r>
      <w:r>
        <w:rPr>
          <w:rFonts w:hint="eastAsia" w:ascii="仿宋" w:hAnsi="仿宋" w:eastAsia="仿宋"/>
          <w:sz w:val="32"/>
          <w:szCs w:val="32"/>
        </w:rPr>
        <w:t>、公务用车运行维护费支出预算为</w:t>
      </w:r>
      <w:r>
        <w:rPr>
          <w:rFonts w:ascii="仿宋" w:hAnsi="仿宋" w:eastAsia="仿宋"/>
          <w:sz w:val="32"/>
          <w:szCs w:val="32"/>
        </w:rPr>
        <w:t>5.04万元，支出决算为4.95万元，完成预算的98.21%，决算数小于预算数的主要原因是厉行节约、严控开支，与上年相比增加4.95万元,增长的主要原因是今年新购公车，去年无此项开支。</w:t>
      </w:r>
    </w:p>
    <w:p w14:paraId="248C48F9">
      <w:pPr>
        <w:spacing w:line="600" w:lineRule="exact"/>
        <w:ind w:firstLine="643" w:firstLineChars="200"/>
        <w:rPr>
          <w:rFonts w:ascii="仿宋" w:hAnsi="仿宋" w:eastAsia="仿宋"/>
          <w:b/>
          <w:bCs/>
          <w:sz w:val="32"/>
          <w:szCs w:val="32"/>
        </w:rPr>
      </w:pPr>
      <w:r>
        <w:rPr>
          <w:rFonts w:hint="eastAsia" w:ascii="仿宋" w:hAnsi="仿宋" w:eastAsia="仿宋"/>
          <w:b/>
          <w:bCs/>
          <w:sz w:val="32"/>
          <w:szCs w:val="32"/>
        </w:rPr>
        <w:t>（二）“三公”经费财政拨款支出决算具体情况说明</w:t>
      </w:r>
    </w:p>
    <w:p w14:paraId="060A0A12">
      <w:pPr>
        <w:spacing w:line="600" w:lineRule="exact"/>
        <w:ind w:firstLine="640" w:firstLineChars="200"/>
        <w:rPr>
          <w:rFonts w:ascii="仿宋" w:hAnsi="仿宋" w:eastAsia="仿宋"/>
          <w:sz w:val="32"/>
          <w:szCs w:val="32"/>
        </w:rPr>
      </w:pPr>
      <w:r>
        <w:rPr>
          <w:rFonts w:ascii="仿宋" w:hAnsi="仿宋" w:eastAsia="仿宋"/>
          <w:sz w:val="32"/>
          <w:szCs w:val="32"/>
        </w:rPr>
        <w:t>2021年度“三公”经费财政拨款支出决算中，公务接待费支出决算1.52万元，占5.84%,因公出国（境）费支出决算0万元，占0%,公务用车购置费及运行维护费支出决算24.52万元，占94.16%。其中：</w:t>
      </w:r>
    </w:p>
    <w:p w14:paraId="6BB9141C">
      <w:pPr>
        <w:spacing w:line="600" w:lineRule="exact"/>
        <w:ind w:firstLine="640" w:firstLineChars="200"/>
        <w:rPr>
          <w:rFonts w:ascii="仿宋" w:hAnsi="仿宋" w:eastAsia="仿宋"/>
          <w:sz w:val="32"/>
          <w:szCs w:val="32"/>
        </w:rPr>
      </w:pPr>
      <w:r>
        <w:rPr>
          <w:rFonts w:ascii="仿宋" w:hAnsi="仿宋" w:eastAsia="仿宋"/>
          <w:sz w:val="32"/>
          <w:szCs w:val="32"/>
        </w:rPr>
        <w:t>1、因公出国（境）费支出决算为0万元，全年安排因公出国（境）团组0个，累计0人次。</w:t>
      </w:r>
    </w:p>
    <w:p w14:paraId="0AA9F2CD">
      <w:pPr>
        <w:spacing w:line="600" w:lineRule="exact"/>
        <w:ind w:firstLine="640" w:firstLineChars="200"/>
        <w:rPr>
          <w:rFonts w:ascii="仿宋" w:hAnsi="仿宋" w:eastAsia="仿宋"/>
          <w:sz w:val="32"/>
          <w:szCs w:val="32"/>
        </w:rPr>
      </w:pPr>
      <w:r>
        <w:rPr>
          <w:rFonts w:ascii="仿宋" w:hAnsi="仿宋" w:eastAsia="仿宋"/>
          <w:sz w:val="32"/>
          <w:szCs w:val="32"/>
        </w:rPr>
        <w:t>2、公务接待费支出决算为1.52万元，全年共接待来访团组19个、来宾152人次，主要是上级部门调研、检查，其他市州学习交流，县市区工作人员前来衔接相关业务工作的接待支出。</w:t>
      </w:r>
    </w:p>
    <w:p w14:paraId="0C3515DE">
      <w:pPr>
        <w:spacing w:line="600" w:lineRule="exact"/>
        <w:ind w:firstLine="640" w:firstLineChars="200"/>
        <w:rPr>
          <w:rFonts w:ascii="仿宋" w:hAnsi="仿宋" w:eastAsia="仿宋"/>
          <w:sz w:val="32"/>
          <w:szCs w:val="32"/>
        </w:rPr>
      </w:pPr>
      <w:r>
        <w:rPr>
          <w:rFonts w:ascii="仿宋" w:hAnsi="仿宋" w:eastAsia="仿宋"/>
          <w:sz w:val="32"/>
          <w:szCs w:val="32"/>
        </w:rPr>
        <w:t>3、公务用车购置费及运行维护费支出决算为24.52万元，其中：公务用车购置费19.57万元，单位本级新购公务用车1辆。公务用车运行维护费4.95万元，主要是车辆燃油费、维修费、过路过桥费、车辆保险支出，截止2021年12月31日，我单位开支财政拨款的公务用车保有量为1辆。</w:t>
      </w:r>
    </w:p>
    <w:p w14:paraId="20C14F5A">
      <w:pPr>
        <w:spacing w:line="600" w:lineRule="exact"/>
        <w:ind w:firstLine="640" w:firstLineChars="200"/>
        <w:rPr>
          <w:rFonts w:ascii="黑体" w:hAnsi="黑体" w:eastAsia="黑体"/>
          <w:sz w:val="32"/>
          <w:szCs w:val="32"/>
        </w:rPr>
      </w:pPr>
      <w:r>
        <w:rPr>
          <w:rFonts w:hint="eastAsia" w:ascii="黑体" w:hAnsi="黑体" w:eastAsia="黑体"/>
          <w:sz w:val="32"/>
          <w:szCs w:val="32"/>
        </w:rPr>
        <w:t>八、政府性基金预算收入支出决算情况</w:t>
      </w:r>
    </w:p>
    <w:p w14:paraId="42727118">
      <w:pPr>
        <w:spacing w:line="600" w:lineRule="exact"/>
        <w:ind w:firstLine="640" w:firstLineChars="200"/>
        <w:rPr>
          <w:rFonts w:ascii="仿宋" w:hAnsi="仿宋" w:eastAsia="仿宋"/>
          <w:sz w:val="32"/>
          <w:szCs w:val="32"/>
        </w:rPr>
      </w:pPr>
      <w:r>
        <w:rPr>
          <w:rFonts w:ascii="仿宋" w:hAnsi="仿宋" w:eastAsia="仿宋"/>
          <w:sz w:val="32"/>
          <w:szCs w:val="32"/>
        </w:rPr>
        <w:t>本单位无政府性基金收支。</w:t>
      </w:r>
    </w:p>
    <w:p w14:paraId="2F0B0C59">
      <w:pPr>
        <w:spacing w:line="600" w:lineRule="exact"/>
        <w:ind w:firstLine="640" w:firstLineChars="200"/>
        <w:rPr>
          <w:rFonts w:ascii="黑体" w:hAnsi="黑体" w:eastAsia="黑体"/>
          <w:sz w:val="32"/>
          <w:szCs w:val="32"/>
        </w:rPr>
      </w:pPr>
      <w:r>
        <w:rPr>
          <w:rFonts w:hint="eastAsia" w:ascii="黑体" w:hAnsi="黑体" w:eastAsia="黑体"/>
          <w:sz w:val="32"/>
          <w:szCs w:val="32"/>
        </w:rPr>
        <w:t>九、国有资本经营预算财政拨款支出决算情况说明</w:t>
      </w:r>
    </w:p>
    <w:p w14:paraId="7C89963B">
      <w:pPr>
        <w:spacing w:line="600" w:lineRule="exact"/>
        <w:ind w:firstLine="640" w:firstLineChars="200"/>
        <w:rPr>
          <w:rFonts w:ascii="仿宋" w:hAnsi="仿宋" w:eastAsia="仿宋"/>
          <w:sz w:val="32"/>
          <w:szCs w:val="32"/>
        </w:rPr>
      </w:pPr>
      <w:r>
        <w:rPr>
          <w:rFonts w:hint="eastAsia" w:ascii="仿宋" w:hAnsi="仿宋" w:eastAsia="仿宋"/>
          <w:sz w:val="32"/>
          <w:szCs w:val="32"/>
        </w:rPr>
        <w:t>本单位无国有资本经营预算财政拨款支出。</w:t>
      </w:r>
    </w:p>
    <w:p w14:paraId="5421014A">
      <w:pPr>
        <w:spacing w:line="600" w:lineRule="exact"/>
        <w:ind w:firstLine="640" w:firstLineChars="200"/>
        <w:rPr>
          <w:rFonts w:ascii="黑体" w:hAnsi="黑体" w:eastAsia="黑体"/>
          <w:sz w:val="32"/>
          <w:szCs w:val="32"/>
        </w:rPr>
      </w:pPr>
      <w:r>
        <w:rPr>
          <w:rFonts w:hint="eastAsia" w:ascii="黑体" w:hAnsi="黑体" w:eastAsia="黑体"/>
          <w:sz w:val="32"/>
          <w:szCs w:val="32"/>
        </w:rPr>
        <w:t>十、关于机关运行经费支出说明</w:t>
      </w:r>
    </w:p>
    <w:p w14:paraId="3DF7509B">
      <w:pPr>
        <w:spacing w:line="600" w:lineRule="exact"/>
        <w:ind w:firstLine="640" w:firstLineChars="200"/>
        <w:rPr>
          <w:rFonts w:ascii="仿宋" w:hAnsi="仿宋" w:eastAsia="仿宋"/>
          <w:sz w:val="32"/>
          <w:szCs w:val="32"/>
        </w:rPr>
      </w:pPr>
      <w:r>
        <w:rPr>
          <w:rFonts w:hint="eastAsia" w:ascii="仿宋" w:hAnsi="仿宋" w:eastAsia="仿宋"/>
          <w:sz w:val="32"/>
          <w:szCs w:val="32"/>
        </w:rPr>
        <w:t>本单位</w:t>
      </w:r>
      <w:r>
        <w:rPr>
          <w:rFonts w:ascii="仿宋" w:hAnsi="仿宋" w:eastAsia="仿宋"/>
          <w:sz w:val="32"/>
          <w:szCs w:val="32"/>
        </w:rPr>
        <w:t>2021年度机关运行经费支出298.37万元，比上年决算数增加133.35万元，增长80.81%。主要原因是：新购公车等大额开支增多。</w:t>
      </w:r>
    </w:p>
    <w:p w14:paraId="5B52FBFC">
      <w:pPr>
        <w:spacing w:line="600" w:lineRule="exact"/>
        <w:ind w:firstLine="640" w:firstLineChars="200"/>
        <w:rPr>
          <w:rFonts w:ascii="黑体" w:hAnsi="黑体" w:eastAsia="黑体"/>
          <w:sz w:val="32"/>
          <w:szCs w:val="32"/>
        </w:rPr>
      </w:pPr>
      <w:r>
        <w:rPr>
          <w:rFonts w:hint="eastAsia" w:ascii="黑体" w:hAnsi="黑体" w:eastAsia="黑体"/>
          <w:sz w:val="32"/>
          <w:szCs w:val="32"/>
        </w:rPr>
        <w:t>十一、一般性支出情况说明</w:t>
      </w:r>
    </w:p>
    <w:p w14:paraId="20883087">
      <w:pPr>
        <w:spacing w:line="600" w:lineRule="exact"/>
        <w:ind w:firstLine="640" w:firstLineChars="200"/>
        <w:rPr>
          <w:rFonts w:ascii="仿宋" w:hAnsi="仿宋" w:eastAsia="仿宋"/>
          <w:sz w:val="32"/>
          <w:szCs w:val="32"/>
        </w:rPr>
      </w:pPr>
      <w:r>
        <w:rPr>
          <w:rFonts w:ascii="仿宋" w:hAnsi="仿宋" w:eastAsia="仿宋"/>
          <w:sz w:val="32"/>
          <w:szCs w:val="32"/>
        </w:rPr>
        <w:t>2021年本部门开支会议费3.30万元，用于召开全市退役军人工作会议等；开支培训费10.24万元，用于开展全市退役军人系统业务培训等；未举办节庆、晚会、论坛、赛事活动。</w:t>
      </w:r>
    </w:p>
    <w:p w14:paraId="45BBEAE5">
      <w:pPr>
        <w:spacing w:line="600" w:lineRule="exact"/>
        <w:ind w:firstLine="640" w:firstLineChars="200"/>
        <w:rPr>
          <w:rFonts w:ascii="黑体" w:hAnsi="黑体" w:eastAsia="黑体"/>
          <w:sz w:val="32"/>
          <w:szCs w:val="32"/>
        </w:rPr>
      </w:pPr>
      <w:r>
        <w:rPr>
          <w:rFonts w:hint="eastAsia" w:ascii="黑体" w:hAnsi="黑体" w:eastAsia="黑体"/>
          <w:sz w:val="32"/>
          <w:szCs w:val="32"/>
        </w:rPr>
        <w:t>十二、关于政府采购支出说明</w:t>
      </w:r>
    </w:p>
    <w:p w14:paraId="61E1901F">
      <w:pPr>
        <w:spacing w:line="600" w:lineRule="exact"/>
        <w:ind w:firstLine="640" w:firstLineChars="200"/>
        <w:rPr>
          <w:rFonts w:hint="eastAsia" w:ascii="仿宋" w:hAnsi="仿宋" w:eastAsia="仿宋"/>
          <w:sz w:val="32"/>
          <w:szCs w:val="32"/>
          <w:lang w:eastAsia="zh-CN"/>
        </w:rPr>
      </w:pPr>
      <w:r>
        <w:rPr>
          <w:rFonts w:hint="eastAsia" w:ascii="仿宋" w:hAnsi="仿宋" w:eastAsia="仿宋"/>
          <w:sz w:val="32"/>
          <w:szCs w:val="32"/>
        </w:rPr>
        <w:t>本部门</w:t>
      </w:r>
      <w:r>
        <w:rPr>
          <w:rFonts w:ascii="仿宋" w:hAnsi="仿宋" w:eastAsia="仿宋"/>
          <w:sz w:val="32"/>
          <w:szCs w:val="32"/>
        </w:rPr>
        <w:t>2021年度政府采购支出总额48.79万元，其中：政府采购货物支出48.79万元、政府采购工程支出0万元、政府采购服务支出0万元。授予中小企业合同金额48.79万元，占政府采购支出总额的100%，其中：授予小微企业合同金额48.79万元，占授予中小企业合同金额的100%</w:t>
      </w:r>
      <w:r>
        <w:rPr>
          <w:rFonts w:hint="eastAsia" w:ascii="仿宋" w:hAnsi="仿宋" w:eastAsia="仿宋"/>
          <w:sz w:val="32"/>
          <w:szCs w:val="32"/>
          <w:lang w:eastAsia="zh-CN"/>
        </w:rPr>
        <w:t>。</w:t>
      </w:r>
    </w:p>
    <w:p w14:paraId="60AC498F">
      <w:pPr>
        <w:spacing w:line="600" w:lineRule="exact"/>
        <w:ind w:firstLine="640" w:firstLineChars="200"/>
        <w:rPr>
          <w:rFonts w:ascii="黑体" w:hAnsi="黑体" w:eastAsia="黑体"/>
          <w:sz w:val="32"/>
          <w:szCs w:val="32"/>
        </w:rPr>
      </w:pPr>
      <w:r>
        <w:rPr>
          <w:rFonts w:hint="eastAsia" w:ascii="黑体" w:hAnsi="黑体" w:eastAsia="黑体"/>
          <w:sz w:val="32"/>
          <w:szCs w:val="32"/>
        </w:rPr>
        <w:t>十三、关于国有资产占用情况说明</w:t>
      </w:r>
    </w:p>
    <w:p w14:paraId="6D7803F4">
      <w:pPr>
        <w:spacing w:line="600" w:lineRule="exact"/>
        <w:ind w:firstLine="640" w:firstLineChars="200"/>
        <w:rPr>
          <w:rFonts w:ascii="仿宋" w:hAnsi="仿宋" w:eastAsia="仿宋"/>
          <w:sz w:val="32"/>
          <w:szCs w:val="32"/>
        </w:rPr>
      </w:pPr>
      <w:r>
        <w:rPr>
          <w:rFonts w:hint="eastAsia" w:ascii="仿宋" w:hAnsi="仿宋" w:eastAsia="仿宋"/>
          <w:sz w:val="32"/>
          <w:szCs w:val="32"/>
        </w:rPr>
        <w:t>截至</w:t>
      </w:r>
      <w:r>
        <w:rPr>
          <w:rFonts w:ascii="仿宋" w:hAnsi="仿宋" w:eastAsia="仿宋"/>
          <w:sz w:val="32"/>
          <w:szCs w:val="32"/>
        </w:rPr>
        <w:t>2021年12月31日，部门（单位）共有车辆1辆，其中，主要领导干部用车0辆，机要通信用车0辆、应急保障用车0辆、执法执勤用车0辆、特种专业技术用车0辆、其他用车1辆，其他用车主要是退役军人事务工作用车；单位价值50万元以上通用设备0台（套）；单位价值100万元以上专用设备0台（套）。</w:t>
      </w:r>
    </w:p>
    <w:p w14:paraId="7FD35CD8">
      <w:pPr>
        <w:spacing w:line="600" w:lineRule="exact"/>
        <w:ind w:firstLine="640" w:firstLineChars="200"/>
        <w:rPr>
          <w:rFonts w:ascii="黑体" w:hAnsi="黑体" w:eastAsia="黑体"/>
          <w:sz w:val="32"/>
          <w:szCs w:val="32"/>
        </w:rPr>
      </w:pPr>
      <w:r>
        <w:rPr>
          <w:rFonts w:hint="eastAsia" w:ascii="黑体" w:hAnsi="黑体" w:eastAsia="黑体"/>
          <w:sz w:val="32"/>
          <w:szCs w:val="32"/>
        </w:rPr>
        <w:t>十四、关于</w:t>
      </w:r>
      <w:r>
        <w:rPr>
          <w:rFonts w:ascii="黑体" w:hAnsi="黑体" w:eastAsia="黑体"/>
          <w:sz w:val="32"/>
          <w:szCs w:val="32"/>
        </w:rPr>
        <w:t>2021年度预算绩效情况说明</w:t>
      </w:r>
    </w:p>
    <w:p w14:paraId="0D9EB96C">
      <w:pPr>
        <w:spacing w:line="600" w:lineRule="exact"/>
        <w:ind w:firstLine="640" w:firstLineChars="200"/>
        <w:rPr>
          <w:rFonts w:ascii="仿宋" w:hAnsi="仿宋" w:eastAsia="仿宋"/>
          <w:sz w:val="32"/>
          <w:szCs w:val="32"/>
        </w:rPr>
      </w:pPr>
      <w:r>
        <w:rPr>
          <w:rFonts w:hint="eastAsia" w:ascii="仿宋" w:hAnsi="仿宋" w:eastAsia="仿宋"/>
          <w:sz w:val="32"/>
          <w:szCs w:val="32"/>
        </w:rPr>
        <w:t>绩效管理评价工作开展情况、部门决算中项目绩效自评结果、部门评价项目绩效评价结果见附件。</w:t>
      </w:r>
    </w:p>
    <w:p w14:paraId="361B7566">
      <w:pPr>
        <w:spacing w:line="600" w:lineRule="exact"/>
        <w:rPr>
          <w:rFonts w:hint="eastAsia" w:ascii="仿宋" w:hAnsi="仿宋" w:eastAsia="仿宋"/>
          <w:sz w:val="32"/>
          <w:szCs w:val="32"/>
        </w:rPr>
      </w:pPr>
    </w:p>
    <w:p w14:paraId="27C46101">
      <w:pPr>
        <w:spacing w:line="600" w:lineRule="exact"/>
        <w:ind w:firstLine="883" w:firstLineChars="200"/>
        <w:jc w:val="center"/>
        <w:rPr>
          <w:rFonts w:ascii="黑体" w:hAnsi="黑体" w:eastAsia="黑体"/>
          <w:b/>
          <w:bCs/>
          <w:sz w:val="44"/>
          <w:szCs w:val="44"/>
        </w:rPr>
      </w:pPr>
      <w:r>
        <w:rPr>
          <w:rFonts w:hint="eastAsia" w:ascii="黑体" w:hAnsi="黑体" w:eastAsia="黑体"/>
          <w:b/>
          <w:bCs/>
          <w:sz w:val="44"/>
          <w:szCs w:val="44"/>
        </w:rPr>
        <w:t>第四部分 名词解释</w:t>
      </w:r>
    </w:p>
    <w:p w14:paraId="27FFD31D">
      <w:pPr>
        <w:spacing w:line="600" w:lineRule="exact"/>
        <w:ind w:firstLine="640" w:firstLineChars="200"/>
        <w:rPr>
          <w:rFonts w:hint="eastAsia" w:ascii="仿宋" w:hAnsi="仿宋" w:eastAsia="仿宋"/>
          <w:sz w:val="32"/>
          <w:szCs w:val="32"/>
        </w:rPr>
      </w:pPr>
      <w:r>
        <w:rPr>
          <w:rFonts w:ascii="仿宋" w:hAnsi="仿宋" w:eastAsia="仿宋"/>
          <w:sz w:val="32"/>
          <w:szCs w:val="32"/>
        </w:rPr>
        <w:t> </w:t>
      </w:r>
    </w:p>
    <w:p w14:paraId="4AE3CECA">
      <w:pPr>
        <w:spacing w:line="600" w:lineRule="exact"/>
        <w:ind w:firstLine="640" w:firstLineChars="200"/>
        <w:rPr>
          <w:rFonts w:ascii="仿宋" w:hAnsi="仿宋" w:eastAsia="仿宋"/>
          <w:sz w:val="32"/>
          <w:szCs w:val="32"/>
        </w:rPr>
      </w:pPr>
      <w:r>
        <w:rPr>
          <w:rFonts w:ascii="仿宋" w:hAnsi="仿宋" w:eastAsia="仿宋"/>
          <w:sz w:val="32"/>
          <w:szCs w:val="32"/>
        </w:rPr>
        <w:t>1.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商品和服务支出。</w:t>
      </w:r>
    </w:p>
    <w:p w14:paraId="544641C0">
      <w:pPr>
        <w:spacing w:line="600" w:lineRule="exact"/>
        <w:ind w:firstLine="640" w:firstLineChars="200"/>
        <w:rPr>
          <w:rFonts w:ascii="仿宋" w:hAnsi="仿宋" w:eastAsia="仿宋"/>
          <w:sz w:val="32"/>
          <w:szCs w:val="32"/>
        </w:rPr>
      </w:pPr>
      <w:r>
        <w:rPr>
          <w:rFonts w:ascii="仿宋" w:hAnsi="仿宋" w:eastAsia="仿宋"/>
          <w:sz w:val="32"/>
          <w:szCs w:val="32"/>
        </w:rPr>
        <w:t>2.“三公”经费：纳入财政预算管理的“三公</w:t>
      </w:r>
      <w:r>
        <w:rPr>
          <w:rFonts w:hint="eastAsia" w:ascii="仿宋" w:hAnsi="仿宋" w:eastAsia="仿宋"/>
          <w:sz w:val="32"/>
          <w:szCs w:val="32"/>
        </w:rPr>
        <w:t>”</w:t>
      </w:r>
      <w:r>
        <w:rPr>
          <w:rFonts w:ascii="仿宋" w:hAnsi="仿宋" w:eastAsia="仿宋"/>
          <w:sz w:val="32"/>
          <w:szCs w:val="32"/>
        </w:rPr>
        <w:t>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43FB486">
      <w:pPr>
        <w:spacing w:line="600" w:lineRule="exact"/>
        <w:rPr>
          <w:rFonts w:hint="eastAsia" w:ascii="仿宋" w:hAnsi="仿宋" w:eastAsia="仿宋"/>
          <w:sz w:val="32"/>
          <w:szCs w:val="32"/>
        </w:rPr>
      </w:pPr>
    </w:p>
    <w:p w14:paraId="596FC149">
      <w:pPr>
        <w:spacing w:line="600" w:lineRule="exact"/>
        <w:ind w:firstLine="883" w:firstLineChars="200"/>
        <w:jc w:val="center"/>
        <w:rPr>
          <w:rFonts w:hint="eastAsia" w:ascii="黑体" w:hAnsi="黑体" w:eastAsia="黑体"/>
          <w:b/>
          <w:bCs/>
          <w:sz w:val="44"/>
          <w:szCs w:val="44"/>
        </w:rPr>
      </w:pPr>
      <w:r>
        <w:rPr>
          <w:rFonts w:hint="eastAsia" w:ascii="黑体" w:hAnsi="黑体" w:eastAsia="黑体"/>
          <w:b/>
          <w:bCs/>
          <w:sz w:val="44"/>
          <w:szCs w:val="44"/>
        </w:rPr>
        <w:t>第五部分 附件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仿宋_GB2312"/>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k4MjM4OGRjMjA1YmIwNDg3YWY0MmMwNWU4YTAwYjIifQ=="/>
  </w:docVars>
  <w:rsids>
    <w:rsidRoot w:val="00506589"/>
    <w:rsid w:val="000B7EE2"/>
    <w:rsid w:val="00506589"/>
    <w:rsid w:val="00757FEF"/>
    <w:rsid w:val="00C61EC6"/>
    <w:rsid w:val="0B8844AC"/>
    <w:rsid w:val="CFF6E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870</Words>
  <Characters>4963</Characters>
  <Lines>41</Lines>
  <Paragraphs>11</Paragraphs>
  <TotalTime>3</TotalTime>
  <ScaleCrop>false</ScaleCrop>
  <LinksUpToDate>false</LinksUpToDate>
  <CharactersWithSpaces>5822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2023-09-06T20:21:00Z</dcterms:created>
  <dc:creator>汪 梦引</dc:creator>
  <cp:lastModifiedBy>A梦</cp:lastModifiedBy>
  <dcterms:modified xsi:type="dcterms:W3CDTF">2026-09-23T16:24:50Z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6778196ACDEE4C048D0A99708B6B1F9D_12</vt:lpwstr>
  </property>
</Properties>
</file>