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48"/>
          <w:szCs w:val="48"/>
        </w:rPr>
      </w:pPr>
      <w:r>
        <w:rPr>
          <w:rFonts w:ascii="仿宋" w:hAnsi="仿宋" w:eastAsia="仿宋"/>
          <w:b/>
          <w:bCs/>
          <w:sz w:val="48"/>
          <w:szCs w:val="48"/>
        </w:rPr>
        <w:t>2021年度</w:t>
      </w:r>
      <w:r>
        <w:rPr>
          <w:rFonts w:hint="eastAsia" w:ascii="仿宋" w:hAnsi="仿宋" w:eastAsia="仿宋"/>
          <w:b/>
          <w:bCs/>
          <w:sz w:val="48"/>
          <w:szCs w:val="48"/>
        </w:rPr>
        <w:t>怀化市光荣院部门决算</w:t>
      </w:r>
    </w:p>
    <w:p>
      <w:pPr>
        <w:spacing w:line="600" w:lineRule="exact"/>
        <w:ind w:firstLine="640" w:firstLineChars="200"/>
        <w:rPr>
          <w:rFonts w:ascii="仿宋" w:hAnsi="仿宋" w:eastAsia="仿宋"/>
          <w:sz w:val="32"/>
          <w:szCs w:val="32"/>
        </w:rPr>
      </w:pPr>
      <w:r>
        <w:rPr>
          <w:rFonts w:ascii="仿宋" w:hAnsi="仿宋" w:eastAsia="仿宋"/>
          <w:sz w:val="32"/>
          <w:szCs w:val="32"/>
        </w:rPr>
        <w:t> </w:t>
      </w:r>
    </w:p>
    <w:p>
      <w:pPr>
        <w:spacing w:line="600" w:lineRule="exact"/>
        <w:ind w:firstLine="643" w:firstLineChars="200"/>
        <w:jc w:val="center"/>
        <w:rPr>
          <w:rFonts w:ascii="黑体" w:hAnsi="黑体" w:eastAsia="黑体"/>
          <w:b/>
          <w:bCs/>
          <w:sz w:val="32"/>
          <w:szCs w:val="32"/>
        </w:rPr>
      </w:pPr>
      <w:r>
        <w:rPr>
          <w:rFonts w:hint="eastAsia" w:ascii="黑体" w:hAnsi="黑体" w:eastAsia="黑体"/>
          <w:b/>
          <w:bCs/>
          <w:sz w:val="32"/>
          <w:szCs w:val="32"/>
        </w:rPr>
        <w:t>目 录</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第一部分怀化市光荣院概况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一、部门职责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二、机构设置</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第二部分</w:t>
      </w:r>
      <w:r>
        <w:rPr>
          <w:rFonts w:ascii="黑体" w:hAnsi="黑体" w:eastAsia="黑体"/>
          <w:b/>
          <w:bCs/>
          <w:sz w:val="32"/>
          <w:szCs w:val="32"/>
        </w:rPr>
        <w:t>2021年度部门决算表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一、收入支出决算总表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二、收入决算表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四、财政拨款收入支出决算总表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五、一般公共预算财政拨款支出决算表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六、一般公共预算财政拨款基本支出决算明细表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七、一般公共预算财政拨款“三公”经费支出决算表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八、政府性基金预算财政拨款收入支出决算表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九、国有资本经营预算财政拨款支出决算表</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第三部分</w:t>
      </w:r>
      <w:r>
        <w:rPr>
          <w:rFonts w:ascii="黑体" w:hAnsi="黑体" w:eastAsia="黑体"/>
          <w:b/>
          <w:bCs/>
          <w:sz w:val="32"/>
          <w:szCs w:val="32"/>
        </w:rPr>
        <w:t>2021年度部门决算情况说明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二、收入决算情况说明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五、一般公共预算财政拨款支出决算情况说明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七、一般公共预算财政拨款“三公”经费支出决算情况说明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八、政府性基金预算收入支出决算情况说明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九、国有资本经营预算财政拨款支出决算情况说明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十、关于机关运行经费支出说明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十一、一般性支出情况说明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十二、关于政府采购支出说明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十三、关于国有资产占用情况说明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十四、关于</w:t>
      </w:r>
      <w:r>
        <w:rPr>
          <w:rFonts w:ascii="仿宋" w:hAnsi="仿宋" w:eastAsia="仿宋"/>
          <w:sz w:val="32"/>
          <w:szCs w:val="32"/>
        </w:rPr>
        <w:t>2021年度预算绩效情况的说明</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第四部分名词解释</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第五部分附件</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 </w:t>
      </w:r>
    </w:p>
    <w:p>
      <w:pPr>
        <w:spacing w:line="600" w:lineRule="exact"/>
        <w:ind w:firstLine="883" w:firstLineChars="200"/>
        <w:jc w:val="center"/>
        <w:rPr>
          <w:rFonts w:ascii="黑体" w:hAnsi="黑体" w:eastAsia="黑体"/>
          <w:b/>
          <w:bCs/>
          <w:sz w:val="44"/>
          <w:szCs w:val="44"/>
        </w:rPr>
      </w:pPr>
      <w:r>
        <w:rPr>
          <w:rFonts w:hint="eastAsia" w:ascii="黑体" w:hAnsi="黑体" w:eastAsia="黑体"/>
          <w:b/>
          <w:bCs/>
          <w:sz w:val="44"/>
          <w:szCs w:val="44"/>
        </w:rPr>
        <w:t>第一部分 怀化市光荣院概况</w:t>
      </w:r>
      <w:r>
        <w:rPr>
          <w:rFonts w:ascii="黑体" w:hAnsi="黑体" w:eastAsia="黑体"/>
          <w:b/>
          <w:bCs/>
          <w:sz w:val="44"/>
          <w:szCs w:val="44"/>
        </w:rPr>
        <w:t> </w:t>
      </w:r>
    </w:p>
    <w:p>
      <w:pPr>
        <w:spacing w:line="600" w:lineRule="exact"/>
        <w:rPr>
          <w:rFonts w:hint="eastAsia" w:ascii="仿宋" w:hAnsi="仿宋" w:eastAsia="仿宋"/>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spacing w:line="600" w:lineRule="exact"/>
        <w:ind w:firstLine="640" w:firstLineChars="200"/>
        <w:rPr>
          <w:rFonts w:ascii="仿宋" w:hAnsi="仿宋" w:eastAsia="仿宋"/>
          <w:sz w:val="32"/>
          <w:szCs w:val="32"/>
        </w:rPr>
      </w:pPr>
      <w:r>
        <w:rPr>
          <w:rFonts w:ascii="仿宋" w:hAnsi="仿宋" w:eastAsia="仿宋"/>
          <w:sz w:val="32"/>
          <w:szCs w:val="32"/>
        </w:rPr>
        <w:t>1.供养孤老烈属、退伍红军、残疾军人、复员军人，供养未满十六岁烈士遗孤和患有残疾生活不能自理，家中无人照顾的烈士子女。</w:t>
      </w:r>
    </w:p>
    <w:p>
      <w:pPr>
        <w:spacing w:line="600" w:lineRule="exact"/>
        <w:ind w:firstLine="640" w:firstLineChars="200"/>
        <w:rPr>
          <w:rFonts w:ascii="仿宋" w:hAnsi="仿宋" w:eastAsia="仿宋"/>
          <w:sz w:val="32"/>
          <w:szCs w:val="32"/>
        </w:rPr>
      </w:pPr>
      <w:r>
        <w:rPr>
          <w:rFonts w:ascii="仿宋" w:hAnsi="仿宋" w:eastAsia="仿宋"/>
          <w:sz w:val="32"/>
          <w:szCs w:val="32"/>
        </w:rPr>
        <w:t>2.随时掌握院民的衣、食、住、行等情况，做到院民生活舒适，身体健康、延年益寿。</w:t>
      </w:r>
    </w:p>
    <w:p>
      <w:pPr>
        <w:spacing w:line="600" w:lineRule="exact"/>
        <w:ind w:firstLine="640" w:firstLineChars="200"/>
        <w:rPr>
          <w:rFonts w:ascii="仿宋" w:hAnsi="仿宋" w:eastAsia="仿宋"/>
          <w:sz w:val="32"/>
          <w:szCs w:val="32"/>
        </w:rPr>
      </w:pPr>
      <w:r>
        <w:rPr>
          <w:rFonts w:ascii="仿宋" w:hAnsi="仿宋" w:eastAsia="仿宋"/>
          <w:sz w:val="32"/>
          <w:szCs w:val="32"/>
        </w:rPr>
        <w:t>3.负责召开院民开展谈心活动，及时了解他们的喜、怒、哀、乐，发现问题，及时解决。</w:t>
      </w:r>
    </w:p>
    <w:p>
      <w:pPr>
        <w:spacing w:line="600" w:lineRule="exact"/>
        <w:ind w:firstLine="640" w:firstLineChars="200"/>
        <w:rPr>
          <w:rFonts w:ascii="仿宋" w:hAnsi="仿宋" w:eastAsia="仿宋"/>
          <w:sz w:val="32"/>
          <w:szCs w:val="32"/>
        </w:rPr>
      </w:pPr>
      <w:r>
        <w:rPr>
          <w:rFonts w:ascii="仿宋" w:hAnsi="仿宋" w:eastAsia="仿宋"/>
          <w:sz w:val="32"/>
          <w:szCs w:val="32"/>
        </w:rPr>
        <w:t>4.听取院民的反映，不断改善伙食，提高服务质量。</w:t>
      </w:r>
    </w:p>
    <w:p>
      <w:pPr>
        <w:spacing w:line="600" w:lineRule="exact"/>
        <w:ind w:firstLine="640" w:firstLineChars="200"/>
        <w:rPr>
          <w:rFonts w:ascii="仿宋" w:hAnsi="仿宋" w:eastAsia="仿宋"/>
          <w:sz w:val="32"/>
          <w:szCs w:val="32"/>
        </w:rPr>
      </w:pPr>
      <w:r>
        <w:rPr>
          <w:rFonts w:ascii="仿宋" w:hAnsi="仿宋" w:eastAsia="仿宋"/>
          <w:sz w:val="32"/>
          <w:szCs w:val="32"/>
        </w:rPr>
        <w:t>5.组织好院民学习，使他们保持革命晚节、发扬革命传统，为祖国建设献余热。</w:t>
      </w:r>
    </w:p>
    <w:p>
      <w:pPr>
        <w:spacing w:line="600" w:lineRule="exact"/>
        <w:ind w:firstLine="640" w:firstLineChars="200"/>
        <w:rPr>
          <w:rFonts w:ascii="仿宋" w:hAnsi="仿宋" w:eastAsia="仿宋"/>
          <w:sz w:val="32"/>
          <w:szCs w:val="32"/>
        </w:rPr>
      </w:pPr>
      <w:r>
        <w:rPr>
          <w:rFonts w:ascii="仿宋" w:hAnsi="仿宋" w:eastAsia="仿宋"/>
          <w:sz w:val="32"/>
          <w:szCs w:val="32"/>
        </w:rPr>
        <w:t>6.根据老年人的生理特点，情趣爱好，身体状况，负责组织好院民的文化体育活动，创造良好活跃的生活环境和文化氛围，起到陶冶院民情趣，强身健体、益寿延年的目的。</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二、机构设置及决算单位构成</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（一）内设机构设置。</w:t>
      </w:r>
      <w:r>
        <w:rPr>
          <w:rFonts w:hint="eastAsia" w:ascii="仿宋" w:hAnsi="仿宋" w:eastAsia="仿宋"/>
          <w:sz w:val="32"/>
          <w:szCs w:val="32"/>
        </w:rPr>
        <w:t>怀化市光荣院作为怀化市退役军人事务局单位的二级部门决算单位，内设机构有：办公室、财务室、护理部、后勤部。</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（二）决算单位构成。</w:t>
      </w:r>
      <w:r>
        <w:rPr>
          <w:rFonts w:hint="eastAsia" w:ascii="仿宋" w:hAnsi="仿宋" w:eastAsia="仿宋"/>
          <w:sz w:val="32"/>
          <w:szCs w:val="32"/>
        </w:rPr>
        <w:t>怀化市光荣院</w:t>
      </w:r>
      <w:r>
        <w:rPr>
          <w:rFonts w:ascii="仿宋" w:hAnsi="仿宋" w:eastAsia="仿宋"/>
          <w:sz w:val="32"/>
          <w:szCs w:val="32"/>
        </w:rPr>
        <w:t>2021年部门决算汇总公开单位构成包括：怀化市光荣院。</w:t>
      </w:r>
    </w:p>
    <w:p>
      <w:pPr>
        <w:spacing w:line="600" w:lineRule="exact"/>
        <w:ind w:firstLine="640" w:firstLineChars="200"/>
        <w:rPr>
          <w:rFonts w:ascii="仿宋" w:hAnsi="仿宋" w:eastAsia="仿宋"/>
          <w:sz w:val="32"/>
          <w:szCs w:val="32"/>
        </w:rPr>
      </w:pPr>
      <w:r>
        <w:rPr>
          <w:rFonts w:ascii="仿宋" w:hAnsi="仿宋" w:eastAsia="仿宋"/>
          <w:sz w:val="32"/>
          <w:szCs w:val="32"/>
        </w:rPr>
        <w:t> </w:t>
      </w:r>
    </w:p>
    <w:p>
      <w:pPr>
        <w:spacing w:line="600" w:lineRule="exact"/>
        <w:ind w:firstLine="883" w:firstLineChars="200"/>
        <w:jc w:val="center"/>
        <w:rPr>
          <w:rFonts w:hint="eastAsia" w:ascii="黑体" w:hAnsi="黑体" w:eastAsia="黑体"/>
          <w:b/>
          <w:bCs/>
          <w:sz w:val="44"/>
          <w:szCs w:val="44"/>
        </w:rPr>
      </w:pPr>
      <w:r>
        <w:rPr>
          <w:rFonts w:hint="eastAsia" w:ascii="黑体" w:hAnsi="黑体" w:eastAsia="黑体"/>
          <w:b/>
          <w:bCs/>
          <w:sz w:val="44"/>
          <w:szCs w:val="44"/>
        </w:rPr>
        <w:t>第二部分 部门决算表</w: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（详情见附件）</w:t>
      </w:r>
    </w:p>
    <w:p>
      <w:pPr>
        <w:spacing w:line="600" w:lineRule="exact"/>
        <w:ind w:firstLine="640" w:firstLineChars="200"/>
        <w:rPr>
          <w:rFonts w:ascii="仿宋" w:hAnsi="仿宋" w:eastAsia="仿宋"/>
          <w:sz w:val="32"/>
          <w:szCs w:val="32"/>
        </w:rPr>
      </w:pPr>
    </w:p>
    <w:p>
      <w:pPr>
        <w:spacing w:line="600" w:lineRule="exact"/>
        <w:ind w:firstLine="883" w:firstLineChars="200"/>
        <w:jc w:val="center"/>
        <w:rPr>
          <w:rFonts w:ascii="黑体" w:hAnsi="黑体" w:eastAsia="黑体"/>
          <w:b/>
          <w:bCs/>
          <w:sz w:val="44"/>
          <w:szCs w:val="44"/>
        </w:rPr>
      </w:pPr>
      <w:r>
        <w:rPr>
          <w:rFonts w:hint="eastAsia" w:ascii="黑体" w:hAnsi="黑体" w:eastAsia="黑体"/>
          <w:b/>
          <w:bCs/>
          <w:sz w:val="44"/>
          <w:szCs w:val="44"/>
        </w:rPr>
        <w:t xml:space="preserve">第三部分 </w:t>
      </w:r>
      <w:r>
        <w:rPr>
          <w:rFonts w:ascii="黑体" w:hAnsi="黑体" w:eastAsia="黑体"/>
          <w:b/>
          <w:bCs/>
          <w:sz w:val="44"/>
          <w:szCs w:val="44"/>
        </w:rPr>
        <w:t>2021年度部门决算情况说明</w:t>
      </w:r>
    </w:p>
    <w:p>
      <w:pPr>
        <w:spacing w:line="600" w:lineRule="exact"/>
        <w:ind w:firstLine="883" w:firstLineChars="200"/>
        <w:jc w:val="center"/>
        <w:rPr>
          <w:rFonts w:hint="eastAsia" w:ascii="黑体" w:hAnsi="黑体" w:eastAsia="黑体"/>
          <w:b/>
          <w:bCs/>
          <w:sz w:val="44"/>
          <w:szCs w:val="44"/>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2021年度收、支总计</w:t>
      </w:r>
      <w:r>
        <w:rPr>
          <w:rFonts w:hint="eastAsia" w:ascii="仿宋" w:hAnsi="仿宋" w:eastAsia="仿宋"/>
          <w:sz w:val="32"/>
          <w:szCs w:val="32"/>
        </w:rPr>
        <w:t>各</w:t>
      </w:r>
      <w:r>
        <w:rPr>
          <w:rFonts w:ascii="仿宋" w:hAnsi="仿宋" w:eastAsia="仿宋"/>
          <w:sz w:val="32"/>
          <w:szCs w:val="32"/>
        </w:rPr>
        <w:t>290.19万元。与上年相比，减少74.19万元，减少20.36%，主要是因为优抚事业单位支出经费减少。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二、收入决算情况说明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2021年度收入合计275.96万元，其中：财政拨款收入261.43万元，占94.73%；上级补助收入0万元，占0%；事业收入0万元，占0%；经营收入0万元，占0%；附属单位上缴收入0万元，占0%；其他收入14.53万元，占5.27%。</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三、支出决算情况说明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2021年度支出合计290.19万元，其中：基本支出188.8</w:t>
      </w:r>
      <w:r>
        <w:rPr>
          <w:rFonts w:hint="eastAsia" w:ascii="仿宋" w:hAnsi="仿宋" w:eastAsia="仿宋"/>
          <w:sz w:val="32"/>
          <w:szCs w:val="32"/>
          <w:lang w:val="en-US" w:eastAsia="zh-CN"/>
        </w:rPr>
        <w:t>8</w:t>
      </w:r>
      <w:r>
        <w:rPr>
          <w:rFonts w:ascii="仿宋" w:hAnsi="仿宋" w:eastAsia="仿宋"/>
          <w:sz w:val="32"/>
          <w:szCs w:val="32"/>
        </w:rPr>
        <w:t>万元，占65.09%；项目支出101.3万元，占34.91%；上缴上级支出0万元，占0%；经营支出0万元，占0%；对附属单位补助支出0万元，占0%。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2021年度财政拨款收、支总计</w:t>
      </w:r>
      <w:r>
        <w:rPr>
          <w:rFonts w:hint="eastAsia" w:ascii="仿宋" w:hAnsi="仿宋" w:eastAsia="仿宋"/>
          <w:sz w:val="32"/>
          <w:szCs w:val="32"/>
        </w:rPr>
        <w:t>各</w:t>
      </w:r>
      <w:r>
        <w:rPr>
          <w:rFonts w:ascii="仿宋" w:hAnsi="仿宋" w:eastAsia="仿宋"/>
          <w:sz w:val="32"/>
          <w:szCs w:val="32"/>
        </w:rPr>
        <w:t>263.76万元，与上年相比，减少97.54万元,减少26.70%，主要是因为优抚事业单位支出经费减少。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（一）财政拨款支出决算总体情况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支出219.97万元，占本年支出合计的75.80%，与上年相比，财政拨款支出减少135.34万元，减少38.09%，主要是因为优抚事业单位支出经费减少，有两人在2021年退休，机关事业单位基本养老保险缴费支出减少。</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（二）财政拨款支出决算结构情况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2021年度财政拨款支出219.97万元，主要用于以下方面：社会保障和就业（类）支出214.95万元，占97.72%；卫生健康（类）支出5.0</w:t>
      </w:r>
      <w:r>
        <w:rPr>
          <w:rFonts w:hint="eastAsia" w:ascii="仿宋" w:hAnsi="仿宋" w:eastAsia="仿宋"/>
          <w:sz w:val="32"/>
          <w:szCs w:val="32"/>
          <w:lang w:val="en-US" w:eastAsia="zh-CN"/>
        </w:rPr>
        <w:t>3</w:t>
      </w:r>
      <w:r>
        <w:rPr>
          <w:rFonts w:ascii="仿宋" w:hAnsi="仿宋" w:eastAsia="仿宋"/>
          <w:sz w:val="32"/>
          <w:szCs w:val="32"/>
        </w:rPr>
        <w:t>万元，占2.28%。</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（三）财政拨款支出决算具体情况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2021年度财政拨款支出年初预算数为144.83万元，支出决算数为219.97万元，完成年初预算的151.88%，其中：</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1、社会保障和就业支出（类）民政管理事务（款）行政运行（项）。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0万元，支出决算为91.67万元，决算数大于年初预算数的主要原因是：该支出为工资福利支出，年初预算做到社会保障和就业支出（类）社会福利（款）社会福利事业单位（项）中。</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2、社会保障和就业支出（类）行政事业单位养老支出（款）机关事业单位基本养老保险缴费支出（项）。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0万元，支出决算为9.87万元，决算数大于年初预算数的主要原因是：行政事业单位基本养老保险缴费支出未纳入年初预算。</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3、社会保障和就业支出（类）行政事业单位养老支出（款）其他行政事业单位养老支出（项）。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0万元，支出决算为10.01万元，决算数大于年初预算数的主要原因是：其他行政事业单位养老支出未纳入年初预算。</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4、社会保障和就业支出（类）抚恤（款）优抚事业单位支出（项）。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0万元，支出决算为7.52万元，决算数大于年初预算数的主要原因是：省级下拨资金未列入市本级年初预算。</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5、社会保障和就业支出（类）社会福利（款）社会福利事业单位（项）。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92.69万元，支出决算为13.72万元，完成年初预算的14.80%，决算数小于年初预算数的主要原因是：对预算进行了调整。</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6、社会保障和就业支出（类）社会福利（款）其他社会福利支出（项）。</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年初预算为</w:t>
      </w:r>
      <w:r>
        <w:rPr>
          <w:rFonts w:ascii="仿宋" w:hAnsi="仿宋" w:eastAsia="仿宋"/>
          <w:sz w:val="32"/>
          <w:szCs w:val="32"/>
        </w:rPr>
        <w:t>2.14万元，支出决算为2.14万元，完成年初预算的100%，决算数等于年初预算数</w:t>
      </w:r>
      <w:r>
        <w:rPr>
          <w:rFonts w:hint="eastAsia" w:ascii="仿宋" w:hAnsi="仿宋" w:eastAsia="仿宋"/>
          <w:sz w:val="32"/>
          <w:szCs w:val="32"/>
          <w:lang w:eastAsia="zh-CN"/>
        </w:rPr>
        <w:t>，</w:t>
      </w:r>
      <w:r>
        <w:rPr>
          <w:rFonts w:hint="eastAsia" w:ascii="仿宋" w:hAnsi="仿宋" w:eastAsia="仿宋"/>
          <w:sz w:val="32"/>
          <w:szCs w:val="32"/>
          <w:lang w:val="en-US" w:eastAsia="zh-CN"/>
        </w:rPr>
        <w:t>主要原因是按预算执行。</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7、社会保障和就业支出（类）退役军人管理事务（款）事业运行（项）。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0万元，支出决算为30.02万元，决算数大于年初预算数的主要原因是：该支出为在职人员绩效奖，在年初预算中未列入。</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8、社会保障和就业支出（类）退役军人管理事务（款）其他退役军人事务管理支出（项）。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50万元，支出决算为50万元，完成年初预算的100%，决算数等于年初预算数</w:t>
      </w:r>
      <w:r>
        <w:rPr>
          <w:rFonts w:hint="eastAsia" w:ascii="仿宋" w:hAnsi="仿宋" w:eastAsia="仿宋"/>
          <w:sz w:val="32"/>
          <w:szCs w:val="32"/>
        </w:rPr>
        <w:t>的主要原因是：按预算执行</w:t>
      </w:r>
      <w:r>
        <w:rPr>
          <w:rFonts w:ascii="仿宋" w:hAnsi="仿宋" w:eastAsia="仿宋"/>
          <w:sz w:val="32"/>
          <w:szCs w:val="32"/>
        </w:rPr>
        <w:t>。</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9、卫生健康支出（类）行政事业单位医疗（款）行政单位医疗（项）。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0万元，支出决算为5.0</w:t>
      </w:r>
      <w:r>
        <w:rPr>
          <w:rFonts w:hint="eastAsia" w:ascii="仿宋" w:hAnsi="仿宋" w:eastAsia="仿宋"/>
          <w:sz w:val="32"/>
          <w:szCs w:val="32"/>
          <w:lang w:val="en-US" w:eastAsia="zh-CN"/>
        </w:rPr>
        <w:t>3</w:t>
      </w:r>
      <w:r>
        <w:rPr>
          <w:rFonts w:ascii="仿宋" w:hAnsi="仿宋" w:eastAsia="仿宋"/>
          <w:sz w:val="32"/>
          <w:szCs w:val="32"/>
        </w:rPr>
        <w:t>万元，决算数大于年初预算数的主要原因是：医疗保险缴费额度的下拨需年初上报基数，经财政及人社部门审批后，年中拨付相关经费。</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基本支出162.45万元，其中：人员经费127.74万元，占基本支出的78.63%,主要包括基本工资、津贴补贴、奖金、伙食补助费、绩效工资、机关事业单位基本养老保险缴费、职业年金缴费、职工基本医疗保险缴费、其他社会保障缴费、住房公积金、其他工资福利支出、生活补助、奖励金和其他对个人和家庭的补助；公用经费34.71万元，占基本支出的21.37%，主要包括办公费、印刷费、咨询费、邮电费、差旅费、维修（护）费、培训费、劳务费、委托业务费、工会经费、福利费、公务用车运行维护费、其他商品和服务支出</w:t>
      </w:r>
      <w:r>
        <w:rPr>
          <w:rFonts w:hint="eastAsia" w:ascii="仿宋" w:hAnsi="仿宋" w:eastAsia="仿宋"/>
          <w:sz w:val="32"/>
          <w:szCs w:val="32"/>
        </w:rPr>
        <w:t>和办公设备购置。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（一）“三公”经费财政拨款支出决算总体情况说明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2021年度“三公”经费财政拨款支出预算为15.11万元，支出决算为6.27万元，完成预算的41.50%，其中：</w:t>
      </w:r>
    </w:p>
    <w:p>
      <w:pPr>
        <w:spacing w:line="600" w:lineRule="exact"/>
        <w:ind w:firstLine="640" w:firstLineChars="200"/>
        <w:rPr>
          <w:rFonts w:ascii="仿宋" w:hAnsi="仿宋" w:eastAsia="仿宋"/>
          <w:sz w:val="32"/>
          <w:szCs w:val="32"/>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、因公出国（境）费支出预算为</w:t>
      </w:r>
      <w:r>
        <w:rPr>
          <w:rFonts w:ascii="仿宋" w:hAnsi="仿宋" w:eastAsia="仿宋"/>
          <w:color w:val="000000" w:themeColor="text1"/>
          <w:sz w:val="32"/>
          <w:szCs w:val="32"/>
          <w14:textFill>
            <w14:solidFill>
              <w14:schemeClr w14:val="tx1"/>
            </w14:solidFill>
          </w14:textFill>
        </w:rPr>
        <w:t>0.00万元，支出决算为0.00万元</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决算数与年初预算数持平，主要原因按预算执行，与上年数持平，主要原因本年度未安排因公出国（境）</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2、公务接待费支出预算为</w:t>
      </w:r>
      <w:r>
        <w:rPr>
          <w:rFonts w:ascii="仿宋" w:hAnsi="仿宋" w:eastAsia="仿宋"/>
          <w:sz w:val="32"/>
          <w:szCs w:val="32"/>
        </w:rPr>
        <w:t>8.57万元，支出决算为0万元，完成预算的0%，决算数小于预算数的主要原因是本单位厉行节约，本年度无公务接待费支出，与上年相比持平，主要原因是压减经费开支。</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、公务用车购置费支出预算为</w:t>
      </w:r>
      <w:r>
        <w:rPr>
          <w:rFonts w:ascii="仿宋" w:hAnsi="仿宋" w:eastAsia="仿宋"/>
          <w:sz w:val="32"/>
          <w:szCs w:val="32"/>
        </w:rPr>
        <w:t>0万元，支出决算为0万元，决算数与预算数持平，与上年相比持平，主要原因是压减经费开支。</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、公务用车运行维护费支出预算为</w:t>
      </w:r>
      <w:r>
        <w:rPr>
          <w:rFonts w:ascii="仿宋" w:hAnsi="仿宋" w:eastAsia="仿宋"/>
          <w:sz w:val="32"/>
          <w:szCs w:val="32"/>
        </w:rPr>
        <w:t>6.54万元，支出决算为6.27万元，完成预算的95.87%，决算数小于预算数的主要原因是本单位厉行节俭，与上年相比增加2.29万元，增长57.54%,增长的主要原因是车辆维修费开支比重较大。</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（二）“三公”经费财政拨款支出决算具体情况说明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2021年度“三公”经费财政拨款支出决算中，公务接待费支出决算0万元，占0%,因公出国（境）费支出决算0万元，占0,公务用车购置费及运行维护费支出决算6.27万元，占100%。其中：</w:t>
      </w:r>
    </w:p>
    <w:p>
      <w:pPr>
        <w:spacing w:line="600" w:lineRule="exact"/>
        <w:ind w:firstLine="640" w:firstLineChars="200"/>
        <w:rPr>
          <w:rFonts w:ascii="仿宋" w:hAnsi="仿宋" w:eastAsia="仿宋"/>
          <w:sz w:val="32"/>
          <w:szCs w:val="32"/>
        </w:rPr>
      </w:pPr>
      <w:r>
        <w:rPr>
          <w:rFonts w:ascii="仿宋" w:hAnsi="仿宋" w:eastAsia="仿宋"/>
          <w:sz w:val="32"/>
          <w:szCs w:val="32"/>
        </w:rPr>
        <w:t>1、因公出国（境）费支出决算为0万元，全年安排因公出国（境）团组0个，累计0人次。</w:t>
      </w:r>
    </w:p>
    <w:p>
      <w:pPr>
        <w:spacing w:line="600" w:lineRule="exact"/>
        <w:ind w:firstLine="640" w:firstLineChars="200"/>
        <w:rPr>
          <w:rFonts w:ascii="仿宋" w:hAnsi="仿宋" w:eastAsia="仿宋"/>
          <w:sz w:val="32"/>
          <w:szCs w:val="32"/>
        </w:rPr>
      </w:pPr>
      <w:r>
        <w:rPr>
          <w:rFonts w:ascii="仿宋" w:hAnsi="仿宋" w:eastAsia="仿宋"/>
          <w:sz w:val="32"/>
          <w:szCs w:val="32"/>
        </w:rPr>
        <w:t>2、公务接待费支出决算为0万元，全年共接待来访团组0、来宾0人次。</w:t>
      </w:r>
    </w:p>
    <w:p>
      <w:pPr>
        <w:spacing w:line="600" w:lineRule="exact"/>
        <w:ind w:firstLine="640" w:firstLineChars="200"/>
        <w:rPr>
          <w:rFonts w:ascii="仿宋" w:hAnsi="仿宋" w:eastAsia="仿宋"/>
          <w:sz w:val="32"/>
          <w:szCs w:val="32"/>
        </w:rPr>
      </w:pPr>
      <w:r>
        <w:rPr>
          <w:rFonts w:ascii="仿宋" w:hAnsi="仿宋" w:eastAsia="仿宋"/>
          <w:sz w:val="32"/>
          <w:szCs w:val="32"/>
        </w:rPr>
        <w:t>3、公务用车购置费及运行维护费支出决算为6.27万元，其中：公务用车购置费0万元，怀化市光荣院更新公务用车0辆。公务用车运行维护费6.27万元，主要是车辆燃油费、维修费、车辆保险等支出，截至2021年12月31日，我单位开支财政拨款的公务用车保有量为2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八、政府性基金预算收入支出决算情况说明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2021年度政府性基金预算财政拨款收入43.78万元；年初结转和结余0万元；支出43.78万元，其中基本支出0万元，项目支出43.78万元；年末结转和结余0万元。具体情况如下：</w:t>
      </w:r>
    </w:p>
    <w:p>
      <w:pPr>
        <w:spacing w:line="600" w:lineRule="exact"/>
        <w:ind w:firstLine="640" w:firstLineChars="200"/>
        <w:rPr>
          <w:rFonts w:ascii="仿宋" w:hAnsi="仿宋" w:eastAsia="仿宋"/>
          <w:sz w:val="32"/>
          <w:szCs w:val="32"/>
        </w:rPr>
      </w:pPr>
      <w:r>
        <w:rPr>
          <w:rFonts w:ascii="仿宋" w:hAnsi="仿宋" w:eastAsia="仿宋"/>
          <w:sz w:val="32"/>
          <w:szCs w:val="32"/>
        </w:rPr>
        <w:t>1、其他支出（类）彩票公益金安排的支出（款）用于社会福利的彩票公益金支出（项）。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0万元，支出决算为43.78万元，决算数大于年初预算数的主要原因是：追加预算。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九、国有资本经营预算财政拨款支出决算情况说明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本单位无国有资本经营预算财政拨款支出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十、机关运行经费支出说明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本单位是全额拨款事业单位，没有机关运行经费。</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十一、一般性支出情况说明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本部门开支会议费0万元；开支培训费0.2万元，用于开展市人社局事业单位工作人员网上培训，人数6人，内容为人事、财政方面，每人根据需求选择不同的方面进行网上听课培训；未举办节庆、晚会、论坛、赛事活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十二、政府采购支出说明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本部门</w:t>
      </w:r>
      <w:r>
        <w:rPr>
          <w:rFonts w:ascii="仿宋" w:hAnsi="仿宋" w:eastAsia="仿宋"/>
          <w:sz w:val="32"/>
          <w:szCs w:val="32"/>
        </w:rPr>
        <w:t>2021年度政府采购支出总额36.57万元，其中：政府采购货物支出29.40万元、政府采购工程支出0万元、政府采购服务支出7.17万元。授予中小企业合同金额36.57万元，占政府采购支出总额的100%，其中：授予小微企业合同金额36.57万元，占政府采购支出总额的100%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十三、国有资产占用情况说明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2021年12月31日，部门（单位）共有车辆2辆，其中，主要领导干部用车0辆，机要通信用车0辆、应急保障用车0辆、执法执勤用车0辆、特种专业技术用车0辆、其他用车2辆，其他用车主要是食堂采购和院内老人服务；单位价值50万元以上通用设备0台（套）；单位价值100万元以上专用设备0台（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十四、</w:t>
      </w:r>
      <w:r>
        <w:rPr>
          <w:rFonts w:ascii="黑体" w:hAnsi="黑体" w:eastAsia="黑体"/>
          <w:sz w:val="32"/>
          <w:szCs w:val="32"/>
        </w:rPr>
        <w:t>2021年度预算绩效情况说明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本部门预算绩效管理开展情况、绩效自评和绩效评价报告见附件。本单位无重点项目，因此无重点项目绩效报告。</w:t>
      </w:r>
      <w:bookmarkStart w:id="0" w:name="_GoBack"/>
      <w:bookmarkEnd w:id="0"/>
    </w:p>
    <w:p>
      <w:pPr>
        <w:spacing w:line="600" w:lineRule="exact"/>
        <w:ind w:firstLine="640" w:firstLineChars="200"/>
        <w:rPr>
          <w:rFonts w:hint="eastAsia" w:ascii="仿宋" w:hAnsi="仿宋" w:eastAsia="仿宋"/>
          <w:sz w:val="32"/>
          <w:szCs w:val="32"/>
        </w:rPr>
      </w:pPr>
      <w:r>
        <w:rPr>
          <w:rFonts w:ascii="仿宋" w:hAnsi="仿宋" w:eastAsia="仿宋"/>
          <w:sz w:val="32"/>
          <w:szCs w:val="32"/>
        </w:rPr>
        <w:t> </w:t>
      </w:r>
    </w:p>
    <w:p>
      <w:pPr>
        <w:spacing w:line="600" w:lineRule="exact"/>
        <w:ind w:firstLine="883" w:firstLineChars="200"/>
        <w:jc w:val="center"/>
        <w:rPr>
          <w:rFonts w:ascii="黑体" w:hAnsi="黑体" w:eastAsia="黑体"/>
          <w:b/>
          <w:bCs/>
          <w:sz w:val="44"/>
          <w:szCs w:val="44"/>
        </w:rPr>
      </w:pPr>
      <w:r>
        <w:rPr>
          <w:rFonts w:hint="eastAsia" w:ascii="黑体" w:hAnsi="黑体" w:eastAsia="黑体"/>
          <w:b/>
          <w:bCs/>
          <w:sz w:val="44"/>
          <w:szCs w:val="44"/>
        </w:rPr>
        <w:t>第四部分 名词解释</w:t>
      </w:r>
    </w:p>
    <w:p>
      <w:pPr>
        <w:spacing w:line="600" w:lineRule="exact"/>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 </w:t>
      </w:r>
    </w:p>
    <w:p>
      <w:pPr>
        <w:spacing w:line="600" w:lineRule="exact"/>
        <w:ind w:firstLine="883" w:firstLineChars="200"/>
        <w:jc w:val="center"/>
        <w:rPr>
          <w:rFonts w:ascii="黑体" w:hAnsi="黑体" w:eastAsia="黑体"/>
          <w:b/>
          <w:bCs/>
          <w:sz w:val="44"/>
          <w:szCs w:val="44"/>
        </w:rPr>
      </w:pPr>
      <w:r>
        <w:rPr>
          <w:rFonts w:hint="eastAsia" w:ascii="黑体" w:hAnsi="黑体" w:eastAsia="黑体"/>
          <w:b/>
          <w:bCs/>
          <w:sz w:val="44"/>
          <w:szCs w:val="44"/>
        </w:rPr>
        <w:t>第五部分 附件</w:t>
      </w:r>
    </w:p>
    <w:p>
      <w:pPr>
        <w:spacing w:line="600" w:lineRule="exact"/>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jM4OGRjMjA1YmIwNDg3YWY0MmMwNWU4YTAwYjIifQ=="/>
  </w:docVars>
  <w:rsids>
    <w:rsidRoot w:val="00630293"/>
    <w:rsid w:val="00630293"/>
    <w:rsid w:val="00830E23"/>
    <w:rsid w:val="12BE056A"/>
    <w:rsid w:val="49595E62"/>
    <w:rsid w:val="6039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720</Words>
  <Characters>4110</Characters>
  <Lines>34</Lines>
  <Paragraphs>9</Paragraphs>
  <TotalTime>37</TotalTime>
  <ScaleCrop>false</ScaleCrop>
  <LinksUpToDate>false</LinksUpToDate>
  <CharactersWithSpaces>4821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2023-09-06T14:24:00Z</dcterms:created>
  <dc:creator>汪 梦引</dc:creator>
  <cp:lastModifiedBy>非鱼</cp:lastModifiedBy>
  <dcterms:modified xsi:type="dcterms:W3CDTF">2023-10-03T13:53:24Z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29DBA555C1AC420CBDDBA54D5960AB71_12</vt:lpwstr>
  </property>
</Properties>
</file>