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630E8D">
      <w:pPr>
        <w:spacing w:line="600" w:lineRule="exact"/>
        <w:jc w:val="center"/>
        <w:rPr>
          <w:rFonts w:ascii="仿宋" w:hAnsi="仿宋" w:eastAsia="仿宋"/>
          <w:b/>
          <w:bCs/>
          <w:sz w:val="48"/>
          <w:szCs w:val="48"/>
        </w:rPr>
      </w:pPr>
      <w:r>
        <w:rPr>
          <w:rFonts w:ascii="仿宋" w:hAnsi="仿宋" w:eastAsia="仿宋"/>
          <w:b/>
          <w:bCs/>
          <w:sz w:val="48"/>
          <w:szCs w:val="48"/>
        </w:rPr>
        <w:t>2021年度</w:t>
      </w:r>
      <w:r>
        <w:rPr>
          <w:rFonts w:hint="eastAsia" w:ascii="仿宋" w:hAnsi="仿宋" w:eastAsia="仿宋"/>
          <w:b/>
          <w:bCs/>
          <w:sz w:val="48"/>
          <w:szCs w:val="48"/>
        </w:rPr>
        <w:t>怀化市军队离休退休干部休养所部门决算</w:t>
      </w:r>
    </w:p>
    <w:p w14:paraId="4C54B358">
      <w:pPr>
        <w:spacing w:line="600" w:lineRule="exact"/>
        <w:rPr>
          <w:rFonts w:hint="eastAsia" w:ascii="仿宋" w:hAnsi="仿宋" w:eastAsia="仿宋"/>
          <w:sz w:val="32"/>
          <w:szCs w:val="32"/>
        </w:rPr>
      </w:pPr>
    </w:p>
    <w:p w14:paraId="70D029B9">
      <w:pPr>
        <w:spacing w:line="600" w:lineRule="exact"/>
        <w:ind w:firstLine="643" w:firstLineChars="200"/>
        <w:jc w:val="center"/>
        <w:rPr>
          <w:rFonts w:ascii="黑体" w:hAnsi="黑体" w:eastAsia="黑体"/>
          <w:b/>
          <w:bCs/>
          <w:sz w:val="32"/>
          <w:szCs w:val="32"/>
        </w:rPr>
      </w:pPr>
      <w:r>
        <w:rPr>
          <w:rFonts w:hint="eastAsia" w:ascii="黑体" w:hAnsi="黑体" w:eastAsia="黑体"/>
          <w:b/>
          <w:bCs/>
          <w:sz w:val="32"/>
          <w:szCs w:val="32"/>
        </w:rPr>
        <w:t>目 录</w:t>
      </w:r>
    </w:p>
    <w:p w14:paraId="1783905E">
      <w:pPr>
        <w:spacing w:line="600" w:lineRule="exact"/>
        <w:ind w:firstLine="643" w:firstLineChars="200"/>
        <w:rPr>
          <w:rFonts w:ascii="黑体" w:hAnsi="黑体" w:eastAsia="黑体"/>
          <w:b/>
          <w:bCs/>
          <w:sz w:val="32"/>
          <w:szCs w:val="32"/>
        </w:rPr>
      </w:pPr>
      <w:r>
        <w:rPr>
          <w:rFonts w:hint="eastAsia" w:ascii="黑体" w:hAnsi="黑体" w:eastAsia="黑体"/>
          <w:b/>
          <w:bCs/>
          <w:sz w:val="32"/>
          <w:szCs w:val="32"/>
        </w:rPr>
        <w:t>第一部分 怀化市退役军人事务局部门概况</w:t>
      </w:r>
    </w:p>
    <w:p w14:paraId="263FE26D">
      <w:pPr>
        <w:spacing w:line="600" w:lineRule="exact"/>
        <w:ind w:firstLine="640" w:firstLineChars="200"/>
        <w:rPr>
          <w:rFonts w:ascii="仿宋" w:hAnsi="仿宋" w:eastAsia="仿宋"/>
          <w:sz w:val="32"/>
          <w:szCs w:val="32"/>
        </w:rPr>
      </w:pPr>
      <w:r>
        <w:rPr>
          <w:rFonts w:hint="eastAsia" w:ascii="仿宋" w:hAnsi="仿宋" w:eastAsia="仿宋"/>
          <w:sz w:val="32"/>
          <w:szCs w:val="32"/>
        </w:rPr>
        <w:t>一、部门职责</w:t>
      </w:r>
    </w:p>
    <w:p w14:paraId="1007B243">
      <w:pPr>
        <w:spacing w:line="600" w:lineRule="exact"/>
        <w:ind w:firstLine="640" w:firstLineChars="200"/>
        <w:rPr>
          <w:rFonts w:ascii="仿宋" w:hAnsi="仿宋" w:eastAsia="仿宋"/>
          <w:sz w:val="32"/>
          <w:szCs w:val="32"/>
        </w:rPr>
      </w:pPr>
      <w:r>
        <w:rPr>
          <w:rFonts w:hint="eastAsia" w:ascii="仿宋" w:hAnsi="仿宋" w:eastAsia="仿宋"/>
          <w:sz w:val="32"/>
          <w:szCs w:val="32"/>
        </w:rPr>
        <w:t>二、机构设置</w:t>
      </w:r>
    </w:p>
    <w:p w14:paraId="6FD4249B">
      <w:pPr>
        <w:spacing w:line="600" w:lineRule="exact"/>
        <w:ind w:firstLine="643" w:firstLineChars="200"/>
        <w:rPr>
          <w:rFonts w:ascii="黑体" w:hAnsi="黑体" w:eastAsia="黑体"/>
          <w:b/>
          <w:bCs/>
          <w:sz w:val="32"/>
          <w:szCs w:val="32"/>
        </w:rPr>
      </w:pPr>
      <w:r>
        <w:rPr>
          <w:rFonts w:hint="eastAsia" w:ascii="黑体" w:hAnsi="黑体" w:eastAsia="黑体"/>
          <w:b/>
          <w:bCs/>
          <w:sz w:val="32"/>
          <w:szCs w:val="32"/>
        </w:rPr>
        <w:t xml:space="preserve">第二部分 </w:t>
      </w:r>
      <w:r>
        <w:rPr>
          <w:rFonts w:ascii="黑体" w:hAnsi="黑体" w:eastAsia="黑体"/>
          <w:b/>
          <w:bCs/>
          <w:sz w:val="32"/>
          <w:szCs w:val="32"/>
        </w:rPr>
        <w:t>2021年度部门决算表</w:t>
      </w:r>
    </w:p>
    <w:p w14:paraId="2B7F4798">
      <w:pPr>
        <w:spacing w:line="600" w:lineRule="exact"/>
        <w:ind w:firstLine="640" w:firstLineChars="200"/>
        <w:rPr>
          <w:rFonts w:ascii="仿宋" w:hAnsi="仿宋" w:eastAsia="仿宋"/>
          <w:sz w:val="32"/>
          <w:szCs w:val="32"/>
        </w:rPr>
      </w:pPr>
      <w:r>
        <w:rPr>
          <w:rFonts w:hint="eastAsia" w:ascii="仿宋" w:hAnsi="仿宋" w:eastAsia="仿宋"/>
          <w:sz w:val="32"/>
          <w:szCs w:val="32"/>
        </w:rPr>
        <w:t>一、收入支出决算总表</w:t>
      </w:r>
    </w:p>
    <w:p w14:paraId="56A8AC7D">
      <w:pPr>
        <w:spacing w:line="600" w:lineRule="exact"/>
        <w:ind w:firstLine="640" w:firstLineChars="200"/>
        <w:rPr>
          <w:rFonts w:ascii="仿宋" w:hAnsi="仿宋" w:eastAsia="仿宋"/>
          <w:sz w:val="32"/>
          <w:szCs w:val="32"/>
        </w:rPr>
      </w:pPr>
      <w:r>
        <w:rPr>
          <w:rFonts w:hint="eastAsia" w:ascii="仿宋" w:hAnsi="仿宋" w:eastAsia="仿宋"/>
          <w:sz w:val="32"/>
          <w:szCs w:val="32"/>
        </w:rPr>
        <w:t>二、收入决算表</w:t>
      </w:r>
    </w:p>
    <w:p w14:paraId="223506C0">
      <w:pPr>
        <w:spacing w:line="600" w:lineRule="exact"/>
        <w:ind w:firstLine="640" w:firstLineChars="200"/>
        <w:rPr>
          <w:rFonts w:ascii="仿宋" w:hAnsi="仿宋" w:eastAsia="仿宋"/>
          <w:sz w:val="32"/>
          <w:szCs w:val="32"/>
        </w:rPr>
      </w:pPr>
      <w:r>
        <w:rPr>
          <w:rFonts w:hint="eastAsia" w:ascii="仿宋" w:hAnsi="仿宋" w:eastAsia="仿宋"/>
          <w:sz w:val="32"/>
          <w:szCs w:val="32"/>
        </w:rPr>
        <w:t>三、支出决算表</w:t>
      </w:r>
    </w:p>
    <w:p w14:paraId="52C128CF">
      <w:pPr>
        <w:spacing w:line="600" w:lineRule="exact"/>
        <w:ind w:firstLine="640" w:firstLineChars="200"/>
        <w:rPr>
          <w:rFonts w:ascii="仿宋" w:hAnsi="仿宋" w:eastAsia="仿宋"/>
          <w:sz w:val="32"/>
          <w:szCs w:val="32"/>
        </w:rPr>
      </w:pPr>
      <w:r>
        <w:rPr>
          <w:rFonts w:hint="eastAsia" w:ascii="仿宋" w:hAnsi="仿宋" w:eastAsia="仿宋"/>
          <w:sz w:val="32"/>
          <w:szCs w:val="32"/>
        </w:rPr>
        <w:t>四、财政拨款收入支出决算总表</w:t>
      </w:r>
    </w:p>
    <w:p w14:paraId="55381EFA">
      <w:pPr>
        <w:spacing w:line="600" w:lineRule="exact"/>
        <w:ind w:firstLine="640" w:firstLineChars="200"/>
        <w:rPr>
          <w:rFonts w:ascii="仿宋" w:hAnsi="仿宋" w:eastAsia="仿宋"/>
          <w:sz w:val="32"/>
          <w:szCs w:val="32"/>
        </w:rPr>
      </w:pPr>
      <w:r>
        <w:rPr>
          <w:rFonts w:hint="eastAsia" w:ascii="仿宋" w:hAnsi="仿宋" w:eastAsia="仿宋"/>
          <w:sz w:val="32"/>
          <w:szCs w:val="32"/>
        </w:rPr>
        <w:t>五、一般公共预算财政拨款支出决算表</w:t>
      </w:r>
    </w:p>
    <w:p w14:paraId="0D8701B4">
      <w:pPr>
        <w:spacing w:line="600" w:lineRule="exact"/>
        <w:ind w:firstLine="640" w:firstLineChars="200"/>
        <w:rPr>
          <w:rFonts w:ascii="仿宋" w:hAnsi="仿宋" w:eastAsia="仿宋"/>
          <w:sz w:val="32"/>
          <w:szCs w:val="32"/>
        </w:rPr>
      </w:pPr>
      <w:r>
        <w:rPr>
          <w:rFonts w:hint="eastAsia" w:ascii="仿宋" w:hAnsi="仿宋" w:eastAsia="仿宋"/>
          <w:sz w:val="32"/>
          <w:szCs w:val="32"/>
        </w:rPr>
        <w:t>六、一般公共预算财政拨款基本支出决算明细表</w:t>
      </w:r>
    </w:p>
    <w:p w14:paraId="3D0570C5">
      <w:pPr>
        <w:spacing w:line="600" w:lineRule="exact"/>
        <w:ind w:firstLine="640" w:firstLineChars="200"/>
        <w:rPr>
          <w:rFonts w:ascii="仿宋" w:hAnsi="仿宋" w:eastAsia="仿宋"/>
          <w:sz w:val="32"/>
          <w:szCs w:val="32"/>
        </w:rPr>
      </w:pPr>
      <w:r>
        <w:rPr>
          <w:rFonts w:hint="eastAsia" w:ascii="仿宋" w:hAnsi="仿宋" w:eastAsia="仿宋"/>
          <w:sz w:val="32"/>
          <w:szCs w:val="32"/>
        </w:rPr>
        <w:t>七、一般公共预算财政拨款“三公”经费支出决算表</w:t>
      </w:r>
    </w:p>
    <w:p w14:paraId="0D5EA5D6">
      <w:pPr>
        <w:spacing w:line="600" w:lineRule="exact"/>
        <w:ind w:firstLine="640" w:firstLineChars="200"/>
        <w:rPr>
          <w:rFonts w:ascii="仿宋" w:hAnsi="仿宋" w:eastAsia="仿宋"/>
          <w:sz w:val="32"/>
          <w:szCs w:val="32"/>
        </w:rPr>
      </w:pPr>
      <w:r>
        <w:rPr>
          <w:rFonts w:hint="eastAsia" w:ascii="仿宋" w:hAnsi="仿宋" w:eastAsia="仿宋"/>
          <w:sz w:val="32"/>
          <w:szCs w:val="32"/>
        </w:rPr>
        <w:t>八、政府性基金预算财政拨款收入支出决算表</w:t>
      </w:r>
    </w:p>
    <w:p w14:paraId="368B2AB9">
      <w:pPr>
        <w:spacing w:line="600" w:lineRule="exact"/>
        <w:ind w:firstLine="640" w:firstLineChars="200"/>
        <w:rPr>
          <w:rFonts w:ascii="仿宋" w:hAnsi="仿宋" w:eastAsia="仿宋"/>
          <w:sz w:val="32"/>
          <w:szCs w:val="32"/>
        </w:rPr>
      </w:pPr>
      <w:r>
        <w:rPr>
          <w:rFonts w:hint="eastAsia" w:ascii="仿宋" w:hAnsi="仿宋" w:eastAsia="仿宋"/>
          <w:sz w:val="32"/>
          <w:szCs w:val="32"/>
        </w:rPr>
        <w:t>九、国有资本经营预算财政拨款支出决算表</w:t>
      </w:r>
    </w:p>
    <w:p w14:paraId="5E4DBF72">
      <w:pPr>
        <w:spacing w:line="600" w:lineRule="exact"/>
        <w:ind w:firstLine="643" w:firstLineChars="200"/>
        <w:rPr>
          <w:rFonts w:ascii="黑体" w:hAnsi="黑体" w:eastAsia="黑体"/>
          <w:b/>
          <w:bCs/>
          <w:sz w:val="32"/>
          <w:szCs w:val="32"/>
        </w:rPr>
      </w:pPr>
      <w:r>
        <w:rPr>
          <w:rFonts w:hint="eastAsia" w:ascii="黑体" w:hAnsi="黑体" w:eastAsia="黑体"/>
          <w:b/>
          <w:bCs/>
          <w:sz w:val="32"/>
          <w:szCs w:val="32"/>
        </w:rPr>
        <w:t xml:space="preserve">第三部分 </w:t>
      </w:r>
      <w:r>
        <w:rPr>
          <w:rFonts w:ascii="黑体" w:hAnsi="黑体" w:eastAsia="黑体"/>
          <w:b/>
          <w:bCs/>
          <w:sz w:val="32"/>
          <w:szCs w:val="32"/>
        </w:rPr>
        <w:t>2021年度部门决算情况说明</w:t>
      </w:r>
    </w:p>
    <w:p w14:paraId="44CC21E9">
      <w:pPr>
        <w:spacing w:line="600" w:lineRule="exact"/>
        <w:ind w:firstLine="640" w:firstLineChars="200"/>
        <w:rPr>
          <w:rFonts w:ascii="仿宋" w:hAnsi="仿宋" w:eastAsia="仿宋"/>
          <w:sz w:val="32"/>
          <w:szCs w:val="32"/>
        </w:rPr>
      </w:pPr>
      <w:r>
        <w:rPr>
          <w:rFonts w:hint="eastAsia" w:ascii="仿宋" w:hAnsi="仿宋" w:eastAsia="仿宋"/>
          <w:sz w:val="32"/>
          <w:szCs w:val="32"/>
        </w:rPr>
        <w:t>一、收入支出决算总体情况说明</w:t>
      </w:r>
    </w:p>
    <w:p w14:paraId="18356B24">
      <w:pPr>
        <w:spacing w:line="600" w:lineRule="exact"/>
        <w:ind w:firstLine="640" w:firstLineChars="200"/>
        <w:rPr>
          <w:rFonts w:ascii="仿宋" w:hAnsi="仿宋" w:eastAsia="仿宋"/>
          <w:sz w:val="32"/>
          <w:szCs w:val="32"/>
        </w:rPr>
      </w:pPr>
      <w:r>
        <w:rPr>
          <w:rFonts w:hint="eastAsia" w:ascii="仿宋" w:hAnsi="仿宋" w:eastAsia="仿宋"/>
          <w:sz w:val="32"/>
          <w:szCs w:val="32"/>
        </w:rPr>
        <w:t>二、收入决算情况说明</w:t>
      </w:r>
    </w:p>
    <w:p w14:paraId="6D8A9F66">
      <w:pPr>
        <w:spacing w:line="600" w:lineRule="exact"/>
        <w:ind w:firstLine="640" w:firstLineChars="200"/>
        <w:rPr>
          <w:rFonts w:ascii="仿宋" w:hAnsi="仿宋" w:eastAsia="仿宋"/>
          <w:sz w:val="32"/>
          <w:szCs w:val="32"/>
        </w:rPr>
      </w:pPr>
      <w:r>
        <w:rPr>
          <w:rFonts w:hint="eastAsia" w:ascii="仿宋" w:hAnsi="仿宋" w:eastAsia="仿宋"/>
          <w:sz w:val="32"/>
          <w:szCs w:val="32"/>
        </w:rPr>
        <w:t>三、支出决算情况说明</w:t>
      </w:r>
    </w:p>
    <w:p w14:paraId="2F59599D">
      <w:pPr>
        <w:spacing w:line="600" w:lineRule="exact"/>
        <w:ind w:firstLine="640" w:firstLineChars="200"/>
        <w:rPr>
          <w:rFonts w:ascii="仿宋" w:hAnsi="仿宋" w:eastAsia="仿宋"/>
          <w:sz w:val="32"/>
          <w:szCs w:val="32"/>
        </w:rPr>
      </w:pPr>
      <w:r>
        <w:rPr>
          <w:rFonts w:hint="eastAsia" w:ascii="仿宋" w:hAnsi="仿宋" w:eastAsia="仿宋"/>
          <w:sz w:val="32"/>
          <w:szCs w:val="32"/>
        </w:rPr>
        <w:t>四、财政拨款收入支出决算总体情况说明</w:t>
      </w:r>
    </w:p>
    <w:p w14:paraId="2BD2F6F4">
      <w:pPr>
        <w:spacing w:line="600" w:lineRule="exact"/>
        <w:ind w:firstLine="640" w:firstLineChars="200"/>
        <w:rPr>
          <w:rFonts w:ascii="仿宋" w:hAnsi="仿宋" w:eastAsia="仿宋"/>
          <w:sz w:val="32"/>
          <w:szCs w:val="32"/>
        </w:rPr>
      </w:pPr>
      <w:r>
        <w:rPr>
          <w:rFonts w:hint="eastAsia" w:ascii="仿宋" w:hAnsi="仿宋" w:eastAsia="仿宋"/>
          <w:sz w:val="32"/>
          <w:szCs w:val="32"/>
        </w:rPr>
        <w:t>五、一般公共预算财政拨款支出决算情况说明</w:t>
      </w:r>
    </w:p>
    <w:p w14:paraId="4A873B4E">
      <w:pPr>
        <w:spacing w:line="600" w:lineRule="exact"/>
        <w:ind w:firstLine="640" w:firstLineChars="200"/>
        <w:rPr>
          <w:rFonts w:ascii="仿宋" w:hAnsi="仿宋" w:eastAsia="仿宋"/>
          <w:sz w:val="32"/>
          <w:szCs w:val="32"/>
        </w:rPr>
      </w:pPr>
      <w:r>
        <w:rPr>
          <w:rFonts w:hint="eastAsia" w:ascii="仿宋" w:hAnsi="仿宋" w:eastAsia="仿宋"/>
          <w:sz w:val="32"/>
          <w:szCs w:val="32"/>
        </w:rPr>
        <w:t>六、一般公共预算财政拨款基本支出决算情况说明</w:t>
      </w:r>
    </w:p>
    <w:p w14:paraId="39944D59">
      <w:pPr>
        <w:spacing w:line="600" w:lineRule="exact"/>
        <w:ind w:firstLine="640" w:firstLineChars="200"/>
        <w:rPr>
          <w:rFonts w:ascii="仿宋" w:hAnsi="仿宋" w:eastAsia="仿宋"/>
          <w:sz w:val="32"/>
          <w:szCs w:val="32"/>
        </w:rPr>
      </w:pPr>
      <w:r>
        <w:rPr>
          <w:rFonts w:hint="eastAsia" w:ascii="仿宋" w:hAnsi="仿宋" w:eastAsia="仿宋"/>
          <w:sz w:val="32"/>
          <w:szCs w:val="32"/>
        </w:rPr>
        <w:t>七、一般公共预算财政拨款“三公”经费支出决算情况说明</w:t>
      </w:r>
    </w:p>
    <w:p w14:paraId="0431C1D0">
      <w:pPr>
        <w:spacing w:line="600" w:lineRule="exact"/>
        <w:ind w:firstLine="640" w:firstLineChars="200"/>
        <w:rPr>
          <w:rFonts w:ascii="仿宋" w:hAnsi="仿宋" w:eastAsia="仿宋"/>
          <w:sz w:val="32"/>
          <w:szCs w:val="32"/>
        </w:rPr>
      </w:pPr>
      <w:r>
        <w:rPr>
          <w:rFonts w:hint="eastAsia" w:ascii="仿宋" w:hAnsi="仿宋" w:eastAsia="仿宋"/>
          <w:sz w:val="32"/>
          <w:szCs w:val="32"/>
        </w:rPr>
        <w:t>八、政府性基金预算收入支出决算情况</w:t>
      </w:r>
    </w:p>
    <w:p w14:paraId="7273B544">
      <w:pPr>
        <w:spacing w:line="600" w:lineRule="exact"/>
        <w:ind w:firstLine="640" w:firstLineChars="200"/>
        <w:rPr>
          <w:rFonts w:ascii="仿宋" w:hAnsi="仿宋" w:eastAsia="仿宋"/>
          <w:sz w:val="32"/>
          <w:szCs w:val="32"/>
        </w:rPr>
      </w:pPr>
      <w:r>
        <w:rPr>
          <w:rFonts w:hint="eastAsia" w:ascii="仿宋" w:hAnsi="仿宋" w:eastAsia="仿宋"/>
          <w:sz w:val="32"/>
          <w:szCs w:val="32"/>
        </w:rPr>
        <w:t>九、国有资本经营预算财政拨款支出决算情况说明</w:t>
      </w:r>
    </w:p>
    <w:p w14:paraId="1D0BE729">
      <w:pPr>
        <w:spacing w:line="600" w:lineRule="exact"/>
        <w:ind w:firstLine="640" w:firstLineChars="200"/>
        <w:rPr>
          <w:rFonts w:ascii="仿宋" w:hAnsi="仿宋" w:eastAsia="仿宋"/>
          <w:sz w:val="32"/>
          <w:szCs w:val="32"/>
        </w:rPr>
      </w:pPr>
      <w:r>
        <w:rPr>
          <w:rFonts w:hint="eastAsia" w:ascii="仿宋" w:hAnsi="仿宋" w:eastAsia="仿宋"/>
          <w:sz w:val="32"/>
          <w:szCs w:val="32"/>
        </w:rPr>
        <w:t>十、关于机关运行经费支出说明</w:t>
      </w:r>
    </w:p>
    <w:p w14:paraId="771A5711">
      <w:pPr>
        <w:spacing w:line="600" w:lineRule="exact"/>
        <w:ind w:firstLine="640" w:firstLineChars="200"/>
        <w:rPr>
          <w:rFonts w:ascii="仿宋" w:hAnsi="仿宋" w:eastAsia="仿宋"/>
          <w:sz w:val="32"/>
          <w:szCs w:val="32"/>
        </w:rPr>
      </w:pPr>
      <w:r>
        <w:rPr>
          <w:rFonts w:hint="eastAsia" w:ascii="仿宋" w:hAnsi="仿宋" w:eastAsia="仿宋"/>
          <w:sz w:val="32"/>
          <w:szCs w:val="32"/>
        </w:rPr>
        <w:t>十一、一般性支出情况说明</w:t>
      </w:r>
    </w:p>
    <w:p w14:paraId="68FFC61F">
      <w:pPr>
        <w:spacing w:line="600" w:lineRule="exact"/>
        <w:ind w:firstLine="640" w:firstLineChars="200"/>
        <w:rPr>
          <w:rFonts w:ascii="仿宋" w:hAnsi="仿宋" w:eastAsia="仿宋"/>
          <w:sz w:val="32"/>
          <w:szCs w:val="32"/>
        </w:rPr>
      </w:pPr>
      <w:r>
        <w:rPr>
          <w:rFonts w:hint="eastAsia" w:ascii="仿宋" w:hAnsi="仿宋" w:eastAsia="仿宋"/>
          <w:sz w:val="32"/>
          <w:szCs w:val="32"/>
        </w:rPr>
        <w:t>十二、关于政府采购支出说明</w:t>
      </w:r>
    </w:p>
    <w:p w14:paraId="05A250E7">
      <w:pPr>
        <w:spacing w:line="600" w:lineRule="exact"/>
        <w:ind w:firstLine="640" w:firstLineChars="200"/>
        <w:rPr>
          <w:rFonts w:ascii="仿宋" w:hAnsi="仿宋" w:eastAsia="仿宋"/>
          <w:sz w:val="32"/>
          <w:szCs w:val="32"/>
        </w:rPr>
      </w:pPr>
      <w:r>
        <w:rPr>
          <w:rFonts w:hint="eastAsia" w:ascii="仿宋" w:hAnsi="仿宋" w:eastAsia="仿宋"/>
          <w:sz w:val="32"/>
          <w:szCs w:val="32"/>
        </w:rPr>
        <w:t>十三、关于国有资产占用情况说明</w:t>
      </w:r>
    </w:p>
    <w:p w14:paraId="0FF60320">
      <w:pPr>
        <w:spacing w:line="600" w:lineRule="exact"/>
        <w:ind w:firstLine="640" w:firstLineChars="200"/>
        <w:rPr>
          <w:rFonts w:ascii="仿宋" w:hAnsi="仿宋" w:eastAsia="仿宋"/>
          <w:sz w:val="32"/>
          <w:szCs w:val="32"/>
        </w:rPr>
      </w:pPr>
      <w:r>
        <w:rPr>
          <w:rFonts w:hint="eastAsia" w:ascii="仿宋" w:hAnsi="仿宋" w:eastAsia="仿宋"/>
          <w:sz w:val="32"/>
          <w:szCs w:val="32"/>
        </w:rPr>
        <w:t>十四、关于</w:t>
      </w:r>
      <w:r>
        <w:rPr>
          <w:rFonts w:ascii="仿宋" w:hAnsi="仿宋" w:eastAsia="仿宋"/>
          <w:sz w:val="32"/>
          <w:szCs w:val="32"/>
        </w:rPr>
        <w:t>2021年度预算绩效情况的说明</w:t>
      </w:r>
    </w:p>
    <w:p w14:paraId="5457C912">
      <w:pPr>
        <w:spacing w:line="600" w:lineRule="exact"/>
        <w:ind w:firstLine="643" w:firstLineChars="200"/>
        <w:rPr>
          <w:rFonts w:ascii="黑体" w:hAnsi="黑体" w:eastAsia="黑体"/>
          <w:b/>
          <w:bCs/>
          <w:sz w:val="32"/>
          <w:szCs w:val="32"/>
        </w:rPr>
      </w:pPr>
      <w:r>
        <w:rPr>
          <w:rFonts w:hint="eastAsia" w:ascii="黑体" w:hAnsi="黑体" w:eastAsia="黑体"/>
          <w:b/>
          <w:bCs/>
          <w:sz w:val="32"/>
          <w:szCs w:val="32"/>
        </w:rPr>
        <w:t>第四部分 名词解释</w:t>
      </w:r>
    </w:p>
    <w:p w14:paraId="6389F6D3">
      <w:pPr>
        <w:spacing w:line="600" w:lineRule="exact"/>
        <w:ind w:firstLine="643" w:firstLineChars="200"/>
        <w:rPr>
          <w:rFonts w:ascii="黑体" w:hAnsi="黑体" w:eastAsia="黑体"/>
          <w:b/>
          <w:bCs/>
          <w:sz w:val="32"/>
          <w:szCs w:val="32"/>
        </w:rPr>
      </w:pPr>
      <w:r>
        <w:rPr>
          <w:rFonts w:hint="eastAsia" w:ascii="黑体" w:hAnsi="黑体" w:eastAsia="黑体"/>
          <w:b/>
          <w:bCs/>
          <w:sz w:val="32"/>
          <w:szCs w:val="32"/>
        </w:rPr>
        <w:t>第五部分 附件</w:t>
      </w:r>
    </w:p>
    <w:p w14:paraId="0E17F908">
      <w:pPr>
        <w:spacing w:line="600" w:lineRule="exact"/>
        <w:rPr>
          <w:rFonts w:hint="eastAsia" w:ascii="仿宋" w:hAnsi="仿宋" w:eastAsia="仿宋"/>
          <w:sz w:val="32"/>
          <w:szCs w:val="32"/>
        </w:rPr>
      </w:pPr>
    </w:p>
    <w:p w14:paraId="65F114A8">
      <w:pPr>
        <w:spacing w:line="600" w:lineRule="exact"/>
        <w:ind w:firstLine="883" w:firstLineChars="200"/>
        <w:jc w:val="center"/>
        <w:rPr>
          <w:rFonts w:ascii="黑体" w:hAnsi="黑体" w:eastAsia="黑体"/>
          <w:b/>
          <w:bCs/>
          <w:sz w:val="44"/>
          <w:szCs w:val="44"/>
        </w:rPr>
      </w:pPr>
      <w:r>
        <w:rPr>
          <w:rFonts w:hint="eastAsia" w:ascii="黑体" w:hAnsi="黑体" w:eastAsia="黑体"/>
          <w:b/>
          <w:bCs/>
          <w:sz w:val="44"/>
          <w:szCs w:val="44"/>
        </w:rPr>
        <w:t>第一部分 怀化市军队离休退休干部休养所单位概况</w:t>
      </w:r>
    </w:p>
    <w:p w14:paraId="5EE889CD">
      <w:pPr>
        <w:spacing w:line="600" w:lineRule="exact"/>
        <w:rPr>
          <w:rFonts w:hint="eastAsia" w:ascii="仿宋" w:hAnsi="仿宋" w:eastAsia="仿宋"/>
          <w:sz w:val="32"/>
          <w:szCs w:val="32"/>
        </w:rPr>
      </w:pPr>
    </w:p>
    <w:p w14:paraId="4B8A320E">
      <w:pPr>
        <w:spacing w:line="600" w:lineRule="exact"/>
        <w:ind w:firstLine="640" w:firstLineChars="200"/>
        <w:rPr>
          <w:rFonts w:ascii="黑体" w:hAnsi="黑体" w:eastAsia="黑体"/>
          <w:sz w:val="32"/>
          <w:szCs w:val="32"/>
        </w:rPr>
      </w:pPr>
      <w:r>
        <w:rPr>
          <w:rFonts w:hint="eastAsia" w:ascii="黑体" w:hAnsi="黑体" w:eastAsia="黑体"/>
          <w:sz w:val="32"/>
          <w:szCs w:val="32"/>
        </w:rPr>
        <w:t>一、</w:t>
      </w:r>
      <w:r>
        <w:rPr>
          <w:rFonts w:ascii="黑体" w:hAnsi="黑体" w:eastAsia="黑体"/>
          <w:sz w:val="32"/>
          <w:szCs w:val="32"/>
        </w:rPr>
        <w:t>部门职责</w:t>
      </w:r>
    </w:p>
    <w:p w14:paraId="04CCD15F">
      <w:pPr>
        <w:spacing w:line="600" w:lineRule="exact"/>
        <w:ind w:firstLine="643" w:firstLineChars="200"/>
        <w:rPr>
          <w:rFonts w:ascii="仿宋" w:hAnsi="仿宋" w:eastAsia="仿宋"/>
          <w:b/>
          <w:bCs/>
          <w:sz w:val="32"/>
          <w:szCs w:val="32"/>
        </w:rPr>
      </w:pPr>
      <w:r>
        <w:rPr>
          <w:rFonts w:hint="eastAsia" w:ascii="仿宋" w:hAnsi="仿宋" w:eastAsia="仿宋"/>
          <w:b/>
          <w:bCs/>
          <w:sz w:val="32"/>
          <w:szCs w:val="32"/>
        </w:rPr>
        <w:t>（一）主要职能。</w:t>
      </w:r>
    </w:p>
    <w:p w14:paraId="3C8347EC">
      <w:pPr>
        <w:spacing w:line="600" w:lineRule="exact"/>
        <w:ind w:firstLine="640" w:firstLineChars="200"/>
        <w:rPr>
          <w:rFonts w:ascii="仿宋" w:hAnsi="仿宋" w:eastAsia="仿宋"/>
          <w:sz w:val="32"/>
          <w:szCs w:val="32"/>
        </w:rPr>
      </w:pPr>
      <w:r>
        <w:rPr>
          <w:rFonts w:hint="eastAsia" w:ascii="仿宋" w:hAnsi="仿宋" w:eastAsia="仿宋"/>
          <w:sz w:val="32"/>
          <w:szCs w:val="32"/>
        </w:rPr>
        <w:t>（</w:t>
      </w:r>
      <w:r>
        <w:rPr>
          <w:rFonts w:ascii="仿宋" w:hAnsi="仿宋" w:eastAsia="仿宋"/>
          <w:sz w:val="32"/>
          <w:szCs w:val="32"/>
        </w:rPr>
        <w:t>1）负责军地双方上级职能部门审核认定的军休干部接收安置手续移交，配合部队做好军休干部的接收进所工作，出</w:t>
      </w:r>
      <w:r>
        <w:rPr>
          <w:rFonts w:hint="eastAsia" w:ascii="仿宋" w:hAnsi="仿宋" w:eastAsia="仿宋"/>
          <w:sz w:val="32"/>
          <w:szCs w:val="32"/>
          <w:lang w:eastAsia="zh-CN"/>
        </w:rPr>
        <w:t>具</w:t>
      </w:r>
      <w:r>
        <w:rPr>
          <w:rFonts w:ascii="仿宋" w:hAnsi="仿宋" w:eastAsia="仿宋"/>
          <w:sz w:val="32"/>
          <w:szCs w:val="32"/>
        </w:rPr>
        <w:t>组织关系、医疗保险、落户等有关的证明信。</w:t>
      </w:r>
    </w:p>
    <w:p w14:paraId="614FFDA2">
      <w:pPr>
        <w:spacing w:line="600" w:lineRule="exact"/>
        <w:ind w:firstLine="640" w:firstLineChars="200"/>
        <w:rPr>
          <w:rFonts w:ascii="仿宋" w:hAnsi="仿宋" w:eastAsia="仿宋"/>
          <w:sz w:val="32"/>
          <w:szCs w:val="32"/>
        </w:rPr>
      </w:pPr>
      <w:r>
        <w:rPr>
          <w:rFonts w:hint="eastAsia" w:ascii="仿宋" w:hAnsi="仿宋" w:eastAsia="仿宋"/>
          <w:sz w:val="32"/>
          <w:szCs w:val="32"/>
        </w:rPr>
        <w:t>（</w:t>
      </w:r>
      <w:r>
        <w:rPr>
          <w:rFonts w:ascii="仿宋" w:hAnsi="仿宋" w:eastAsia="仿宋"/>
          <w:sz w:val="32"/>
          <w:szCs w:val="32"/>
        </w:rPr>
        <w:t>2）完善各项配套设施建设，保证军休老干老有所依，老有所乐，保证军休干部院内生活便利。</w:t>
      </w:r>
    </w:p>
    <w:p w14:paraId="368A5BE8">
      <w:pPr>
        <w:spacing w:line="600" w:lineRule="exact"/>
        <w:ind w:firstLine="640" w:firstLineChars="200"/>
        <w:rPr>
          <w:rFonts w:ascii="仿宋" w:hAnsi="仿宋" w:eastAsia="仿宋"/>
          <w:sz w:val="32"/>
          <w:szCs w:val="32"/>
        </w:rPr>
      </w:pPr>
      <w:r>
        <w:rPr>
          <w:rFonts w:hint="eastAsia" w:ascii="仿宋" w:hAnsi="仿宋" w:eastAsia="仿宋"/>
          <w:sz w:val="32"/>
          <w:szCs w:val="32"/>
        </w:rPr>
        <w:t>（</w:t>
      </w:r>
      <w:r>
        <w:rPr>
          <w:rFonts w:ascii="仿宋" w:hAnsi="仿宋" w:eastAsia="仿宋"/>
          <w:sz w:val="32"/>
          <w:szCs w:val="32"/>
        </w:rPr>
        <w:t>3）组织军休干部学习中央、省、市有关文件，参加党支部，定期过党的组织生活，坚持“三会一课”制度。定期或不定期召开军休干部座谈会，重大节日开展慰问活动。</w:t>
      </w:r>
    </w:p>
    <w:p w14:paraId="66444772">
      <w:pPr>
        <w:spacing w:line="600" w:lineRule="exact"/>
        <w:ind w:firstLine="640" w:firstLineChars="200"/>
        <w:rPr>
          <w:rFonts w:ascii="仿宋" w:hAnsi="仿宋" w:eastAsia="仿宋"/>
          <w:sz w:val="32"/>
          <w:szCs w:val="32"/>
        </w:rPr>
      </w:pPr>
      <w:r>
        <w:rPr>
          <w:rFonts w:hint="eastAsia" w:ascii="仿宋" w:hAnsi="仿宋" w:eastAsia="仿宋"/>
          <w:sz w:val="32"/>
          <w:szCs w:val="32"/>
        </w:rPr>
        <w:t>（</w:t>
      </w:r>
      <w:r>
        <w:rPr>
          <w:rFonts w:ascii="仿宋" w:hAnsi="仿宋" w:eastAsia="仿宋"/>
          <w:sz w:val="32"/>
          <w:szCs w:val="32"/>
        </w:rPr>
        <w:t>4）搞好阅览室、娱乐室、党员活动室建设，安排好军休干部的文化生活。有计划、有步骤</w:t>
      </w:r>
      <w:r>
        <w:rPr>
          <w:rFonts w:hint="eastAsia" w:ascii="仿宋" w:hAnsi="仿宋" w:eastAsia="仿宋"/>
          <w:sz w:val="32"/>
          <w:szCs w:val="32"/>
          <w:lang w:eastAsia="zh-CN"/>
        </w:rPr>
        <w:t>地</w:t>
      </w:r>
      <w:r>
        <w:rPr>
          <w:rFonts w:ascii="仿宋" w:hAnsi="仿宋" w:eastAsia="仿宋"/>
          <w:sz w:val="32"/>
          <w:szCs w:val="32"/>
        </w:rPr>
        <w:t>开展适合老年人的文体活动，增强军休干部体质，丰富军休人员的晚年生活。</w:t>
      </w:r>
    </w:p>
    <w:p w14:paraId="2361879B">
      <w:pPr>
        <w:spacing w:line="600" w:lineRule="exact"/>
        <w:ind w:firstLine="640" w:firstLineChars="200"/>
        <w:rPr>
          <w:rFonts w:ascii="仿宋" w:hAnsi="仿宋" w:eastAsia="仿宋"/>
          <w:sz w:val="32"/>
          <w:szCs w:val="32"/>
        </w:rPr>
      </w:pPr>
      <w:r>
        <w:rPr>
          <w:rFonts w:hint="eastAsia" w:ascii="仿宋" w:hAnsi="仿宋" w:eastAsia="仿宋"/>
          <w:sz w:val="32"/>
          <w:szCs w:val="32"/>
        </w:rPr>
        <w:t>（</w:t>
      </w:r>
      <w:r>
        <w:rPr>
          <w:rFonts w:ascii="仿宋" w:hAnsi="仿宋" w:eastAsia="仿宋"/>
          <w:sz w:val="32"/>
          <w:szCs w:val="32"/>
        </w:rPr>
        <w:t>5）及时足额发放军休干部离退休费、医疗费，为符合条件的军休干部</w:t>
      </w:r>
      <w:r>
        <w:rPr>
          <w:rFonts w:hint="eastAsia" w:ascii="仿宋" w:hAnsi="仿宋" w:eastAsia="仿宋"/>
          <w:sz w:val="32"/>
          <w:szCs w:val="32"/>
          <w:lang w:eastAsia="zh-CN"/>
        </w:rPr>
        <w:t>申报</w:t>
      </w:r>
      <w:r>
        <w:rPr>
          <w:rFonts w:ascii="仿宋" w:hAnsi="仿宋" w:eastAsia="仿宋"/>
          <w:sz w:val="32"/>
          <w:szCs w:val="32"/>
        </w:rPr>
        <w:t>发放护理费、公勤费、军粮补贴等。</w:t>
      </w:r>
    </w:p>
    <w:p w14:paraId="683D9848">
      <w:pPr>
        <w:spacing w:line="600" w:lineRule="exact"/>
        <w:ind w:firstLine="640" w:firstLineChars="200"/>
        <w:rPr>
          <w:rFonts w:ascii="仿宋" w:hAnsi="仿宋" w:eastAsia="仿宋"/>
          <w:sz w:val="32"/>
          <w:szCs w:val="32"/>
        </w:rPr>
      </w:pPr>
      <w:r>
        <w:rPr>
          <w:rFonts w:hint="eastAsia" w:ascii="仿宋" w:hAnsi="仿宋" w:eastAsia="仿宋"/>
          <w:sz w:val="32"/>
          <w:szCs w:val="32"/>
        </w:rPr>
        <w:t>（</w:t>
      </w:r>
      <w:r>
        <w:rPr>
          <w:rFonts w:ascii="仿宋" w:hAnsi="仿宋" w:eastAsia="仿宋"/>
          <w:sz w:val="32"/>
          <w:szCs w:val="32"/>
        </w:rPr>
        <w:t>6）积极开展卫生知识教育和医疗保健活动，定期组织离休干部体检，有病早发现、早治疗。优先保证军休干部就医用车。</w:t>
      </w:r>
    </w:p>
    <w:p w14:paraId="3FF815D9">
      <w:pPr>
        <w:spacing w:line="600" w:lineRule="exact"/>
        <w:ind w:firstLine="640" w:firstLineChars="200"/>
        <w:rPr>
          <w:rFonts w:ascii="仿宋" w:hAnsi="仿宋" w:eastAsia="仿宋"/>
          <w:sz w:val="32"/>
          <w:szCs w:val="32"/>
        </w:rPr>
      </w:pPr>
      <w:r>
        <w:rPr>
          <w:rFonts w:hint="eastAsia" w:ascii="仿宋" w:hAnsi="仿宋" w:eastAsia="仿宋"/>
          <w:sz w:val="32"/>
          <w:szCs w:val="32"/>
        </w:rPr>
        <w:t>（</w:t>
      </w:r>
      <w:r>
        <w:rPr>
          <w:rFonts w:ascii="仿宋" w:hAnsi="仿宋" w:eastAsia="仿宋"/>
          <w:sz w:val="32"/>
          <w:szCs w:val="32"/>
        </w:rPr>
        <w:t>7）为军休干部管委会创造良好的工作条件，进一步发挥军休干部作用，实现“自我教育、自我服务、自我管理”，充分体现军休干部在所中的“主人翁”地位。</w:t>
      </w:r>
    </w:p>
    <w:p w14:paraId="5E79DA30">
      <w:pPr>
        <w:spacing w:line="600" w:lineRule="exact"/>
        <w:ind w:firstLine="640" w:firstLineChars="200"/>
        <w:rPr>
          <w:rFonts w:hint="eastAsia" w:ascii="仿宋" w:hAnsi="仿宋" w:eastAsia="仿宋"/>
          <w:sz w:val="32"/>
          <w:szCs w:val="32"/>
        </w:rPr>
      </w:pPr>
      <w:r>
        <w:rPr>
          <w:rFonts w:hint="eastAsia" w:ascii="仿宋" w:hAnsi="仿宋" w:eastAsia="仿宋"/>
          <w:sz w:val="32"/>
          <w:szCs w:val="32"/>
        </w:rPr>
        <w:t>（</w:t>
      </w:r>
      <w:r>
        <w:rPr>
          <w:rFonts w:ascii="仿宋" w:hAnsi="仿宋" w:eastAsia="仿宋"/>
          <w:sz w:val="32"/>
          <w:szCs w:val="32"/>
        </w:rPr>
        <w:t>8）承办上级各部门交付的其他任务。</w:t>
      </w:r>
    </w:p>
    <w:p w14:paraId="01B406BE">
      <w:pPr>
        <w:spacing w:line="600" w:lineRule="exact"/>
        <w:ind w:firstLine="640" w:firstLineChars="200"/>
        <w:rPr>
          <w:rFonts w:ascii="黑体" w:hAnsi="黑体" w:eastAsia="黑体"/>
          <w:sz w:val="32"/>
          <w:szCs w:val="32"/>
        </w:rPr>
      </w:pPr>
      <w:r>
        <w:rPr>
          <w:rFonts w:hint="eastAsia" w:ascii="黑体" w:hAnsi="黑体" w:eastAsia="黑体"/>
          <w:sz w:val="32"/>
          <w:szCs w:val="32"/>
        </w:rPr>
        <w:t>二、机构设置及决算单位构成</w:t>
      </w:r>
    </w:p>
    <w:p w14:paraId="404E2CDE">
      <w:pPr>
        <w:spacing w:line="600" w:lineRule="exact"/>
        <w:ind w:firstLine="643" w:firstLineChars="200"/>
        <w:rPr>
          <w:rFonts w:ascii="仿宋" w:hAnsi="仿宋" w:eastAsia="仿宋"/>
          <w:sz w:val="32"/>
          <w:szCs w:val="32"/>
        </w:rPr>
      </w:pPr>
      <w:r>
        <w:rPr>
          <w:rFonts w:hint="eastAsia" w:ascii="仿宋" w:hAnsi="仿宋" w:eastAsia="仿宋"/>
          <w:b/>
          <w:bCs/>
          <w:sz w:val="32"/>
          <w:szCs w:val="32"/>
        </w:rPr>
        <w:t>（一）内设机构设置。</w:t>
      </w:r>
      <w:r>
        <w:rPr>
          <w:rFonts w:hint="eastAsia" w:ascii="仿宋" w:hAnsi="仿宋" w:eastAsia="仿宋"/>
          <w:sz w:val="32"/>
          <w:szCs w:val="32"/>
        </w:rPr>
        <w:t>怀化市军队离休退休干部休养所（以下简称我所）位于湖南省怀化市怀西路</w:t>
      </w:r>
      <w:r>
        <w:rPr>
          <w:rFonts w:ascii="仿宋" w:hAnsi="仿宋" w:eastAsia="仿宋"/>
          <w:sz w:val="32"/>
          <w:szCs w:val="32"/>
        </w:rPr>
        <w:t>366号，为财政全额拨款的副处级事业单位，属怀化市退役军人事务局下设二级机构，根据工作职责，内设办公室、财务部、待遇部、文体管理部4个部门，设置有管理岗位、专业技术岗位和工勤技能三类岗位。</w:t>
      </w:r>
    </w:p>
    <w:p w14:paraId="57D3CEA4">
      <w:pPr>
        <w:spacing w:line="600" w:lineRule="exact"/>
        <w:ind w:firstLine="640" w:firstLineChars="200"/>
        <w:rPr>
          <w:rFonts w:ascii="仿宋" w:hAnsi="仿宋" w:eastAsia="仿宋"/>
          <w:sz w:val="32"/>
          <w:szCs w:val="32"/>
        </w:rPr>
      </w:pPr>
    </w:p>
    <w:p w14:paraId="119C9AFC">
      <w:pPr>
        <w:spacing w:line="600" w:lineRule="exact"/>
        <w:ind w:firstLine="643" w:firstLineChars="200"/>
        <w:rPr>
          <w:rFonts w:ascii="仿宋" w:hAnsi="仿宋" w:eastAsia="仿宋"/>
          <w:sz w:val="32"/>
          <w:szCs w:val="32"/>
        </w:rPr>
      </w:pPr>
      <w:r>
        <w:rPr>
          <w:rFonts w:hint="eastAsia" w:ascii="仿宋" w:hAnsi="仿宋" w:eastAsia="仿宋"/>
          <w:b/>
          <w:bCs/>
          <w:sz w:val="32"/>
          <w:szCs w:val="32"/>
        </w:rPr>
        <w:t>（二）决算单位构成。</w:t>
      </w:r>
      <w:r>
        <w:rPr>
          <w:rFonts w:hint="eastAsia" w:ascii="仿宋" w:hAnsi="仿宋" w:eastAsia="仿宋"/>
          <w:sz w:val="32"/>
          <w:szCs w:val="32"/>
        </w:rPr>
        <w:t>怀化市军队离休退休干部休养所</w:t>
      </w:r>
      <w:r>
        <w:rPr>
          <w:rFonts w:ascii="仿宋" w:hAnsi="仿宋" w:eastAsia="仿宋"/>
          <w:sz w:val="32"/>
          <w:szCs w:val="32"/>
        </w:rPr>
        <w:t>2021年部门决算汇总公开单位构成包括：怀化市军队离休退休干部休养所单位本级。</w:t>
      </w:r>
    </w:p>
    <w:p w14:paraId="16FC9814">
      <w:pPr>
        <w:spacing w:line="600" w:lineRule="exact"/>
        <w:ind w:firstLine="640" w:firstLineChars="200"/>
        <w:rPr>
          <w:rFonts w:ascii="仿宋" w:hAnsi="仿宋" w:eastAsia="仿宋"/>
          <w:sz w:val="32"/>
          <w:szCs w:val="32"/>
        </w:rPr>
      </w:pPr>
    </w:p>
    <w:p w14:paraId="06BAFEC6">
      <w:pPr>
        <w:spacing w:line="600" w:lineRule="exact"/>
        <w:jc w:val="center"/>
        <w:rPr>
          <w:rFonts w:ascii="黑体" w:hAnsi="黑体" w:eastAsia="黑体"/>
          <w:b/>
          <w:bCs/>
          <w:sz w:val="44"/>
          <w:szCs w:val="44"/>
        </w:rPr>
      </w:pPr>
      <w:r>
        <w:rPr>
          <w:rFonts w:hint="eastAsia" w:ascii="黑体" w:hAnsi="黑体" w:eastAsia="黑体"/>
          <w:b/>
          <w:bCs/>
          <w:sz w:val="44"/>
          <w:szCs w:val="44"/>
        </w:rPr>
        <w:t>第二部分 部门决算表</w:t>
      </w:r>
    </w:p>
    <w:p w14:paraId="7EAB4A9E">
      <w:pPr>
        <w:spacing w:line="600" w:lineRule="exact"/>
        <w:jc w:val="center"/>
        <w:rPr>
          <w:rFonts w:ascii="仿宋" w:hAnsi="仿宋" w:eastAsia="仿宋"/>
          <w:sz w:val="32"/>
          <w:szCs w:val="32"/>
        </w:rPr>
      </w:pPr>
      <w:r>
        <w:rPr>
          <w:rFonts w:hint="eastAsia" w:ascii="仿宋" w:hAnsi="仿宋" w:eastAsia="仿宋"/>
          <w:sz w:val="32"/>
          <w:szCs w:val="32"/>
        </w:rPr>
        <w:t>（详情见附件）</w:t>
      </w:r>
    </w:p>
    <w:p w14:paraId="2CEFF712">
      <w:pPr>
        <w:spacing w:line="600" w:lineRule="exact"/>
        <w:jc w:val="center"/>
        <w:rPr>
          <w:rFonts w:hint="eastAsia" w:ascii="仿宋" w:hAnsi="仿宋" w:eastAsia="仿宋"/>
          <w:sz w:val="32"/>
          <w:szCs w:val="32"/>
        </w:rPr>
      </w:pPr>
    </w:p>
    <w:p w14:paraId="4C9788B2">
      <w:pPr>
        <w:spacing w:line="600" w:lineRule="exact"/>
        <w:ind w:firstLine="883" w:firstLineChars="200"/>
        <w:jc w:val="center"/>
        <w:rPr>
          <w:rFonts w:ascii="黑体" w:hAnsi="黑体" w:eastAsia="黑体"/>
          <w:b/>
          <w:bCs/>
          <w:sz w:val="44"/>
          <w:szCs w:val="44"/>
        </w:rPr>
      </w:pPr>
      <w:r>
        <w:rPr>
          <w:rFonts w:hint="eastAsia" w:ascii="黑体" w:hAnsi="黑体" w:eastAsia="黑体"/>
          <w:b/>
          <w:bCs/>
          <w:sz w:val="44"/>
          <w:szCs w:val="44"/>
        </w:rPr>
        <w:t xml:space="preserve">第三部分 </w:t>
      </w:r>
      <w:r>
        <w:rPr>
          <w:rFonts w:ascii="黑体" w:hAnsi="黑体" w:eastAsia="黑体"/>
          <w:b/>
          <w:bCs/>
          <w:sz w:val="44"/>
          <w:szCs w:val="44"/>
        </w:rPr>
        <w:t>2021年度部门决算情况说明</w:t>
      </w:r>
    </w:p>
    <w:p w14:paraId="42E35C68">
      <w:pPr>
        <w:spacing w:line="600" w:lineRule="exact"/>
        <w:rPr>
          <w:rFonts w:hint="eastAsia" w:ascii="仿宋" w:hAnsi="仿宋" w:eastAsia="仿宋"/>
          <w:sz w:val="32"/>
          <w:szCs w:val="32"/>
        </w:rPr>
      </w:pPr>
    </w:p>
    <w:p w14:paraId="7B482A95">
      <w:pPr>
        <w:spacing w:line="600" w:lineRule="exact"/>
        <w:ind w:firstLine="640" w:firstLineChars="200"/>
        <w:rPr>
          <w:rFonts w:ascii="黑体" w:hAnsi="黑体" w:eastAsia="黑体"/>
          <w:sz w:val="32"/>
          <w:szCs w:val="32"/>
        </w:rPr>
      </w:pPr>
      <w:r>
        <w:rPr>
          <w:rFonts w:hint="eastAsia" w:ascii="黑体" w:hAnsi="黑体" w:eastAsia="黑体"/>
          <w:sz w:val="32"/>
          <w:szCs w:val="32"/>
        </w:rPr>
        <w:t>一、收入支出决算总体情况说明</w:t>
      </w:r>
    </w:p>
    <w:p w14:paraId="390FED70">
      <w:pPr>
        <w:spacing w:line="600" w:lineRule="exact"/>
        <w:ind w:firstLine="640" w:firstLineChars="200"/>
        <w:rPr>
          <w:rFonts w:ascii="仿宋" w:hAnsi="仿宋" w:eastAsia="仿宋"/>
          <w:sz w:val="32"/>
          <w:szCs w:val="32"/>
        </w:rPr>
      </w:pPr>
      <w:r>
        <w:rPr>
          <w:rFonts w:ascii="仿宋" w:hAnsi="仿宋" w:eastAsia="仿宋"/>
          <w:sz w:val="32"/>
          <w:szCs w:val="32"/>
        </w:rPr>
        <w:t>2021年度收、支总计</w:t>
      </w:r>
      <w:r>
        <w:rPr>
          <w:rFonts w:hint="eastAsia" w:ascii="仿宋" w:hAnsi="仿宋" w:eastAsia="仿宋"/>
          <w:sz w:val="32"/>
          <w:szCs w:val="32"/>
        </w:rPr>
        <w:t>各</w:t>
      </w:r>
      <w:r>
        <w:rPr>
          <w:rFonts w:ascii="仿宋" w:hAnsi="仿宋" w:eastAsia="仿宋"/>
          <w:sz w:val="32"/>
          <w:szCs w:val="32"/>
        </w:rPr>
        <w:t>1153.43万元。与上年相比，增加161.55万元，增加7.53%，主要是因为2021年退役安置人员增加，补助经费专项业务经费较2020年增加，退役安置补助经费开支增加。</w:t>
      </w:r>
    </w:p>
    <w:p w14:paraId="3411DFC4">
      <w:pPr>
        <w:spacing w:line="600" w:lineRule="exact"/>
        <w:ind w:firstLine="640" w:firstLineChars="200"/>
        <w:rPr>
          <w:rFonts w:ascii="黑体" w:hAnsi="黑体" w:eastAsia="黑体"/>
          <w:sz w:val="32"/>
          <w:szCs w:val="32"/>
        </w:rPr>
      </w:pPr>
      <w:r>
        <w:rPr>
          <w:rFonts w:hint="eastAsia" w:ascii="黑体" w:hAnsi="黑体" w:eastAsia="黑体"/>
          <w:sz w:val="32"/>
          <w:szCs w:val="32"/>
        </w:rPr>
        <w:t>二、收入决算情况说明</w:t>
      </w:r>
    </w:p>
    <w:p w14:paraId="6BC29F57">
      <w:pPr>
        <w:spacing w:line="600" w:lineRule="exact"/>
        <w:ind w:firstLine="640" w:firstLineChars="200"/>
        <w:rPr>
          <w:rFonts w:ascii="仿宋" w:hAnsi="仿宋" w:eastAsia="仿宋"/>
          <w:sz w:val="32"/>
          <w:szCs w:val="32"/>
        </w:rPr>
      </w:pPr>
      <w:r>
        <w:rPr>
          <w:rFonts w:hint="eastAsia" w:ascii="仿宋" w:hAnsi="仿宋" w:eastAsia="仿宋"/>
          <w:sz w:val="32"/>
          <w:szCs w:val="32"/>
        </w:rPr>
        <w:t>本年收入合计</w:t>
      </w:r>
      <w:r>
        <w:rPr>
          <w:rFonts w:ascii="仿宋" w:hAnsi="仿宋" w:eastAsia="仿宋"/>
          <w:sz w:val="32"/>
          <w:szCs w:val="32"/>
        </w:rPr>
        <w:t>1153.43万元，其中：财政拨款收入1153.43万元，占100%；</w:t>
      </w:r>
      <w:r>
        <w:rPr>
          <w:rFonts w:ascii="仿宋" w:hAnsi="仿宋" w:eastAsia="仿宋"/>
          <w:color w:val="000000" w:themeColor="text1"/>
          <w:sz w:val="32"/>
          <w:szCs w:val="32"/>
          <w14:textFill>
            <w14:solidFill>
              <w14:schemeClr w14:val="tx1"/>
            </w14:solidFill>
          </w14:textFill>
        </w:rPr>
        <w:t>上级补助收入0万元，占0%；事业收入0万元，占0%；经营收入0万元，占0%；附属单位上缴收入0万元，占0%；其他收入0万元，</w:t>
      </w:r>
      <w:r>
        <w:rPr>
          <w:rFonts w:hint="eastAsia" w:ascii="仿宋" w:hAnsi="仿宋" w:eastAsia="仿宋"/>
          <w:color w:val="000000" w:themeColor="text1"/>
          <w:sz w:val="32"/>
          <w:szCs w:val="32"/>
          <w14:textFill>
            <w14:solidFill>
              <w14:schemeClr w14:val="tx1"/>
            </w14:solidFill>
          </w14:textFill>
        </w:rPr>
        <w:t>占</w:t>
      </w:r>
      <w:r>
        <w:rPr>
          <w:rFonts w:ascii="仿宋" w:hAnsi="仿宋" w:eastAsia="仿宋"/>
          <w:color w:val="000000" w:themeColor="text1"/>
          <w:sz w:val="32"/>
          <w:szCs w:val="32"/>
          <w14:textFill>
            <w14:solidFill>
              <w14:schemeClr w14:val="tx1"/>
            </w14:solidFill>
          </w14:textFill>
        </w:rPr>
        <w:t>0%。</w:t>
      </w:r>
    </w:p>
    <w:p w14:paraId="3B66DFA7">
      <w:pPr>
        <w:spacing w:line="600" w:lineRule="exact"/>
        <w:ind w:firstLine="640" w:firstLineChars="200"/>
        <w:rPr>
          <w:rFonts w:ascii="黑体" w:hAnsi="黑体" w:eastAsia="黑体"/>
          <w:sz w:val="32"/>
          <w:szCs w:val="32"/>
        </w:rPr>
      </w:pPr>
      <w:r>
        <w:rPr>
          <w:rFonts w:hint="eastAsia" w:ascii="黑体" w:hAnsi="黑体" w:eastAsia="黑体"/>
          <w:sz w:val="32"/>
          <w:szCs w:val="32"/>
        </w:rPr>
        <w:t>三、支出决算情况说明</w:t>
      </w:r>
    </w:p>
    <w:p w14:paraId="68431175">
      <w:pPr>
        <w:spacing w:line="600" w:lineRule="exact"/>
        <w:ind w:firstLine="640" w:firstLineChars="200"/>
        <w:rPr>
          <w:rFonts w:ascii="仿宋" w:hAnsi="仿宋" w:eastAsia="仿宋"/>
          <w:sz w:val="32"/>
          <w:szCs w:val="32"/>
        </w:rPr>
      </w:pPr>
      <w:r>
        <w:rPr>
          <w:rFonts w:hint="eastAsia" w:ascii="仿宋" w:hAnsi="仿宋" w:eastAsia="仿宋"/>
          <w:sz w:val="32"/>
          <w:szCs w:val="32"/>
        </w:rPr>
        <w:t>本年支出合计</w:t>
      </w:r>
      <w:r>
        <w:rPr>
          <w:rFonts w:ascii="仿宋" w:hAnsi="仿宋" w:eastAsia="仿宋"/>
          <w:sz w:val="32"/>
          <w:szCs w:val="32"/>
        </w:rPr>
        <w:t>1153.43万元，其中：基本支出1153.43万元，占100%；项目支出0万元，占0%；上缴上级支出0万元，占0%；经营支出0万元，占0%；对附属单位补助支出0万元，占0%。</w:t>
      </w:r>
    </w:p>
    <w:p w14:paraId="1253068C">
      <w:pPr>
        <w:spacing w:line="600" w:lineRule="exact"/>
        <w:ind w:firstLine="640" w:firstLineChars="200"/>
        <w:rPr>
          <w:rFonts w:ascii="黑体" w:hAnsi="黑体" w:eastAsia="黑体"/>
          <w:sz w:val="32"/>
          <w:szCs w:val="32"/>
        </w:rPr>
      </w:pPr>
      <w:r>
        <w:rPr>
          <w:rFonts w:hint="eastAsia" w:ascii="黑体" w:hAnsi="黑体" w:eastAsia="黑体"/>
          <w:sz w:val="32"/>
          <w:szCs w:val="32"/>
        </w:rPr>
        <w:t>四、财政拨款收入支出决算总体情况说明</w:t>
      </w:r>
    </w:p>
    <w:p w14:paraId="7173109C">
      <w:pPr>
        <w:spacing w:line="600" w:lineRule="exact"/>
        <w:ind w:firstLine="640" w:firstLineChars="200"/>
        <w:rPr>
          <w:rFonts w:ascii="仿宋" w:hAnsi="仿宋" w:eastAsia="仿宋"/>
          <w:sz w:val="32"/>
          <w:szCs w:val="32"/>
        </w:rPr>
      </w:pPr>
      <w:r>
        <w:rPr>
          <w:rFonts w:ascii="仿宋" w:hAnsi="仿宋" w:eastAsia="仿宋"/>
          <w:sz w:val="32"/>
          <w:szCs w:val="32"/>
        </w:rPr>
        <w:t>2021年度财政拨款收、支总计</w:t>
      </w:r>
      <w:r>
        <w:rPr>
          <w:rFonts w:hint="eastAsia" w:ascii="仿宋" w:hAnsi="仿宋" w:eastAsia="仿宋"/>
          <w:sz w:val="32"/>
          <w:szCs w:val="32"/>
        </w:rPr>
        <w:t>各</w:t>
      </w:r>
      <w:r>
        <w:rPr>
          <w:rFonts w:ascii="仿宋" w:hAnsi="仿宋" w:eastAsia="仿宋"/>
          <w:sz w:val="32"/>
          <w:szCs w:val="32"/>
        </w:rPr>
        <w:t>1153.43万元，与上年相比，增加161.55万元，增加7.53%，主要是因为2021年退役安置人员增加，补助经费专项业务经费较2020年增加，退役安置补助经费开支增加。</w:t>
      </w:r>
    </w:p>
    <w:p w14:paraId="130A0D73">
      <w:pPr>
        <w:spacing w:line="600" w:lineRule="exact"/>
        <w:ind w:firstLine="640" w:firstLineChars="200"/>
        <w:rPr>
          <w:rFonts w:ascii="黑体" w:hAnsi="黑体" w:eastAsia="黑体"/>
          <w:sz w:val="32"/>
          <w:szCs w:val="32"/>
        </w:rPr>
      </w:pPr>
      <w:r>
        <w:rPr>
          <w:rFonts w:hint="eastAsia" w:ascii="黑体" w:hAnsi="黑体" w:eastAsia="黑体"/>
          <w:sz w:val="32"/>
          <w:szCs w:val="32"/>
        </w:rPr>
        <w:t>五、一般公共预算财政拨款支出决算情况说明</w:t>
      </w:r>
    </w:p>
    <w:p w14:paraId="6F83B6C3">
      <w:pPr>
        <w:spacing w:line="600" w:lineRule="exact"/>
        <w:ind w:firstLine="643" w:firstLineChars="200"/>
        <w:rPr>
          <w:rFonts w:ascii="仿宋" w:hAnsi="仿宋" w:eastAsia="仿宋"/>
          <w:b/>
          <w:bCs/>
          <w:sz w:val="32"/>
          <w:szCs w:val="32"/>
        </w:rPr>
      </w:pPr>
      <w:r>
        <w:rPr>
          <w:rFonts w:hint="eastAsia" w:ascii="仿宋" w:hAnsi="仿宋" w:eastAsia="仿宋"/>
          <w:b/>
          <w:bCs/>
          <w:sz w:val="32"/>
          <w:szCs w:val="32"/>
        </w:rPr>
        <w:t>（一）财政拨款支出决算总体情况</w:t>
      </w:r>
    </w:p>
    <w:p w14:paraId="19073540">
      <w:pPr>
        <w:spacing w:line="600" w:lineRule="exact"/>
        <w:ind w:firstLine="640" w:firstLineChars="200"/>
        <w:rPr>
          <w:rFonts w:ascii="仿宋" w:hAnsi="仿宋" w:eastAsia="仿宋"/>
          <w:sz w:val="32"/>
          <w:szCs w:val="32"/>
        </w:rPr>
      </w:pPr>
      <w:r>
        <w:rPr>
          <w:rFonts w:ascii="仿宋" w:hAnsi="仿宋" w:eastAsia="仿宋"/>
          <w:sz w:val="32"/>
          <w:szCs w:val="32"/>
        </w:rPr>
        <w:t>2021年度财政拨款支出1153.43万元，占本年支出合计的100%，与上年相比，财政拨款支出减少259.77万元，减少18%，主要是因为</w:t>
      </w:r>
      <w:bookmarkStart w:id="0" w:name="_GoBack"/>
      <w:bookmarkEnd w:id="0"/>
      <w:r>
        <w:rPr>
          <w:rFonts w:ascii="仿宋" w:hAnsi="仿宋" w:eastAsia="仿宋"/>
          <w:sz w:val="32"/>
          <w:szCs w:val="32"/>
        </w:rPr>
        <w:t>退役安置补助经费开支减少。</w:t>
      </w:r>
    </w:p>
    <w:p w14:paraId="24A0E97F">
      <w:pPr>
        <w:spacing w:line="600" w:lineRule="exact"/>
        <w:ind w:firstLine="643" w:firstLineChars="200"/>
        <w:rPr>
          <w:rFonts w:ascii="仿宋" w:hAnsi="仿宋" w:eastAsia="仿宋"/>
          <w:b/>
          <w:bCs/>
          <w:sz w:val="32"/>
          <w:szCs w:val="32"/>
        </w:rPr>
      </w:pPr>
      <w:r>
        <w:rPr>
          <w:rFonts w:hint="eastAsia" w:ascii="仿宋" w:hAnsi="仿宋" w:eastAsia="仿宋"/>
          <w:b/>
          <w:bCs/>
          <w:sz w:val="32"/>
          <w:szCs w:val="32"/>
        </w:rPr>
        <w:t>（二）财政拨款支出决算结构情况</w:t>
      </w:r>
    </w:p>
    <w:p w14:paraId="411345D5">
      <w:pPr>
        <w:spacing w:line="600" w:lineRule="exact"/>
        <w:ind w:firstLine="640" w:firstLineChars="200"/>
        <w:rPr>
          <w:rFonts w:hint="eastAsia" w:ascii="仿宋" w:hAnsi="仿宋" w:eastAsia="仿宋"/>
          <w:sz w:val="32"/>
          <w:szCs w:val="32"/>
        </w:rPr>
      </w:pPr>
      <w:r>
        <w:rPr>
          <w:rFonts w:ascii="仿宋" w:hAnsi="仿宋" w:eastAsia="仿宋"/>
          <w:sz w:val="32"/>
          <w:szCs w:val="32"/>
        </w:rPr>
        <w:t>2021年度财政拨款支出1153.43万元，主要用于以下方面：社会保障和就业支出1144.81万元，占99.25%;卫生健康支出8.62万元，占0.75%。</w:t>
      </w:r>
    </w:p>
    <w:p w14:paraId="22967ECF">
      <w:pPr>
        <w:spacing w:line="600" w:lineRule="exact"/>
        <w:ind w:firstLine="643" w:firstLineChars="200"/>
        <w:rPr>
          <w:rFonts w:ascii="仿宋" w:hAnsi="仿宋" w:eastAsia="仿宋"/>
          <w:b/>
          <w:bCs/>
          <w:sz w:val="32"/>
          <w:szCs w:val="32"/>
        </w:rPr>
      </w:pPr>
      <w:r>
        <w:rPr>
          <w:rFonts w:hint="eastAsia" w:ascii="仿宋" w:hAnsi="仿宋" w:eastAsia="仿宋"/>
          <w:b/>
          <w:bCs/>
          <w:sz w:val="32"/>
          <w:szCs w:val="32"/>
        </w:rPr>
        <w:t>（三）财政拨款支出决算具体情况</w:t>
      </w:r>
    </w:p>
    <w:p w14:paraId="30A70C24">
      <w:pPr>
        <w:spacing w:line="600" w:lineRule="exact"/>
        <w:ind w:firstLine="640" w:firstLineChars="200"/>
        <w:rPr>
          <w:rFonts w:ascii="仿宋" w:hAnsi="仿宋" w:eastAsia="仿宋"/>
          <w:sz w:val="32"/>
          <w:szCs w:val="32"/>
        </w:rPr>
      </w:pPr>
      <w:r>
        <w:rPr>
          <w:rFonts w:ascii="仿宋" w:hAnsi="仿宋" w:eastAsia="仿宋"/>
          <w:sz w:val="32"/>
          <w:szCs w:val="32"/>
        </w:rPr>
        <w:t>2021年度财政拨款支出年初预算数为220.67万元，支出决算数为1153.43万元，完成年初预算的522.70%，其中：</w:t>
      </w:r>
    </w:p>
    <w:p w14:paraId="0EB62F22">
      <w:pPr>
        <w:spacing w:line="600" w:lineRule="exact"/>
        <w:ind w:firstLine="643" w:firstLineChars="200"/>
        <w:rPr>
          <w:rFonts w:ascii="仿宋" w:hAnsi="仿宋" w:eastAsia="仿宋"/>
          <w:b/>
          <w:bCs/>
          <w:sz w:val="32"/>
          <w:szCs w:val="32"/>
        </w:rPr>
      </w:pPr>
      <w:r>
        <w:rPr>
          <w:rFonts w:ascii="仿宋" w:hAnsi="仿宋" w:eastAsia="仿宋"/>
          <w:b/>
          <w:bCs/>
          <w:sz w:val="32"/>
          <w:szCs w:val="32"/>
        </w:rPr>
        <w:t>1、社会保障和就业支出类社会保障和就业（类）行政事业单位养老支出（款）事业单位离退休（项）。</w:t>
      </w:r>
    </w:p>
    <w:p w14:paraId="693CBE7D">
      <w:pPr>
        <w:spacing w:line="600" w:lineRule="exact"/>
        <w:ind w:firstLine="640" w:firstLineChars="200"/>
        <w:rPr>
          <w:rFonts w:ascii="仿宋" w:hAnsi="仿宋" w:eastAsia="仿宋"/>
          <w:sz w:val="32"/>
          <w:szCs w:val="32"/>
        </w:rPr>
      </w:pPr>
      <w:r>
        <w:rPr>
          <w:rFonts w:hint="eastAsia" w:ascii="仿宋" w:hAnsi="仿宋" w:eastAsia="仿宋"/>
          <w:sz w:val="32"/>
          <w:szCs w:val="32"/>
        </w:rPr>
        <w:t>年初预算为</w:t>
      </w:r>
      <w:r>
        <w:rPr>
          <w:rFonts w:ascii="仿宋" w:hAnsi="仿宋" w:eastAsia="仿宋"/>
          <w:sz w:val="32"/>
          <w:szCs w:val="32"/>
        </w:rPr>
        <w:t>0万元，支出决算为20.29万元，决算数大于年初预算数的主要原因是：本年度发生机关事业单位基本养老保险缴费支出，而年初未纳入预算。</w:t>
      </w:r>
    </w:p>
    <w:p w14:paraId="7A867C92">
      <w:pPr>
        <w:spacing w:line="600" w:lineRule="exact"/>
        <w:ind w:firstLine="643" w:firstLineChars="200"/>
        <w:rPr>
          <w:rFonts w:ascii="仿宋" w:hAnsi="仿宋" w:eastAsia="仿宋"/>
          <w:b/>
          <w:bCs/>
          <w:sz w:val="32"/>
          <w:szCs w:val="32"/>
        </w:rPr>
      </w:pPr>
      <w:r>
        <w:rPr>
          <w:rFonts w:ascii="仿宋" w:hAnsi="仿宋" w:eastAsia="仿宋"/>
          <w:b/>
          <w:bCs/>
          <w:sz w:val="32"/>
          <w:szCs w:val="32"/>
        </w:rPr>
        <w:t>2、社会保障和就业（类）行政事业单位养老支出（款）机关事业单位基本养老保险缴费支出（项）。</w:t>
      </w:r>
    </w:p>
    <w:p w14:paraId="6493BBDC">
      <w:pPr>
        <w:spacing w:line="600" w:lineRule="exact"/>
        <w:ind w:firstLine="640" w:firstLineChars="200"/>
        <w:rPr>
          <w:rFonts w:ascii="仿宋" w:hAnsi="仿宋" w:eastAsia="仿宋"/>
          <w:sz w:val="32"/>
          <w:szCs w:val="32"/>
        </w:rPr>
      </w:pPr>
      <w:r>
        <w:rPr>
          <w:rFonts w:hint="eastAsia" w:ascii="仿宋" w:hAnsi="仿宋" w:eastAsia="仿宋"/>
          <w:sz w:val="32"/>
          <w:szCs w:val="32"/>
        </w:rPr>
        <w:t>年初预算为</w:t>
      </w:r>
      <w:r>
        <w:rPr>
          <w:rFonts w:ascii="仿宋" w:hAnsi="仿宋" w:eastAsia="仿宋"/>
          <w:sz w:val="32"/>
          <w:szCs w:val="32"/>
        </w:rPr>
        <w:t>0万元，支出决算为16.70万元，决算数大于年初预算数的主要原因是：本年度发生机关事业单位基本养老保险缴费支出，而年初未纳入预算。</w:t>
      </w:r>
    </w:p>
    <w:p w14:paraId="27C04EB3">
      <w:pPr>
        <w:spacing w:line="600" w:lineRule="exact"/>
        <w:ind w:firstLine="643" w:firstLineChars="200"/>
        <w:rPr>
          <w:rFonts w:ascii="仿宋" w:hAnsi="仿宋" w:eastAsia="仿宋"/>
          <w:b/>
          <w:bCs/>
          <w:sz w:val="32"/>
          <w:szCs w:val="32"/>
        </w:rPr>
      </w:pPr>
      <w:r>
        <w:rPr>
          <w:rFonts w:ascii="仿宋" w:hAnsi="仿宋" w:eastAsia="仿宋"/>
          <w:b/>
          <w:bCs/>
          <w:sz w:val="32"/>
          <w:szCs w:val="32"/>
        </w:rPr>
        <w:t>3、社会保障和就业（类）退役安置（款）。</w:t>
      </w:r>
    </w:p>
    <w:p w14:paraId="005E6505">
      <w:pPr>
        <w:spacing w:line="600" w:lineRule="exact"/>
        <w:ind w:firstLine="640" w:firstLineChars="200"/>
        <w:rPr>
          <w:rFonts w:ascii="仿宋" w:hAnsi="仿宋" w:eastAsia="仿宋"/>
          <w:sz w:val="32"/>
          <w:szCs w:val="32"/>
        </w:rPr>
      </w:pPr>
      <w:r>
        <w:rPr>
          <w:rFonts w:hint="eastAsia" w:ascii="仿宋" w:hAnsi="仿宋" w:eastAsia="仿宋"/>
          <w:sz w:val="32"/>
          <w:szCs w:val="32"/>
        </w:rPr>
        <w:t>年初预算为</w:t>
      </w:r>
      <w:r>
        <w:rPr>
          <w:rFonts w:ascii="仿宋" w:hAnsi="仿宋" w:eastAsia="仿宋"/>
          <w:sz w:val="32"/>
          <w:szCs w:val="32"/>
        </w:rPr>
        <w:t>133.95万元，支出决算为1021.11万元，完成年初预算的662%，决算数大于年初预算数的主要原因是：中央省级下拨资金未列入市级财政预算。</w:t>
      </w:r>
    </w:p>
    <w:p w14:paraId="33857C8A">
      <w:pPr>
        <w:spacing w:line="600" w:lineRule="exact"/>
        <w:ind w:firstLine="643" w:firstLineChars="200"/>
        <w:rPr>
          <w:rFonts w:ascii="仿宋" w:hAnsi="仿宋" w:eastAsia="仿宋"/>
          <w:b/>
          <w:bCs/>
          <w:sz w:val="32"/>
          <w:szCs w:val="32"/>
        </w:rPr>
      </w:pPr>
      <w:r>
        <w:rPr>
          <w:rFonts w:ascii="仿宋" w:hAnsi="仿宋" w:eastAsia="仿宋"/>
          <w:b/>
          <w:bCs/>
          <w:sz w:val="32"/>
          <w:szCs w:val="32"/>
        </w:rPr>
        <w:t>6、卫生健康（类）行政事业单位医疗（款）事业单位医疗（项）。</w:t>
      </w:r>
    </w:p>
    <w:p w14:paraId="678E4F36">
      <w:pPr>
        <w:spacing w:line="600" w:lineRule="exact"/>
        <w:ind w:firstLine="640" w:firstLineChars="200"/>
        <w:rPr>
          <w:rFonts w:ascii="仿宋" w:hAnsi="仿宋" w:eastAsia="仿宋"/>
          <w:sz w:val="32"/>
          <w:szCs w:val="32"/>
        </w:rPr>
      </w:pPr>
      <w:r>
        <w:rPr>
          <w:rFonts w:hint="eastAsia" w:ascii="仿宋" w:hAnsi="仿宋" w:eastAsia="仿宋"/>
          <w:sz w:val="32"/>
          <w:szCs w:val="32"/>
        </w:rPr>
        <w:t>年初预算为</w:t>
      </w:r>
      <w:r>
        <w:rPr>
          <w:rFonts w:ascii="仿宋" w:hAnsi="仿宋" w:eastAsia="仿宋"/>
          <w:sz w:val="32"/>
          <w:szCs w:val="32"/>
        </w:rPr>
        <w:t>0万元，支出决算为8.51万元，决算数大于年初预算数的主要原因是：本年度发生职工基本医疗保险缴费支出，而年初未纳入预算。</w:t>
      </w:r>
    </w:p>
    <w:p w14:paraId="79CC2608">
      <w:pPr>
        <w:spacing w:line="600" w:lineRule="exact"/>
        <w:ind w:firstLine="643" w:firstLineChars="200"/>
        <w:rPr>
          <w:rFonts w:ascii="仿宋" w:hAnsi="仿宋" w:eastAsia="仿宋"/>
          <w:b/>
          <w:bCs/>
          <w:sz w:val="32"/>
          <w:szCs w:val="32"/>
        </w:rPr>
      </w:pPr>
      <w:r>
        <w:rPr>
          <w:rFonts w:ascii="仿宋" w:hAnsi="仿宋" w:eastAsia="仿宋"/>
          <w:b/>
          <w:bCs/>
          <w:sz w:val="32"/>
          <w:szCs w:val="32"/>
        </w:rPr>
        <w:t>7、卫生健康（类）行政事业单位医疗（款）其他行政事业单位医疗支出（项）。</w:t>
      </w:r>
    </w:p>
    <w:p w14:paraId="29ED021D">
      <w:pPr>
        <w:spacing w:line="600" w:lineRule="exact"/>
        <w:ind w:firstLine="640" w:firstLineChars="200"/>
        <w:rPr>
          <w:rFonts w:ascii="仿宋" w:hAnsi="仿宋" w:eastAsia="仿宋"/>
          <w:sz w:val="32"/>
          <w:szCs w:val="32"/>
        </w:rPr>
      </w:pPr>
      <w:r>
        <w:rPr>
          <w:rFonts w:hint="eastAsia" w:ascii="仿宋" w:hAnsi="仿宋" w:eastAsia="仿宋"/>
          <w:sz w:val="32"/>
          <w:szCs w:val="32"/>
        </w:rPr>
        <w:t>年初预算为</w:t>
      </w:r>
      <w:r>
        <w:rPr>
          <w:rFonts w:ascii="仿宋" w:hAnsi="仿宋" w:eastAsia="仿宋"/>
          <w:sz w:val="32"/>
          <w:szCs w:val="32"/>
        </w:rPr>
        <w:t>0万元，支出决算为0.17万元，决算数大于年初预算数的主要原因是：本年度发生职工基本医疗保险缴费支出，而年初未纳入预算。</w:t>
      </w:r>
    </w:p>
    <w:p w14:paraId="081935A1">
      <w:pPr>
        <w:spacing w:line="600" w:lineRule="exact"/>
        <w:ind w:firstLine="640" w:firstLineChars="200"/>
        <w:rPr>
          <w:rFonts w:ascii="黑体" w:hAnsi="黑体" w:eastAsia="黑体"/>
          <w:sz w:val="32"/>
          <w:szCs w:val="32"/>
        </w:rPr>
      </w:pPr>
      <w:r>
        <w:rPr>
          <w:rFonts w:hint="eastAsia" w:ascii="黑体" w:hAnsi="黑体" w:eastAsia="黑体"/>
          <w:sz w:val="32"/>
          <w:szCs w:val="32"/>
        </w:rPr>
        <w:t>六、一般公共预算财政拨款基本支出决算情况说明</w:t>
      </w:r>
    </w:p>
    <w:p w14:paraId="5B9F9FD5">
      <w:pPr>
        <w:spacing w:line="600" w:lineRule="exact"/>
        <w:ind w:firstLine="640" w:firstLineChars="200"/>
        <w:rPr>
          <w:rFonts w:ascii="仿宋" w:hAnsi="仿宋" w:eastAsia="仿宋"/>
          <w:sz w:val="32"/>
          <w:szCs w:val="32"/>
        </w:rPr>
      </w:pPr>
      <w:r>
        <w:rPr>
          <w:rFonts w:ascii="仿宋" w:hAnsi="仿宋" w:eastAsia="仿宋"/>
          <w:sz w:val="32"/>
          <w:szCs w:val="32"/>
        </w:rPr>
        <w:t>2021年度财政拨款基本支出1153.43万元，其中：人员经费1019.06万元，占基本支出的88.35%,主要包括基本工资、津贴补贴、奖金、机关事业单位基本养老保险、职工基本医疗、其他社会保障缴费、对个人和家庭的补助；公用经费134.37万元，占基本支出的11.65%，主要包括办公费、咨询费、水电费、差旅费、维修（护）费、物业费、劳务费、福利费、公务用车运行维护费。</w:t>
      </w:r>
    </w:p>
    <w:p w14:paraId="34450926">
      <w:pPr>
        <w:spacing w:line="600" w:lineRule="exact"/>
        <w:ind w:firstLine="640" w:firstLineChars="200"/>
        <w:rPr>
          <w:rFonts w:ascii="黑体" w:hAnsi="黑体" w:eastAsia="黑体"/>
          <w:sz w:val="32"/>
          <w:szCs w:val="32"/>
        </w:rPr>
      </w:pPr>
      <w:r>
        <w:rPr>
          <w:rFonts w:hint="eastAsia" w:ascii="黑体" w:hAnsi="黑体" w:eastAsia="黑体"/>
          <w:sz w:val="32"/>
          <w:szCs w:val="32"/>
        </w:rPr>
        <w:t>七、一般公共预算财政拨款三公经费支出决算情况说明</w:t>
      </w:r>
    </w:p>
    <w:p w14:paraId="6AB2A1E5">
      <w:pPr>
        <w:spacing w:line="600" w:lineRule="exact"/>
        <w:ind w:firstLine="643" w:firstLineChars="200"/>
        <w:rPr>
          <w:rFonts w:ascii="仿宋" w:hAnsi="仿宋" w:eastAsia="仿宋"/>
          <w:b/>
          <w:bCs/>
          <w:sz w:val="32"/>
          <w:szCs w:val="32"/>
        </w:rPr>
      </w:pPr>
      <w:r>
        <w:rPr>
          <w:rFonts w:hint="eastAsia" w:ascii="仿宋" w:hAnsi="仿宋" w:eastAsia="仿宋"/>
          <w:b/>
          <w:bCs/>
          <w:sz w:val="32"/>
          <w:szCs w:val="32"/>
        </w:rPr>
        <w:t>（一）“三公”经费财政拨款支出决算总体情况说明</w:t>
      </w:r>
    </w:p>
    <w:p w14:paraId="353A15BE">
      <w:pPr>
        <w:spacing w:line="600" w:lineRule="exact"/>
        <w:ind w:firstLine="640" w:firstLineChars="200"/>
        <w:rPr>
          <w:rFonts w:ascii="仿宋" w:hAnsi="仿宋" w:eastAsia="仿宋"/>
          <w:sz w:val="32"/>
          <w:szCs w:val="32"/>
        </w:rPr>
      </w:pPr>
      <w:r>
        <w:rPr>
          <w:rFonts w:hint="eastAsia" w:ascii="仿宋" w:hAnsi="仿宋" w:eastAsia="仿宋"/>
          <w:sz w:val="32"/>
          <w:szCs w:val="32"/>
        </w:rPr>
        <w:t>“三公”经费财政拨款支出预算为</w:t>
      </w:r>
      <w:r>
        <w:rPr>
          <w:rFonts w:ascii="仿宋" w:hAnsi="仿宋" w:eastAsia="仿宋"/>
          <w:sz w:val="32"/>
          <w:szCs w:val="32"/>
        </w:rPr>
        <w:t>23.31万元，支出决算为6.12万元，完成预算的26%，其中：</w:t>
      </w:r>
    </w:p>
    <w:p w14:paraId="0B804CBC">
      <w:pPr>
        <w:spacing w:line="600" w:lineRule="exact"/>
        <w:ind w:firstLine="640" w:firstLineChars="200"/>
        <w:rPr>
          <w:rFonts w:ascii="仿宋" w:hAnsi="仿宋" w:eastAsia="仿宋"/>
          <w:sz w:val="32"/>
          <w:szCs w:val="32"/>
        </w:rPr>
      </w:pPr>
      <w:r>
        <w:rPr>
          <w:rFonts w:ascii="仿宋" w:hAnsi="仿宋" w:eastAsia="仿宋"/>
          <w:color w:val="000000" w:themeColor="text1"/>
          <w:sz w:val="32"/>
          <w:szCs w:val="32"/>
          <w14:textFill>
            <w14:solidFill>
              <w14:schemeClr w14:val="tx1"/>
            </w14:solidFill>
          </w14:textFill>
        </w:rPr>
        <w:t>1</w:t>
      </w:r>
      <w:r>
        <w:rPr>
          <w:rFonts w:hint="eastAsia" w:ascii="仿宋" w:hAnsi="仿宋" w:eastAsia="仿宋"/>
          <w:color w:val="000000" w:themeColor="text1"/>
          <w:sz w:val="32"/>
          <w:szCs w:val="32"/>
          <w14:textFill>
            <w14:solidFill>
              <w14:schemeClr w14:val="tx1"/>
            </w14:solidFill>
          </w14:textFill>
        </w:rPr>
        <w:t>、因公出国（境）费支出预算为</w:t>
      </w:r>
      <w:r>
        <w:rPr>
          <w:rFonts w:ascii="仿宋" w:hAnsi="仿宋" w:eastAsia="仿宋"/>
          <w:color w:val="000000" w:themeColor="text1"/>
          <w:sz w:val="32"/>
          <w:szCs w:val="32"/>
          <w14:textFill>
            <w14:solidFill>
              <w14:schemeClr w14:val="tx1"/>
            </w14:solidFill>
          </w14:textFill>
        </w:rPr>
        <w:t>0.00万元，支出决算为0.00万元</w:t>
      </w:r>
      <w:r>
        <w:rPr>
          <w:rFonts w:hint="eastAsia" w:ascii="仿宋" w:hAnsi="仿宋" w:eastAsia="仿宋"/>
          <w:color w:val="000000" w:themeColor="text1"/>
          <w:sz w:val="32"/>
          <w:szCs w:val="32"/>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决算数与年初预算数持平，主要原因按预算执行，与上年数持平，主要原因本年度未安排因公出国（境）</w:t>
      </w:r>
      <w:r>
        <w:rPr>
          <w:rFonts w:ascii="仿宋" w:hAnsi="仿宋" w:eastAsia="仿宋"/>
          <w:sz w:val="32"/>
          <w:szCs w:val="32"/>
        </w:rPr>
        <w:t>。</w:t>
      </w:r>
    </w:p>
    <w:p w14:paraId="0FAE1F89">
      <w:pPr>
        <w:spacing w:line="600" w:lineRule="exact"/>
        <w:ind w:firstLine="640" w:firstLineChars="200"/>
        <w:rPr>
          <w:rFonts w:ascii="仿宋" w:hAnsi="仿宋" w:eastAsia="仿宋"/>
          <w:sz w:val="32"/>
          <w:szCs w:val="32"/>
        </w:rPr>
      </w:pPr>
      <w:r>
        <w:rPr>
          <w:rFonts w:hint="eastAsia" w:ascii="仿宋" w:hAnsi="仿宋" w:eastAsia="仿宋"/>
          <w:sz w:val="32"/>
          <w:szCs w:val="32"/>
        </w:rPr>
        <w:t>2、公务接待费支出预算为</w:t>
      </w:r>
      <w:r>
        <w:rPr>
          <w:rFonts w:ascii="仿宋" w:hAnsi="仿宋" w:eastAsia="仿宋"/>
          <w:sz w:val="32"/>
          <w:szCs w:val="32"/>
        </w:rPr>
        <w:t>10.70万元，支出决算为0.10万元，完成预算的0.09%，决算数小于预算数的主要原因是本单位厉行节俭，与上年相比减少0.3万元，减少30%,减少的主要原因是本单位厉行节俭。</w:t>
      </w:r>
    </w:p>
    <w:p w14:paraId="048D08E3">
      <w:pPr>
        <w:spacing w:line="600" w:lineRule="exact"/>
        <w:ind w:firstLine="640" w:firstLineChars="200"/>
        <w:rPr>
          <w:rFonts w:ascii="仿宋" w:hAnsi="仿宋" w:eastAsia="仿宋"/>
          <w:sz w:val="32"/>
          <w:szCs w:val="32"/>
        </w:rPr>
      </w:pPr>
      <w:r>
        <w:rPr>
          <w:rFonts w:hint="eastAsia" w:ascii="仿宋" w:hAnsi="仿宋" w:eastAsia="仿宋"/>
          <w:sz w:val="32"/>
          <w:szCs w:val="32"/>
        </w:rPr>
        <w:t>3、公务用车购置费及运行维护费支出预算为</w:t>
      </w:r>
      <w:r>
        <w:rPr>
          <w:rFonts w:ascii="仿宋" w:hAnsi="仿宋" w:eastAsia="仿宋"/>
          <w:sz w:val="32"/>
          <w:szCs w:val="32"/>
        </w:rPr>
        <w:t>12.6万元，支出决算为6.16万元，完成预算的48.89%，决算数小于预算数的主要原因是本单位厉行节俭，与上年相比减少1.88万元，减少14.92%,减少的主要原因是本单位厉行节俭。</w:t>
      </w:r>
    </w:p>
    <w:p w14:paraId="02DF987A">
      <w:pPr>
        <w:spacing w:line="600" w:lineRule="exact"/>
        <w:ind w:firstLine="643" w:firstLineChars="200"/>
        <w:rPr>
          <w:rFonts w:ascii="仿宋" w:hAnsi="仿宋" w:eastAsia="仿宋"/>
          <w:b/>
          <w:bCs/>
          <w:sz w:val="32"/>
          <w:szCs w:val="32"/>
        </w:rPr>
      </w:pPr>
      <w:r>
        <w:rPr>
          <w:rFonts w:hint="eastAsia" w:ascii="仿宋" w:hAnsi="仿宋" w:eastAsia="仿宋"/>
          <w:b/>
          <w:bCs/>
          <w:sz w:val="32"/>
          <w:szCs w:val="32"/>
        </w:rPr>
        <w:t>（二）“三公”经费财政拨款支出决算具体情况说明</w:t>
      </w:r>
    </w:p>
    <w:p w14:paraId="26A3B350">
      <w:pPr>
        <w:spacing w:line="600" w:lineRule="exact"/>
        <w:ind w:firstLine="640" w:firstLineChars="200"/>
        <w:rPr>
          <w:rFonts w:ascii="仿宋" w:hAnsi="仿宋" w:eastAsia="仿宋"/>
          <w:sz w:val="32"/>
          <w:szCs w:val="32"/>
        </w:rPr>
      </w:pPr>
      <w:r>
        <w:rPr>
          <w:rFonts w:ascii="仿宋" w:hAnsi="仿宋" w:eastAsia="仿宋"/>
          <w:sz w:val="32"/>
          <w:szCs w:val="32"/>
        </w:rPr>
        <w:t>2021年度“三公”经费财政拨款支出决算中，公务接待费支出决算0.10万元，占0.16%,因公出国（境）费支出决算0万元，占0%,公务用车购置费及运行维护费支出决算6.16万元，占98.40%。其中：</w:t>
      </w:r>
    </w:p>
    <w:p w14:paraId="59276544">
      <w:pPr>
        <w:spacing w:line="600" w:lineRule="exact"/>
        <w:ind w:firstLine="640" w:firstLineChars="200"/>
        <w:rPr>
          <w:rFonts w:ascii="仿宋" w:hAnsi="仿宋" w:eastAsia="仿宋"/>
          <w:sz w:val="32"/>
          <w:szCs w:val="32"/>
        </w:rPr>
      </w:pPr>
      <w:r>
        <w:rPr>
          <w:rFonts w:ascii="仿宋" w:hAnsi="仿宋" w:eastAsia="仿宋"/>
          <w:sz w:val="32"/>
          <w:szCs w:val="32"/>
        </w:rPr>
        <w:t>1、因公出国（境）费支出决算为0万元，全年安排因公出国（境）团组0个，累计0人次。</w:t>
      </w:r>
    </w:p>
    <w:p w14:paraId="3F448F00">
      <w:pPr>
        <w:spacing w:line="600" w:lineRule="exact"/>
        <w:ind w:firstLine="640" w:firstLineChars="200"/>
        <w:rPr>
          <w:rFonts w:ascii="仿宋" w:hAnsi="仿宋" w:eastAsia="仿宋"/>
          <w:sz w:val="32"/>
          <w:szCs w:val="32"/>
        </w:rPr>
      </w:pPr>
      <w:r>
        <w:rPr>
          <w:rFonts w:ascii="仿宋" w:hAnsi="仿宋" w:eastAsia="仿宋"/>
          <w:sz w:val="32"/>
          <w:szCs w:val="32"/>
        </w:rPr>
        <w:t>2、公务接待费支出决算为0.10万元，全年共接待来访团组1个、来宾5人次，主要是军休业务交流发生的接待支出。</w:t>
      </w:r>
    </w:p>
    <w:p w14:paraId="0B2EDF4E">
      <w:pPr>
        <w:spacing w:line="600" w:lineRule="exact"/>
        <w:ind w:firstLine="640" w:firstLineChars="200"/>
        <w:rPr>
          <w:rFonts w:ascii="仿宋" w:hAnsi="仿宋" w:eastAsia="仿宋"/>
          <w:sz w:val="32"/>
          <w:szCs w:val="32"/>
        </w:rPr>
      </w:pPr>
      <w:r>
        <w:rPr>
          <w:rFonts w:ascii="仿宋" w:hAnsi="仿宋" w:eastAsia="仿宋"/>
          <w:sz w:val="32"/>
          <w:szCs w:val="32"/>
        </w:rPr>
        <w:t>3、公务用车购置费及运行维护费支出决算为6.12万元，其中：公务用车购置费0万元，市军队离休退休干部休养所更新公务用车0辆。公务用车运行维护费6.12万元，主要是车辆油料费、维修费、保险费和过路费支出，截止2021年12月31日，我单位开支财政拨款的公务用车保有量为5辆。</w:t>
      </w:r>
    </w:p>
    <w:p w14:paraId="7A4348CD">
      <w:pPr>
        <w:spacing w:line="600" w:lineRule="exact"/>
        <w:ind w:firstLine="640" w:firstLineChars="200"/>
        <w:rPr>
          <w:rFonts w:ascii="黑体" w:hAnsi="黑体" w:eastAsia="黑体"/>
          <w:sz w:val="32"/>
          <w:szCs w:val="32"/>
        </w:rPr>
      </w:pPr>
      <w:r>
        <w:rPr>
          <w:rFonts w:hint="eastAsia" w:ascii="黑体" w:hAnsi="黑体" w:eastAsia="黑体"/>
          <w:sz w:val="32"/>
          <w:szCs w:val="32"/>
        </w:rPr>
        <w:t>八、政府性基金预算收入支出决算情况</w:t>
      </w:r>
    </w:p>
    <w:p w14:paraId="4D863498">
      <w:pPr>
        <w:spacing w:line="600" w:lineRule="exact"/>
        <w:ind w:firstLine="640" w:firstLineChars="200"/>
        <w:rPr>
          <w:rFonts w:ascii="仿宋" w:hAnsi="仿宋" w:eastAsia="仿宋"/>
          <w:sz w:val="32"/>
          <w:szCs w:val="32"/>
        </w:rPr>
      </w:pPr>
      <w:r>
        <w:rPr>
          <w:rFonts w:ascii="仿宋" w:hAnsi="仿宋" w:eastAsia="仿宋"/>
          <w:sz w:val="32"/>
          <w:szCs w:val="32"/>
        </w:rPr>
        <w:t>2021年度本单位无政府性基金收支。</w:t>
      </w:r>
    </w:p>
    <w:p w14:paraId="318F4B35">
      <w:pPr>
        <w:spacing w:line="600" w:lineRule="exact"/>
        <w:ind w:firstLine="640" w:firstLineChars="200"/>
        <w:rPr>
          <w:rFonts w:ascii="黑体" w:hAnsi="黑体" w:eastAsia="黑体"/>
          <w:sz w:val="32"/>
          <w:szCs w:val="32"/>
        </w:rPr>
      </w:pPr>
      <w:r>
        <w:rPr>
          <w:rFonts w:hint="eastAsia" w:ascii="黑体" w:hAnsi="黑体" w:eastAsia="黑体"/>
          <w:sz w:val="32"/>
          <w:szCs w:val="32"/>
        </w:rPr>
        <w:t>九、国有资本经营预算财政拨款支出决算情况说明</w:t>
      </w:r>
    </w:p>
    <w:p w14:paraId="0A3D69B1">
      <w:pPr>
        <w:spacing w:line="600" w:lineRule="exact"/>
        <w:ind w:firstLine="640" w:firstLineChars="200"/>
        <w:rPr>
          <w:rFonts w:ascii="仿宋" w:hAnsi="仿宋" w:eastAsia="仿宋"/>
          <w:sz w:val="32"/>
          <w:szCs w:val="32"/>
        </w:rPr>
      </w:pPr>
      <w:r>
        <w:rPr>
          <w:rFonts w:hint="eastAsia" w:ascii="仿宋" w:hAnsi="仿宋" w:eastAsia="仿宋"/>
          <w:sz w:val="32"/>
          <w:szCs w:val="32"/>
        </w:rPr>
        <w:t>本单位无国有资本经营预算财政拨款支出。</w:t>
      </w:r>
    </w:p>
    <w:p w14:paraId="6162422A">
      <w:pPr>
        <w:spacing w:line="600" w:lineRule="exact"/>
        <w:ind w:firstLine="640" w:firstLineChars="200"/>
        <w:rPr>
          <w:rFonts w:ascii="黑体" w:hAnsi="黑体" w:eastAsia="黑体"/>
          <w:sz w:val="32"/>
          <w:szCs w:val="32"/>
        </w:rPr>
      </w:pPr>
      <w:r>
        <w:rPr>
          <w:rFonts w:hint="eastAsia" w:ascii="黑体" w:hAnsi="黑体" w:eastAsia="黑体"/>
          <w:sz w:val="32"/>
          <w:szCs w:val="32"/>
        </w:rPr>
        <w:t>十、关于机关运行经费支出说明</w:t>
      </w:r>
    </w:p>
    <w:p w14:paraId="73FDB1FF">
      <w:pPr>
        <w:spacing w:line="600" w:lineRule="exact"/>
        <w:ind w:firstLine="640" w:firstLineChars="200"/>
        <w:rPr>
          <w:rFonts w:ascii="仿宋" w:hAnsi="仿宋" w:eastAsia="仿宋"/>
          <w:sz w:val="32"/>
          <w:szCs w:val="32"/>
        </w:rPr>
      </w:pPr>
      <w:r>
        <w:rPr>
          <w:rFonts w:hint="eastAsia" w:ascii="仿宋" w:hAnsi="仿宋" w:eastAsia="仿宋"/>
          <w:sz w:val="32"/>
          <w:szCs w:val="32"/>
        </w:rPr>
        <w:t>本部门为事业单位，无机关运行经费支出。</w:t>
      </w:r>
    </w:p>
    <w:p w14:paraId="1D7CD44F">
      <w:pPr>
        <w:spacing w:line="600" w:lineRule="exact"/>
        <w:ind w:firstLine="640" w:firstLineChars="200"/>
        <w:rPr>
          <w:rFonts w:ascii="黑体" w:hAnsi="黑体" w:eastAsia="黑体"/>
          <w:sz w:val="32"/>
          <w:szCs w:val="32"/>
        </w:rPr>
      </w:pPr>
      <w:r>
        <w:rPr>
          <w:rFonts w:hint="eastAsia" w:ascii="黑体" w:hAnsi="黑体" w:eastAsia="黑体"/>
          <w:sz w:val="32"/>
          <w:szCs w:val="32"/>
        </w:rPr>
        <w:t>十一、一般性支出情况</w:t>
      </w:r>
    </w:p>
    <w:p w14:paraId="374B48A4">
      <w:pPr>
        <w:spacing w:line="600" w:lineRule="exact"/>
        <w:ind w:firstLine="640" w:firstLineChars="200"/>
        <w:rPr>
          <w:rFonts w:ascii="仿宋" w:hAnsi="仿宋" w:eastAsia="仿宋"/>
          <w:sz w:val="32"/>
          <w:szCs w:val="32"/>
        </w:rPr>
      </w:pPr>
      <w:r>
        <w:rPr>
          <w:rFonts w:ascii="仿宋" w:hAnsi="仿宋" w:eastAsia="仿宋"/>
          <w:sz w:val="32"/>
          <w:szCs w:val="32"/>
        </w:rPr>
        <w:t>2021年本部门开支会议费0万元；开支培训费0.17万元，比上年减少2.05万元，减少92.34%，增减变化的主要原因是：本单位厉行节俭</w:t>
      </w:r>
      <w:r>
        <w:rPr>
          <w:rFonts w:hint="eastAsia" w:ascii="仿宋" w:hAnsi="仿宋" w:eastAsia="仿宋"/>
          <w:sz w:val="32"/>
          <w:szCs w:val="32"/>
        </w:rPr>
        <w:t>；本部门未举办节庆、晚会、论坛、赛事活动，开支</w:t>
      </w:r>
      <w:r>
        <w:rPr>
          <w:rFonts w:ascii="仿宋" w:hAnsi="仿宋" w:eastAsia="仿宋"/>
          <w:sz w:val="32"/>
          <w:szCs w:val="32"/>
        </w:rPr>
        <w:t>0万元。</w:t>
      </w:r>
    </w:p>
    <w:p w14:paraId="1F8B5ECC">
      <w:pPr>
        <w:spacing w:line="600" w:lineRule="exact"/>
        <w:ind w:firstLine="640" w:firstLineChars="200"/>
        <w:rPr>
          <w:rFonts w:ascii="黑体" w:hAnsi="黑体" w:eastAsia="黑体"/>
          <w:sz w:val="32"/>
          <w:szCs w:val="32"/>
        </w:rPr>
      </w:pPr>
      <w:r>
        <w:rPr>
          <w:rFonts w:hint="eastAsia" w:ascii="黑体" w:hAnsi="黑体" w:eastAsia="黑体"/>
          <w:sz w:val="32"/>
          <w:szCs w:val="32"/>
        </w:rPr>
        <w:t>十二、关于政府采购支出说明</w:t>
      </w:r>
    </w:p>
    <w:p w14:paraId="131CA2A0">
      <w:pPr>
        <w:spacing w:line="600" w:lineRule="exact"/>
        <w:ind w:firstLine="640" w:firstLineChars="200"/>
        <w:rPr>
          <w:rFonts w:ascii="仿宋" w:hAnsi="仿宋" w:eastAsia="仿宋"/>
          <w:sz w:val="32"/>
          <w:szCs w:val="32"/>
        </w:rPr>
      </w:pPr>
      <w:r>
        <w:rPr>
          <w:rFonts w:hint="eastAsia" w:ascii="仿宋" w:hAnsi="仿宋" w:eastAsia="仿宋"/>
          <w:sz w:val="32"/>
          <w:szCs w:val="32"/>
        </w:rPr>
        <w:t>本部门</w:t>
      </w:r>
      <w:r>
        <w:rPr>
          <w:rFonts w:ascii="仿宋" w:hAnsi="仿宋" w:eastAsia="仿宋"/>
          <w:sz w:val="32"/>
          <w:szCs w:val="32"/>
        </w:rPr>
        <w:t>2021年度政府采购支出总额0万元，其中：政府采购货物支出0万元、政府采购工程支出0万元、政府采购服务支出0万元。授予中小企业合同金额0万元，占政府采购支出总额的0%，其中：授予小微企业合同金额0万元，占政府采购支出总额的0%。</w:t>
      </w:r>
    </w:p>
    <w:p w14:paraId="5184F116">
      <w:pPr>
        <w:spacing w:line="600" w:lineRule="exact"/>
        <w:ind w:firstLine="640" w:firstLineChars="200"/>
        <w:rPr>
          <w:rFonts w:ascii="黑体" w:hAnsi="黑体" w:eastAsia="黑体"/>
          <w:sz w:val="32"/>
          <w:szCs w:val="32"/>
        </w:rPr>
      </w:pPr>
      <w:r>
        <w:rPr>
          <w:rFonts w:hint="eastAsia" w:ascii="黑体" w:hAnsi="黑体" w:eastAsia="黑体"/>
          <w:sz w:val="32"/>
          <w:szCs w:val="32"/>
        </w:rPr>
        <w:t>十三、关于国有资产占用情况说明</w:t>
      </w:r>
    </w:p>
    <w:p w14:paraId="15A0A998">
      <w:pPr>
        <w:spacing w:line="600" w:lineRule="exact"/>
        <w:ind w:firstLine="640" w:firstLineChars="200"/>
        <w:rPr>
          <w:rFonts w:ascii="仿宋" w:hAnsi="仿宋" w:eastAsia="仿宋"/>
          <w:sz w:val="32"/>
          <w:szCs w:val="32"/>
        </w:rPr>
      </w:pPr>
      <w:r>
        <w:rPr>
          <w:rFonts w:hint="eastAsia" w:ascii="仿宋" w:hAnsi="仿宋" w:eastAsia="仿宋"/>
          <w:sz w:val="32"/>
          <w:szCs w:val="32"/>
        </w:rPr>
        <w:t>截至</w:t>
      </w:r>
      <w:r>
        <w:rPr>
          <w:rFonts w:ascii="仿宋" w:hAnsi="仿宋" w:eastAsia="仿宋"/>
          <w:sz w:val="32"/>
          <w:szCs w:val="32"/>
        </w:rPr>
        <w:t>2021年12月31日，本单位共有车辆5辆，其中，正在报废处理3辆，主要领导干部用车0辆，机要通信用车0辆、应急保障用车0辆、执法执勤用车0辆、特种专业技术用车0辆、其他用车2辆，其他用车主要是老干服务用车；单位价值50万元以上通用设备0台（套）；单位价值100万元以上专用设备0台（套）。</w:t>
      </w:r>
    </w:p>
    <w:p w14:paraId="5B647432">
      <w:pPr>
        <w:spacing w:line="600" w:lineRule="exact"/>
        <w:ind w:firstLine="640" w:firstLineChars="200"/>
        <w:rPr>
          <w:rFonts w:ascii="黑体" w:hAnsi="黑体" w:eastAsia="黑体"/>
          <w:sz w:val="32"/>
          <w:szCs w:val="32"/>
        </w:rPr>
      </w:pPr>
      <w:r>
        <w:rPr>
          <w:rFonts w:hint="eastAsia" w:ascii="黑体" w:hAnsi="黑体" w:eastAsia="黑体"/>
          <w:sz w:val="32"/>
          <w:szCs w:val="32"/>
        </w:rPr>
        <w:t>十四、关于</w:t>
      </w:r>
      <w:r>
        <w:rPr>
          <w:rFonts w:ascii="黑体" w:hAnsi="黑体" w:eastAsia="黑体"/>
          <w:sz w:val="32"/>
          <w:szCs w:val="32"/>
        </w:rPr>
        <w:t>2021年度预算绩效情况的说明</w:t>
      </w:r>
    </w:p>
    <w:p w14:paraId="3589A63E">
      <w:pPr>
        <w:spacing w:line="600" w:lineRule="exact"/>
        <w:ind w:firstLine="640" w:firstLineChars="200"/>
        <w:rPr>
          <w:rFonts w:ascii="仿宋" w:hAnsi="仿宋" w:eastAsia="仿宋"/>
          <w:sz w:val="32"/>
          <w:szCs w:val="32"/>
        </w:rPr>
      </w:pPr>
      <w:r>
        <w:rPr>
          <w:rFonts w:hint="eastAsia" w:ascii="仿宋" w:hAnsi="仿宋" w:eastAsia="仿宋"/>
          <w:sz w:val="32"/>
          <w:szCs w:val="32"/>
        </w:rPr>
        <w:t>本部门预算绩效管理开展情况、绩效目标和绩效评价报告等见附件。</w:t>
      </w:r>
    </w:p>
    <w:p w14:paraId="10F2A0E6">
      <w:pPr>
        <w:spacing w:line="600" w:lineRule="exact"/>
        <w:ind w:firstLine="640" w:firstLineChars="200"/>
        <w:rPr>
          <w:rFonts w:ascii="仿宋" w:hAnsi="仿宋" w:eastAsia="仿宋"/>
          <w:sz w:val="32"/>
          <w:szCs w:val="32"/>
        </w:rPr>
      </w:pPr>
    </w:p>
    <w:p w14:paraId="6F7A63C4">
      <w:pPr>
        <w:spacing w:line="600" w:lineRule="exact"/>
        <w:ind w:firstLine="883" w:firstLineChars="200"/>
        <w:jc w:val="center"/>
        <w:rPr>
          <w:rFonts w:ascii="黑体" w:hAnsi="黑体" w:eastAsia="黑体"/>
          <w:b/>
          <w:bCs/>
          <w:sz w:val="44"/>
          <w:szCs w:val="44"/>
        </w:rPr>
      </w:pPr>
      <w:r>
        <w:rPr>
          <w:rFonts w:hint="eastAsia" w:ascii="黑体" w:hAnsi="黑体" w:eastAsia="黑体"/>
          <w:b/>
          <w:bCs/>
          <w:sz w:val="44"/>
          <w:szCs w:val="44"/>
        </w:rPr>
        <w:t>第四部分 名词解释</w:t>
      </w:r>
    </w:p>
    <w:p w14:paraId="204A8E48">
      <w:pPr>
        <w:spacing w:line="600" w:lineRule="exact"/>
        <w:ind w:firstLine="640" w:firstLineChars="200"/>
        <w:rPr>
          <w:rFonts w:ascii="仿宋" w:hAnsi="仿宋" w:eastAsia="仿宋"/>
          <w:sz w:val="32"/>
          <w:szCs w:val="32"/>
        </w:rPr>
      </w:pPr>
    </w:p>
    <w:p w14:paraId="5B8DD099">
      <w:pPr>
        <w:spacing w:line="600" w:lineRule="exact"/>
        <w:ind w:firstLine="640" w:firstLineChars="200"/>
        <w:rPr>
          <w:rFonts w:ascii="仿宋" w:hAnsi="仿宋" w:eastAsia="仿宋"/>
          <w:sz w:val="32"/>
          <w:szCs w:val="32"/>
        </w:rPr>
      </w:pPr>
      <w:r>
        <w:rPr>
          <w:rFonts w:hint="eastAsia" w:ascii="仿宋" w:hAnsi="仿宋" w:eastAsia="仿宋"/>
          <w:sz w:val="32"/>
          <w:szCs w:val="32"/>
        </w:rPr>
        <w:t>一、机关运行经费：为保障行政单位（包括参照公务员法管理的事业单位）运行，用一般公共预算拨款安排，用于购买货物和服务的各项资金，包括办公及印刷费、邮电费、差旅费、会议费、福利费、日常维修费、办公用房水电费、办公用房取暖费、办公用房物业管理费、公务用车运行维护费以及其他费用，即为行政单位和参照公务员法管理事业单位一般公共预算财政拨款基本支出中的公用经费支出。</w:t>
      </w:r>
    </w:p>
    <w:p w14:paraId="3273C7D6">
      <w:pPr>
        <w:spacing w:line="600" w:lineRule="exact"/>
        <w:ind w:firstLine="640" w:firstLineChars="200"/>
        <w:rPr>
          <w:rFonts w:ascii="仿宋" w:hAnsi="仿宋" w:eastAsia="仿宋"/>
          <w:sz w:val="32"/>
          <w:szCs w:val="32"/>
        </w:rPr>
      </w:pPr>
      <w:r>
        <w:rPr>
          <w:rFonts w:hint="eastAsia" w:ascii="仿宋" w:hAnsi="仿宋" w:eastAsia="仿宋"/>
          <w:sz w:val="32"/>
          <w:szCs w:val="32"/>
        </w:rPr>
        <w:t>二、“三公”经费：纳入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14:paraId="1623B030">
      <w:pPr>
        <w:spacing w:line="600" w:lineRule="exact"/>
        <w:ind w:firstLine="640" w:firstLineChars="200"/>
        <w:rPr>
          <w:rFonts w:ascii="仿宋" w:hAnsi="仿宋" w:eastAsia="仿宋"/>
          <w:sz w:val="32"/>
          <w:szCs w:val="32"/>
        </w:rPr>
      </w:pPr>
    </w:p>
    <w:p w14:paraId="13E9975F">
      <w:pPr>
        <w:spacing w:line="600" w:lineRule="exact"/>
        <w:ind w:firstLine="883" w:firstLineChars="200"/>
        <w:jc w:val="center"/>
        <w:rPr>
          <w:rFonts w:ascii="黑体" w:hAnsi="黑体" w:eastAsia="黑体"/>
          <w:b/>
          <w:bCs/>
          <w:sz w:val="44"/>
          <w:szCs w:val="44"/>
        </w:rPr>
      </w:pPr>
      <w:r>
        <w:rPr>
          <w:rFonts w:hint="eastAsia" w:ascii="黑体" w:hAnsi="黑体" w:eastAsia="黑体"/>
          <w:b/>
          <w:bCs/>
          <w:sz w:val="44"/>
          <w:szCs w:val="44"/>
        </w:rPr>
        <w:t>第五部分 附件</w:t>
      </w:r>
    </w:p>
    <w:p w14:paraId="6D950A46">
      <w:pPr>
        <w:spacing w:line="600" w:lineRule="exact"/>
        <w:ind w:firstLine="640" w:firstLineChars="200"/>
        <w:rPr>
          <w:rFonts w:ascii="仿宋" w:hAnsi="仿宋" w:eastAsia="仿宋"/>
          <w:sz w:val="32"/>
          <w:szCs w:val="32"/>
        </w:rPr>
      </w:pPr>
    </w:p>
    <w:p w14:paraId="007A925B">
      <w:pPr>
        <w:spacing w:line="600" w:lineRule="exact"/>
        <w:ind w:firstLine="640" w:firstLineChars="200"/>
        <w:rPr>
          <w:rFonts w:hint="eastAsia" w:ascii="仿宋" w:hAnsi="仿宋" w:eastAsia="仿宋"/>
          <w:sz w:val="32"/>
          <w:szCs w:val="32"/>
        </w:rPr>
      </w:pPr>
    </w:p>
    <w:p w14:paraId="580C6B57">
      <w:pPr>
        <w:spacing w:line="600" w:lineRule="exact"/>
        <w:ind w:firstLine="640" w:firstLineChars="200"/>
        <w:rPr>
          <w:rFonts w:ascii="仿宋" w:hAnsi="仿宋" w:eastAsia="仿宋"/>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等线">
    <w:altName w:val="汉仪中宋简"/>
    <w:panose1 w:val="02010600030101010101"/>
    <w:charset w:val="86"/>
    <w:family w:val="auto"/>
    <w:pitch w:val="default"/>
    <w:sig w:usb0="00000000" w:usb1="00000000" w:usb2="00000016" w:usb3="00000000" w:csb0="0004000F" w:csb1="00000000"/>
  </w:font>
  <w:font w:name="汉仪中宋简">
    <w:panose1 w:val="02010600000101010101"/>
    <w:charset w:val="86"/>
    <w:family w:val="auto"/>
    <w:pitch w:val="default"/>
    <w:sig w:usb0="00000001" w:usb1="080E0800" w:usb2="00000002" w:usb3="00000000" w:csb0="00040000" w:csb1="00000000"/>
  </w:font>
  <w:font w:name="等线">
    <w:altName w:val="仿宋_GB2312"/>
    <w:panose1 w:val="00000000000000000000"/>
    <w:charset w:val="86"/>
    <w:family w:val="auto"/>
    <w:pitch w:val="default"/>
    <w:sig w:usb0="00000000" w:usb1="00000000" w:usb2="00000000" w:usb3="00000000" w:csb0="00000000" w:csb1="00000000"/>
  </w:font>
  <w:font w:name="等线">
    <w:altName w:val="仿宋_GB2312"/>
    <w:panose1 w:val="00000000000000000000"/>
    <w:charset w:val="00"/>
    <w:family w:val="auto"/>
    <w:pitch w:val="default"/>
    <w:sig w:usb0="00000000" w:usb1="00000000" w:usb2="00000000" w:usb3="00000000" w:csb0="0000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mQ0YjVmZmRlN2M5YWU1ZjAzNGYzZGU5YzVkMThkNGEifQ=="/>
  </w:docVars>
  <w:rsids>
    <w:rsidRoot w:val="00591237"/>
    <w:rsid w:val="004E48AD"/>
    <w:rsid w:val="00591237"/>
    <w:rsid w:val="00CE6FE7"/>
    <w:rsid w:val="00EB1FED"/>
    <w:rsid w:val="37D416A4"/>
    <w:rsid w:val="58787ADF"/>
    <w:rsid w:val="7EFEF9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character" w:default="1" w:styleId="3">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10</Pages>
  <Words>671</Words>
  <Characters>3826</Characters>
  <Lines>31</Lines>
  <Paragraphs>8</Paragraphs>
  <TotalTime>1</TotalTime>
  <ScaleCrop>false</ScaleCrop>
  <LinksUpToDate>false</LinksUpToDate>
  <CharactersWithSpaces>4489</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2023-09-06T20:36:00Z</dcterms:created>
  <dc:creator>汪 梦引</dc:creator>
  <cp:lastModifiedBy>A梦</cp:lastModifiedBy>
  <dcterms:modified xsi:type="dcterms:W3CDTF">2026-09-23T16:32:59Z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AA0F9A6AFE6644A8896B9D4F84AE149D_13</vt:lpwstr>
  </property>
</Properties>
</file>