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99E761">
      <w:pPr>
        <w:pStyle w:val="12"/>
        <w:jc w:val="both"/>
        <w:rPr>
          <w:rFonts w:hint="eastAsia" w:hAnsi="黑体" w:eastAsia="黑体"/>
          <w:sz w:val="36"/>
          <w:szCs w:val="36"/>
          <w:lang w:eastAsia="zh-CN"/>
        </w:rPr>
      </w:pPr>
    </w:p>
    <w:p w14:paraId="25A35901">
      <w:pPr>
        <w:pStyle w:val="12"/>
        <w:jc w:val="center"/>
        <w:rPr>
          <w:rFonts w:ascii="Times New Roman" w:hAnsi="Times New Roman" w:cs="Times New Roman"/>
          <w:sz w:val="56"/>
          <w:szCs w:val="56"/>
        </w:rPr>
      </w:pPr>
    </w:p>
    <w:p w14:paraId="3D0A91BE">
      <w:pPr>
        <w:pStyle w:val="12"/>
        <w:jc w:val="center"/>
        <w:rPr>
          <w:rFonts w:ascii="Times New Roman" w:hAnsi="Times New Roman" w:cs="Times New Roman"/>
          <w:sz w:val="84"/>
          <w:szCs w:val="84"/>
        </w:rPr>
      </w:pPr>
    </w:p>
    <w:p w14:paraId="09784C81">
      <w:pPr>
        <w:pStyle w:val="12"/>
        <w:jc w:val="center"/>
        <w:rPr>
          <w:rFonts w:ascii="Times New Roman" w:hAnsi="Times New Roman" w:cs="Times New Roman"/>
          <w:sz w:val="84"/>
          <w:szCs w:val="84"/>
        </w:rPr>
      </w:pPr>
    </w:p>
    <w:p w14:paraId="4DC16D03">
      <w:pPr>
        <w:pStyle w:val="12"/>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50694111">
      <w:pPr>
        <w:pStyle w:val="12"/>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怀化市机关事务管理局</w:t>
      </w:r>
    </w:p>
    <w:p w14:paraId="71CCB5FC">
      <w:pPr>
        <w:pStyle w:val="12"/>
        <w:jc w:val="center"/>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部门决算</w:t>
      </w:r>
    </w:p>
    <w:p w14:paraId="6E2A17D5">
      <w:pPr>
        <w:pStyle w:val="12"/>
        <w:jc w:val="center"/>
        <w:rPr>
          <w:rFonts w:ascii="Times New Roman" w:hAnsi="Times New Roman" w:eastAsia="方正小标宋_GBK" w:cs="Times New Roman"/>
          <w:sz w:val="56"/>
          <w:szCs w:val="56"/>
        </w:rPr>
      </w:pPr>
    </w:p>
    <w:p w14:paraId="7857A478">
      <w:pPr>
        <w:pStyle w:val="12"/>
        <w:jc w:val="center"/>
        <w:rPr>
          <w:rFonts w:ascii="Times New Roman" w:hAnsi="Times New Roman" w:cs="Times New Roman"/>
          <w:sz w:val="56"/>
          <w:szCs w:val="56"/>
        </w:rPr>
      </w:pPr>
    </w:p>
    <w:p w14:paraId="0D3335B1">
      <w:pPr>
        <w:pStyle w:val="12"/>
        <w:rPr>
          <w:rFonts w:ascii="Times New Roman" w:hAnsi="Times New Roman" w:cs="Times New Roman"/>
          <w:sz w:val="56"/>
          <w:szCs w:val="56"/>
        </w:rPr>
      </w:pPr>
    </w:p>
    <w:p w14:paraId="6812C896">
      <w:pPr>
        <w:pStyle w:val="12"/>
        <w:jc w:val="center"/>
        <w:rPr>
          <w:rFonts w:ascii="Times New Roman" w:hAnsi="Times New Roman" w:cs="Times New Roman"/>
          <w:sz w:val="32"/>
          <w:szCs w:val="32"/>
        </w:rPr>
      </w:pPr>
    </w:p>
    <w:p w14:paraId="29225F92">
      <w:pPr>
        <w:pStyle w:val="12"/>
        <w:jc w:val="center"/>
        <w:rPr>
          <w:rFonts w:ascii="Times New Roman" w:hAnsi="Times New Roman" w:cs="Times New Roman"/>
          <w:sz w:val="32"/>
          <w:szCs w:val="32"/>
        </w:rPr>
      </w:pPr>
    </w:p>
    <w:p w14:paraId="639218A1">
      <w:pPr>
        <w:pStyle w:val="12"/>
        <w:jc w:val="center"/>
        <w:rPr>
          <w:rFonts w:ascii="Times New Roman" w:hAnsi="Times New Roman" w:cs="Times New Roman"/>
          <w:sz w:val="32"/>
          <w:szCs w:val="32"/>
        </w:rPr>
      </w:pPr>
    </w:p>
    <w:p w14:paraId="5E13C5A1">
      <w:pPr>
        <w:pStyle w:val="12"/>
        <w:jc w:val="center"/>
        <w:rPr>
          <w:rFonts w:ascii="Times New Roman" w:hAnsi="Times New Roman" w:cs="Times New Roman"/>
          <w:sz w:val="32"/>
          <w:szCs w:val="32"/>
        </w:rPr>
      </w:pPr>
    </w:p>
    <w:p w14:paraId="3E31D7FC">
      <w:pPr>
        <w:pStyle w:val="12"/>
        <w:jc w:val="center"/>
        <w:rPr>
          <w:rFonts w:ascii="Times New Roman" w:hAnsi="Times New Roman" w:cs="Times New Roman"/>
          <w:sz w:val="32"/>
          <w:szCs w:val="32"/>
        </w:rPr>
      </w:pPr>
    </w:p>
    <w:p w14:paraId="77BA94CE">
      <w:pPr>
        <w:pStyle w:val="12"/>
        <w:spacing w:line="600" w:lineRule="exact"/>
        <w:jc w:val="both"/>
        <w:rPr>
          <w:rFonts w:ascii="Times New Roman" w:hAnsi="Times New Roman" w:cs="Times New Roman"/>
          <w:b/>
          <w:sz w:val="36"/>
          <w:szCs w:val="28"/>
        </w:rPr>
      </w:pPr>
    </w:p>
    <w:p w14:paraId="3489C037">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33A2FEE">
      <w:pPr>
        <w:pStyle w:val="12"/>
        <w:spacing w:line="600" w:lineRule="exact"/>
        <w:jc w:val="center"/>
        <w:rPr>
          <w:rFonts w:ascii="Times New Roman" w:hAnsi="Times New Roman" w:cs="Times New Roman"/>
          <w:b/>
          <w:sz w:val="36"/>
          <w:szCs w:val="28"/>
        </w:rPr>
      </w:pPr>
    </w:p>
    <w:p w14:paraId="0D109FCE">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怀化市机关事务管理局概况</w:t>
      </w:r>
    </w:p>
    <w:p w14:paraId="6514506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0BB584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5A2453A">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7FFB08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B00567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B7288B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6BB79A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C0F5B6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A7DBE0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A7E131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ACAC9A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C7B1BBC">
      <w:pPr>
        <w:pStyle w:val="12"/>
        <w:spacing w:line="600" w:lineRule="exact"/>
        <w:rPr>
          <w:rFonts w:hint="eastAsia" w:ascii="仿宋_GB2312" w:hAnsi="仿宋_GB2312" w:eastAsia="仿宋_GB2312" w:cs="仿宋_GB2312"/>
          <w:sz w:val="32"/>
          <w:szCs w:val="32"/>
        </w:rPr>
      </w:pPr>
      <w:r>
        <w:rPr>
          <w:rFonts w:ascii="Times New Roman" w:hAnsi="Times New Roman" w:eastAsia="仿宋_GB2312" w:cs="Times New Roman"/>
          <w:sz w:val="32"/>
          <w:szCs w:val="32"/>
        </w:rPr>
        <w:t>九、</w:t>
      </w:r>
      <w:r>
        <w:rPr>
          <w:rFonts w:hint="eastAsia" w:ascii="仿宋_GB2312" w:hAnsi="仿宋_GB2312" w:eastAsia="仿宋_GB2312" w:cs="仿宋_GB2312"/>
          <w:sz w:val="32"/>
          <w:szCs w:val="32"/>
        </w:rPr>
        <w:t>财政拨款“三公”经费支出决算表</w:t>
      </w:r>
    </w:p>
    <w:p w14:paraId="715A837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30B333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1EE2C57">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6A93CF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0369E5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73FC5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B250A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E95F01B">
      <w:pPr>
        <w:autoSpaceDE w:val="0"/>
        <w:autoSpaceDN w:val="0"/>
        <w:adjustRightInd w:val="0"/>
        <w:spacing w:line="600" w:lineRule="exact"/>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七、财政拨款“三公”经费支出决算情况说明</w:t>
      </w:r>
    </w:p>
    <w:p w14:paraId="6318152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52F68F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九、国有资本经营预算财政拨款支出说明</w:t>
      </w:r>
    </w:p>
    <w:p w14:paraId="6E9CCA9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094A5E7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35079F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十二、关于政府采购支出说明</w:t>
      </w:r>
    </w:p>
    <w:p w14:paraId="2D4FF38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79BF3A1E">
      <w:pPr>
        <w:pStyle w:val="12"/>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default" w:ascii="仿宋_GB2312" w:hAnsi="仿宋_GB2312" w:eastAsia="仿宋_GB2312" w:cs="仿宋_GB2312"/>
          <w:sz w:val="32"/>
          <w:szCs w:val="32"/>
        </w:rPr>
        <w:t>四</w:t>
      </w:r>
      <w:r>
        <w:rPr>
          <w:rFonts w:hint="eastAsia" w:ascii="仿宋_GB2312" w:hAnsi="仿宋_GB2312" w:eastAsia="仿宋_GB2312" w:cs="仿宋_GB2312"/>
          <w:sz w:val="32"/>
          <w:szCs w:val="32"/>
        </w:rPr>
        <w:t>、关于202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年度预算绩效管理情况的说明</w:t>
      </w:r>
    </w:p>
    <w:p w14:paraId="555FAAC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18B448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7A28FFA">
      <w:pPr>
        <w:pStyle w:val="2"/>
        <w:rPr>
          <w:rFonts w:ascii="Times New Roman" w:hAnsi="Times New Roman" w:cs="Times New Roman"/>
        </w:rPr>
        <w:sectPr>
          <w:footerReference r:id="rId3" w:type="default"/>
          <w:pgSz w:w="11906" w:h="16838"/>
          <w:pgMar w:top="1417" w:right="1588" w:bottom="1417" w:left="1588" w:header="851" w:footer="992" w:gutter="0"/>
          <w:pgNumType w:start="1"/>
          <w:cols w:space="425" w:num="1"/>
          <w:docGrid w:type="lines" w:linePitch="312" w:charSpace="0"/>
        </w:sectPr>
      </w:pPr>
    </w:p>
    <w:p w14:paraId="2C96E40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F89F800">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怀化市机关事务管理局</w:t>
      </w:r>
      <w:r>
        <w:rPr>
          <w:rFonts w:ascii="Times New Roman" w:hAnsi="Times New Roman" w:eastAsia="方正小标宋_GBK" w:cs="Times New Roman"/>
          <w:sz w:val="52"/>
          <w:szCs w:val="52"/>
        </w:rPr>
        <w:t>概况</w:t>
      </w:r>
    </w:p>
    <w:p w14:paraId="79456896">
      <w:pPr>
        <w:pStyle w:val="3"/>
        <w:ind w:left="0" w:leftChars="0" w:firstLine="0" w:firstLineChars="0"/>
        <w:rPr>
          <w:rFonts w:ascii="Times New Roman" w:hAnsi="Times New Roman" w:cs="Times New Roman"/>
        </w:rPr>
      </w:pPr>
    </w:p>
    <w:p w14:paraId="77DBF6F2">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C19A440">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指导全市机关事务工作，负责市直机关事务的管理、保障和服务工作，组织拟订全市机关事务管理和后勤体制改革的具体政策、制度、标准并监督实施；负责指导全市机关后勤服务单位业务工作；会同有关部门协调解决机关后勤工作中的有关问题。</w:t>
      </w:r>
    </w:p>
    <w:p w14:paraId="2C239EF4">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对市直机关单位的房地产实施管理，制订相关管理制度并监督执行；协助有关部门做好市直机关房地产的监督管理工作；负责市直党政机关办公用房集中统一管理，协助有关部门管理市直机关的行政建房计划和投资；根据授权承担市直机关行政办公用房及其他非经营性项目的集中统一建设职责；负责市直机关办公用房维修管理，承办市直机关房屋维修、危旧房改造事务工作；负责市直机关行政用房、住宅建设土地使用权证的有关管理工作。指导、监督、检查全市党政机关办公用房管理，指导市直机关物业管理工作。</w:t>
      </w:r>
    </w:p>
    <w:p w14:paraId="61C01B85">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负责市直行政事业单位国有资产集中统一管理，承担配置计划审核、产权界定、清查登记、资产处置工作。负责市直行政事业单位经营性资产的管理工作。负责外宾赠送我市领导人和各部门的礼品、市直机关单位公派出国人员的礼品和其他礼金礼品的管理工作。会同有关部门负责市纪委监委移交资产物品的管理处置工作。</w:t>
      </w:r>
    </w:p>
    <w:p w14:paraId="5E70D965">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负责市直机关住房制度改革工作，研究拟订住房制度改革方案和实施细则并组织实施；在权限范围内负责市直公务员集中住宅区、保障性住房的建设、管理和服务工作；负责市直机关存量公有住房清查、产权登记、调剂配租、维修维护、资产处置等工作。</w:t>
      </w:r>
    </w:p>
    <w:p w14:paraId="4CB77545">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导、监督、检查全市公务用车管理工作；负责市直行政事业单位公务用车的编制、配备、更新、处置以及预算内专项用于解决市领导和市直行政事业单位公务用车的经费管理工作，负责市直公务用车平台管理工作。</w:t>
      </w:r>
    </w:p>
    <w:p w14:paraId="0C32EDBA">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统筹协调、指导、推进全市公共机构节能工作，会同有关部门推进全市节约型机关建设，制定推动全市公共机构节能的规划、制度并组织实施；负责市直公共机构节约能源资源管理工作。</w:t>
      </w:r>
    </w:p>
    <w:p w14:paraId="2102E2F8">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负责按规定为异地交流来怀工作的市级领导提供住房保障等服务。</w:t>
      </w:r>
    </w:p>
    <w:p w14:paraId="698D0BDF">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负责市委机关、市政府机关（市民服务中心，下同）的事务管理、保障和服务工作；承担市委机关、市政府机关房屋维修、危旧房改造事务工作；承办市委机关住房交易管理工作。</w:t>
      </w:r>
    </w:p>
    <w:p w14:paraId="0B1A5C37">
      <w:pPr>
        <w:spacing w:line="600" w:lineRule="exact"/>
        <w:ind w:firstLine="800" w:firstLineChars="25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九</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会同相关部门组织实施市直机关后勤员工培训工作。</w:t>
      </w:r>
    </w:p>
    <w:p w14:paraId="5AC0D9D1">
      <w:pPr>
        <w:spacing w:line="600" w:lineRule="exact"/>
        <w:ind w:firstLine="800" w:firstLineChars="25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（十）承办市委、市政府交办的其它任务。</w:t>
      </w:r>
    </w:p>
    <w:p w14:paraId="487182A3">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十一）有关职责分工。市财政局负责制定行政事业单位国有资产管理规章制度，并负责组织实施和监督检查。市机关事务管理局负责市直行政事业单位国有资产管理，承担产权界定、清查登记、资产处置工作，接受市财政局的指导和监督检查。</w:t>
      </w:r>
    </w:p>
    <w:p w14:paraId="0BF4A40D">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E30F6F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机关事务管理局内设机构包括：办公室、办公用房管理与住房保障科、国有资产管理科、公共机构节能管理科、人事与政策法规科、财务管理科、机关党委。设怀化市委市政府机关服务中心、怀化市直机关国有资产事务中心、怀化市公务用车事务中心和怀化市委市政府机关幼儿园四个二级机构。</w:t>
      </w:r>
    </w:p>
    <w:p w14:paraId="19EBA3E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eastAsia="仿宋_GB2312" w:hAnsiTheme="minorEastAsia"/>
          <w:sz w:val="28"/>
          <w:szCs w:val="32"/>
        </w:rPr>
      </w:pPr>
      <w:r>
        <w:rPr>
          <w:rFonts w:ascii="Times New Roman" w:hAnsi="Times New Roman" w:eastAsia="仿宋_GB2312" w:cs="Times New Roman"/>
          <w:bCs/>
          <w:kern w:val="0"/>
          <w:sz w:val="32"/>
          <w:szCs w:val="32"/>
        </w:rPr>
        <w:t>（二）</w:t>
      </w:r>
      <w:r>
        <w:rPr>
          <w:rFonts w:hint="eastAsia" w:ascii="仿宋_GB2312" w:hAnsi="仿宋_GB2312" w:eastAsia="仿宋_GB2312" w:cs="仿宋_GB2312"/>
          <w:bCs/>
          <w:kern w:val="0"/>
          <w:sz w:val="32"/>
          <w:szCs w:val="32"/>
        </w:rPr>
        <w:t>决算单位构成。</w:t>
      </w:r>
      <w:r>
        <w:rPr>
          <w:rFonts w:hint="eastAsia" w:ascii="仿宋_GB2312" w:hAnsi="仿宋_GB2312" w:eastAsia="仿宋_GB2312" w:cs="仿宋_GB2312"/>
          <w:bCs/>
          <w:kern w:val="0"/>
          <w:sz w:val="32"/>
          <w:szCs w:val="32"/>
          <w:lang w:val="en-US" w:eastAsia="zh-CN"/>
        </w:rPr>
        <w:t>怀化市机关事务管理局</w:t>
      </w:r>
      <w:r>
        <w:rPr>
          <w:rFonts w:hint="eastAsia" w:ascii="仿宋_GB2312" w:hAnsi="仿宋_GB2312" w:eastAsia="仿宋_GB2312" w:cs="仿宋_GB2312"/>
          <w:bCs/>
          <w:kern w:val="0"/>
          <w:sz w:val="32"/>
          <w:szCs w:val="32"/>
        </w:rPr>
        <w:t>202</w:t>
      </w:r>
      <w:r>
        <w:rPr>
          <w:rFonts w:hint="eastAsia" w:ascii="仿宋_GB2312" w:hAnsi="仿宋_GB2312" w:eastAsia="仿宋_GB2312" w:cs="仿宋_GB2312"/>
          <w:bCs/>
          <w:kern w:val="0"/>
          <w:sz w:val="32"/>
          <w:szCs w:val="32"/>
          <w:lang w:val="en-US" w:eastAsia="zh-CN"/>
        </w:rPr>
        <w:t>4</w:t>
      </w:r>
      <w:r>
        <w:rPr>
          <w:rFonts w:hint="eastAsia" w:ascii="仿宋_GB2312" w:hAnsi="仿宋_GB2312" w:eastAsia="仿宋_GB2312" w:cs="仿宋_GB2312"/>
          <w:bCs/>
          <w:kern w:val="0"/>
          <w:sz w:val="32"/>
          <w:szCs w:val="32"/>
        </w:rPr>
        <w:t>年部门决算汇总公开单位构成包括：怀化市机关事务管理局本级（怀化市委市政府机关服务中心、怀化市直机关国有资产事务中心、怀化市公务用车事务中心三个二级机构财务不独立）。</w:t>
      </w:r>
    </w:p>
    <w:p w14:paraId="45FA281D">
      <w:pPr>
        <w:jc w:val="left"/>
        <w:rPr>
          <w:rFonts w:ascii="Times New Roman" w:hAnsi="Times New Roman" w:eastAsia="仿宋_GB2312" w:cs="Times New Roman"/>
          <w:sz w:val="28"/>
          <w:szCs w:val="32"/>
        </w:rPr>
      </w:pPr>
    </w:p>
    <w:p w14:paraId="62BA1E25">
      <w:pPr>
        <w:jc w:val="center"/>
        <w:rPr>
          <w:rFonts w:ascii="Times New Roman" w:hAnsi="Times New Roman" w:eastAsia="黑体" w:cs="Times New Roman"/>
          <w:sz w:val="28"/>
          <w:szCs w:val="28"/>
        </w:rPr>
      </w:pPr>
    </w:p>
    <w:p w14:paraId="11177A72">
      <w:pPr>
        <w:jc w:val="center"/>
        <w:rPr>
          <w:rFonts w:ascii="Times New Roman" w:hAnsi="Times New Roman" w:eastAsia="黑体" w:cs="Times New Roman"/>
          <w:sz w:val="28"/>
          <w:szCs w:val="28"/>
        </w:rPr>
      </w:pPr>
    </w:p>
    <w:p w14:paraId="1D5596C4">
      <w:pPr>
        <w:jc w:val="center"/>
        <w:rPr>
          <w:rFonts w:ascii="Times New Roman" w:hAnsi="Times New Roman" w:eastAsia="黑体" w:cs="Times New Roman"/>
          <w:sz w:val="28"/>
          <w:szCs w:val="28"/>
        </w:rPr>
      </w:pPr>
    </w:p>
    <w:p w14:paraId="2A63B488">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C7202A4">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3EF3089">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9E8608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hint="eastAsia" w:ascii="仿宋_GB2312" w:hAnsi="仿宋_GB2312" w:eastAsia="仿宋_GB2312" w:cs="仿宋_GB2312"/>
          <w:color w:val="000000"/>
          <w:kern w:val="0"/>
          <w:sz w:val="20"/>
          <w:szCs w:val="20"/>
          <w:lang w:bidi="ar"/>
        </w:rPr>
        <w:t>公开01表</w:t>
      </w:r>
    </w:p>
    <w:p w14:paraId="75D514D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怀化市机关事务管理局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679"/>
        <w:gridCol w:w="838"/>
        <w:gridCol w:w="1291"/>
        <w:gridCol w:w="4781"/>
        <w:gridCol w:w="953"/>
        <w:gridCol w:w="1354"/>
      </w:tblGrid>
      <w:tr w14:paraId="2B6C0BBC">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AB3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106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3C416C4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EF0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07A8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3DE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EE26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082D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67F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421A95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3A7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B3AC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91E05">
            <w:pPr>
              <w:widowControl/>
              <w:jc w:val="center"/>
              <w:textAlignment w:val="center"/>
              <w:rPr>
                <w:rFonts w:ascii="Times New Roman" w:hAnsi="Times New Roman" w:eastAsia="仿宋_GB2312" w:cs="Times New Roman"/>
                <w:color w:val="000000"/>
                <w:sz w:val="24"/>
                <w:szCs w:val="24"/>
              </w:rPr>
            </w:pPr>
            <w:r>
              <w:rPr>
                <w:rFonts w:hint="eastAsia" w:ascii="仿宋_GB2312" w:hAnsi="仿宋_GB2312" w:eastAsia="仿宋_GB2312" w:cs="仿宋_GB2312"/>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55B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0E0AB">
            <w:pPr>
              <w:jc w:val="center"/>
              <w:rPr>
                <w:rFonts w:hint="eastAsia" w:ascii="仿宋_GB2312" w:hAnsi="仿宋_GB2312" w:eastAsia="仿宋_GB2312" w:cs="仿宋_GB2312"/>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F6BC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w:t>
            </w:r>
          </w:p>
        </w:tc>
      </w:tr>
      <w:tr w14:paraId="67DD27D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62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F1B11">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52C30">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rPr>
              <w:t>3916.33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A22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D6752">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B4A3C">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rPr>
              <w:t>3637.24</w:t>
            </w:r>
          </w:p>
        </w:tc>
      </w:tr>
      <w:tr w14:paraId="792E38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0C9B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61E8D">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3B7A">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28A0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81CA5">
            <w:pPr>
              <w:widowControl/>
              <w:tabs>
                <w:tab w:val="center" w:pos="375"/>
                <w:tab w:val="left" w:pos="557"/>
              </w:tabs>
              <w:jc w:val="left"/>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ab/>
            </w:r>
            <w:r>
              <w:rPr>
                <w:rFonts w:hint="default" w:ascii="仿宋_GB2312" w:hAnsi="仿宋_GB2312" w:eastAsia="仿宋_GB2312" w:cs="仿宋_GB2312"/>
                <w:color w:val="000000"/>
                <w:kern w:val="0"/>
                <w:sz w:val="22"/>
                <w:lang w:bidi="ar"/>
              </w:rPr>
              <w:t>18</w:t>
            </w:r>
            <w:r>
              <w:rPr>
                <w:rFonts w:hint="default" w:ascii="仿宋_GB2312" w:hAnsi="仿宋_GB2312" w:eastAsia="仿宋_GB2312" w:cs="仿宋_GB2312"/>
                <w:color w:val="000000"/>
                <w:kern w:val="0"/>
                <w:sz w:val="22"/>
                <w:lang w:bidi="ar"/>
              </w:rPr>
              <w:tab/>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00B6">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lang w:val="en-US" w:eastAsia="zh-CN"/>
              </w:rPr>
              <w:t>0.00</w:t>
            </w:r>
          </w:p>
        </w:tc>
      </w:tr>
      <w:tr w14:paraId="08AE69C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CFA7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DFCA1">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73F3">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708D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C161B">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19</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78BB">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lang w:val="en-US" w:eastAsia="zh-CN"/>
              </w:rPr>
              <w:t>0.00</w:t>
            </w:r>
          </w:p>
        </w:tc>
      </w:tr>
      <w:tr w14:paraId="0C7DF6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204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05D75">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B0CF">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4E1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AADDB">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20</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1E125">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lang w:val="en-US" w:eastAsia="zh-CN"/>
              </w:rPr>
              <w:t>0.00</w:t>
            </w:r>
          </w:p>
        </w:tc>
      </w:tr>
      <w:tr w14:paraId="4F72469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9D0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7C501">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D509D">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65F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4C402">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CD2C">
            <w:pPr>
              <w:jc w:val="right"/>
              <w:rPr>
                <w:rFonts w:hint="default" w:ascii="仿宋_GB2312" w:hAnsi="仿宋_GB2312" w:eastAsia="仿宋_GB2312" w:cs="仿宋_GB2312"/>
                <w:color w:val="000000"/>
                <w:sz w:val="22"/>
              </w:rPr>
            </w:pPr>
            <w:r>
              <w:rPr>
                <w:rFonts w:hint="default" w:ascii="仿宋_GB2312" w:hAnsi="仿宋_GB2312" w:eastAsia="仿宋_GB2312" w:cs="仿宋_GB2312"/>
                <w:color w:val="000000"/>
                <w:sz w:val="22"/>
              </w:rPr>
              <w:t>2.00</w:t>
            </w:r>
          </w:p>
        </w:tc>
      </w:tr>
      <w:tr w14:paraId="45E3556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122C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719A7">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E6240">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B8D8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117A0">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2B116">
            <w:pPr>
              <w:jc w:val="right"/>
              <w:rPr>
                <w:rFonts w:hint="default" w:ascii="仿宋_GB2312" w:hAnsi="仿宋_GB2312" w:eastAsia="仿宋_GB2312" w:cs="仿宋_GB2312"/>
                <w:color w:val="000000"/>
                <w:sz w:val="22"/>
              </w:rPr>
            </w:pPr>
            <w:r>
              <w:rPr>
                <w:rFonts w:hint="default" w:ascii="仿宋_GB2312" w:hAnsi="仿宋_GB2312" w:eastAsia="仿宋_GB2312" w:cs="仿宋_GB2312"/>
                <w:color w:val="000000"/>
                <w:sz w:val="22"/>
              </w:rPr>
              <w:t>0.00</w:t>
            </w:r>
          </w:p>
        </w:tc>
      </w:tr>
      <w:tr w14:paraId="031D7AA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9A3E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E46FF">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3E48D">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0714F">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59C3D">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A858">
            <w:pPr>
              <w:jc w:val="right"/>
              <w:rPr>
                <w:rFonts w:hint="default" w:ascii="仿宋_GB2312" w:hAnsi="仿宋_GB2312" w:eastAsia="仿宋_GB2312" w:cs="仿宋_GB2312"/>
                <w:color w:val="000000"/>
                <w:sz w:val="22"/>
              </w:rPr>
            </w:pPr>
            <w:r>
              <w:rPr>
                <w:rFonts w:hint="default" w:ascii="仿宋_GB2312" w:hAnsi="仿宋_GB2312" w:eastAsia="仿宋_GB2312" w:cs="仿宋_GB2312"/>
                <w:color w:val="000000"/>
                <w:sz w:val="22"/>
              </w:rPr>
              <w:t>60.00</w:t>
            </w:r>
          </w:p>
        </w:tc>
      </w:tr>
      <w:tr w14:paraId="0B4FEE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71A9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704E1">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045B">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lang w:val="en-US" w:eastAsia="zh-CN"/>
              </w:rPr>
              <w:t>186.44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32D15">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A29AC">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D28A">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rPr>
              <w:t>235.51</w:t>
            </w:r>
          </w:p>
        </w:tc>
      </w:tr>
      <w:tr w14:paraId="26C023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FF8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EC370">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B7C6C">
            <w:pPr>
              <w:jc w:val="right"/>
              <w:rPr>
                <w:rFonts w:hint="eastAsia" w:ascii="仿宋_GB2312" w:hAnsi="仿宋_GB2312" w:eastAsia="仿宋_GB2312" w:cs="仿宋_GB2312"/>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41A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A579D">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13E19">
            <w:pPr>
              <w:jc w:val="right"/>
              <w:rPr>
                <w:rFonts w:hint="default" w:ascii="仿宋_GB2312" w:hAnsi="仿宋_GB2312" w:eastAsia="仿宋_GB2312" w:cs="仿宋_GB2312"/>
                <w:color w:val="000000"/>
                <w:sz w:val="22"/>
              </w:rPr>
            </w:pPr>
            <w:r>
              <w:rPr>
                <w:rFonts w:hint="default" w:ascii="仿宋_GB2312" w:hAnsi="仿宋_GB2312" w:eastAsia="仿宋_GB2312" w:cs="仿宋_GB2312"/>
                <w:color w:val="000000"/>
                <w:sz w:val="22"/>
              </w:rPr>
              <w:t>41.76</w:t>
            </w:r>
          </w:p>
        </w:tc>
      </w:tr>
      <w:tr w14:paraId="02969E2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6707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8DFE3">
            <w:pPr>
              <w:widowControl/>
              <w:jc w:val="center"/>
              <w:textAlignment w:val="center"/>
              <w:rPr>
                <w:rFonts w:hint="default" w:ascii="仿宋_GB2312" w:hAnsi="仿宋_GB2312" w:eastAsia="仿宋_GB2312" w:cs="仿宋_GB2312"/>
                <w:color w:val="000000"/>
                <w:kern w:val="0"/>
                <w:sz w:val="22"/>
                <w:lang w:bidi="ar"/>
              </w:rPr>
            </w:pPr>
            <w:r>
              <w:rPr>
                <w:rFonts w:hint="default" w:ascii="仿宋_GB2312" w:hAnsi="仿宋_GB2312" w:eastAsia="仿宋_GB2312" w:cs="仿宋_GB2312"/>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CE9B">
            <w:pPr>
              <w:jc w:val="right"/>
              <w:rPr>
                <w:rFonts w:hint="eastAsia" w:ascii="仿宋_GB2312" w:hAnsi="仿宋_GB2312" w:eastAsia="仿宋_GB2312" w:cs="仿宋_GB2312"/>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2FCE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58AE6">
            <w:pPr>
              <w:widowControl/>
              <w:jc w:val="center"/>
              <w:textAlignment w:val="center"/>
              <w:rPr>
                <w:rFonts w:hint="default" w:ascii="仿宋_GB2312" w:hAnsi="仿宋_GB2312" w:eastAsia="仿宋_GB2312" w:cs="仿宋_GB2312"/>
                <w:color w:val="000000"/>
                <w:kern w:val="0"/>
                <w:sz w:val="22"/>
                <w:lang w:bidi="ar"/>
              </w:rPr>
            </w:pPr>
            <w:r>
              <w:rPr>
                <w:rFonts w:hint="default" w:ascii="仿宋_GB2312" w:hAnsi="仿宋_GB2312" w:eastAsia="仿宋_GB2312" w:cs="仿宋_GB2312"/>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7C83">
            <w:pPr>
              <w:jc w:val="right"/>
              <w:rPr>
                <w:rFonts w:hint="default" w:ascii="仿宋_GB2312" w:hAnsi="仿宋_GB2312" w:eastAsia="仿宋_GB2312" w:cs="仿宋_GB2312"/>
                <w:color w:val="000000"/>
                <w:sz w:val="22"/>
              </w:rPr>
            </w:pPr>
            <w:r>
              <w:rPr>
                <w:rFonts w:hint="default" w:ascii="仿宋_GB2312" w:hAnsi="仿宋_GB2312" w:eastAsia="仿宋_GB2312" w:cs="仿宋_GB2312"/>
                <w:color w:val="000000"/>
                <w:sz w:val="22"/>
              </w:rPr>
              <w:t>7.73</w:t>
            </w:r>
          </w:p>
        </w:tc>
      </w:tr>
      <w:tr w14:paraId="2946276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F1B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FE120">
            <w:pPr>
              <w:widowControl/>
              <w:jc w:val="center"/>
              <w:textAlignment w:val="center"/>
              <w:rPr>
                <w:rFonts w:hint="default" w:ascii="仿宋_GB2312" w:hAnsi="仿宋_GB2312" w:eastAsia="仿宋_GB2312" w:cs="仿宋_GB2312"/>
                <w:color w:val="000000"/>
                <w:kern w:val="0"/>
                <w:sz w:val="22"/>
                <w:lang w:bidi="ar"/>
              </w:rPr>
            </w:pPr>
            <w:r>
              <w:rPr>
                <w:rFonts w:hint="default" w:ascii="仿宋_GB2312" w:hAnsi="仿宋_GB2312" w:eastAsia="仿宋_GB2312" w:cs="仿宋_GB2312"/>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DAF6">
            <w:pPr>
              <w:jc w:val="right"/>
              <w:rPr>
                <w:rFonts w:hint="eastAsia" w:ascii="仿宋_GB2312" w:hAnsi="仿宋_GB2312" w:eastAsia="仿宋_GB2312" w:cs="仿宋_GB2312"/>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8D47">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ACE96">
            <w:pPr>
              <w:widowControl/>
              <w:jc w:val="center"/>
              <w:textAlignment w:val="center"/>
              <w:rPr>
                <w:rFonts w:hint="default" w:ascii="仿宋_GB2312" w:hAnsi="仿宋_GB2312" w:eastAsia="仿宋_GB2312" w:cs="仿宋_GB2312"/>
                <w:color w:val="000000"/>
                <w:kern w:val="0"/>
                <w:sz w:val="22"/>
                <w:lang w:bidi="ar"/>
              </w:rPr>
            </w:pPr>
            <w:r>
              <w:rPr>
                <w:rFonts w:hint="default" w:ascii="仿宋_GB2312" w:hAnsi="仿宋_GB2312" w:eastAsia="仿宋_GB2312" w:cs="仿宋_GB2312"/>
                <w:color w:val="000000"/>
                <w:kern w:val="0"/>
                <w:sz w:val="22"/>
                <w:lang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9470B">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rPr>
              <w:t>102.12</w:t>
            </w:r>
          </w:p>
        </w:tc>
      </w:tr>
      <w:tr w14:paraId="5C1975B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D6E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E2516">
            <w:pPr>
              <w:widowControl/>
              <w:jc w:val="center"/>
              <w:textAlignment w:val="center"/>
              <w:rPr>
                <w:rFonts w:hint="default" w:ascii="仿宋_GB2312" w:hAnsi="仿宋_GB2312" w:eastAsia="仿宋_GB2312" w:cs="仿宋_GB2312"/>
                <w:color w:val="000000"/>
                <w:kern w:val="0"/>
                <w:sz w:val="22"/>
                <w:lang w:bidi="ar"/>
              </w:rPr>
            </w:pPr>
            <w:r>
              <w:rPr>
                <w:rFonts w:hint="default" w:ascii="仿宋_GB2312" w:hAnsi="仿宋_GB2312" w:eastAsia="仿宋_GB2312" w:cs="仿宋_GB2312"/>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87F0">
            <w:pPr>
              <w:jc w:val="right"/>
              <w:rPr>
                <w:rFonts w:hint="eastAsia" w:ascii="仿宋_GB2312" w:hAnsi="仿宋_GB2312" w:eastAsia="仿宋_GB2312" w:cs="仿宋_GB2312"/>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7A0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88F7D1">
            <w:pPr>
              <w:widowControl/>
              <w:jc w:val="center"/>
              <w:textAlignment w:val="center"/>
              <w:rPr>
                <w:rFonts w:hint="default" w:ascii="仿宋_GB2312" w:hAnsi="仿宋_GB2312" w:eastAsia="仿宋_GB2312" w:cs="仿宋_GB2312"/>
                <w:color w:val="000000"/>
                <w:kern w:val="0"/>
                <w:sz w:val="22"/>
                <w:lang w:bidi="ar"/>
              </w:rPr>
            </w:pPr>
            <w:r>
              <w:rPr>
                <w:rFonts w:hint="default" w:ascii="仿宋_GB2312" w:hAnsi="仿宋_GB2312" w:eastAsia="仿宋_GB2312" w:cs="仿宋_GB2312"/>
                <w:color w:val="000000"/>
                <w:kern w:val="0"/>
                <w:sz w:val="22"/>
                <w:lang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FD54">
            <w:pPr>
              <w:jc w:val="right"/>
              <w:rPr>
                <w:rFonts w:hint="eastAsia" w:ascii="仿宋_GB2312" w:hAnsi="仿宋_GB2312" w:eastAsia="仿宋_GB2312" w:cs="仿宋_GB2312"/>
                <w:color w:val="000000"/>
                <w:sz w:val="22"/>
              </w:rPr>
            </w:pPr>
          </w:p>
        </w:tc>
      </w:tr>
      <w:tr w14:paraId="33AAA4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215E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C2994">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AB12">
            <w:pPr>
              <w:jc w:val="right"/>
              <w:rPr>
                <w:rFonts w:hint="eastAsia"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4102.77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6A4B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1B597">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7AB3">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rPr>
              <w:t>4084.35</w:t>
            </w:r>
          </w:p>
        </w:tc>
      </w:tr>
      <w:tr w14:paraId="7FC5347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B2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12FDB">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C436">
            <w:pPr>
              <w:jc w:val="right"/>
              <w:rPr>
                <w:rFonts w:hint="eastAsia"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87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2F99E">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82462">
            <w:pPr>
              <w:jc w:val="right"/>
              <w:rPr>
                <w:rFonts w:hint="default" w:ascii="仿宋_GB2312" w:hAnsi="仿宋_GB2312" w:eastAsia="仿宋_GB2312" w:cs="仿宋_GB2312"/>
                <w:color w:val="000000"/>
                <w:sz w:val="22"/>
              </w:rPr>
            </w:pPr>
            <w:r>
              <w:rPr>
                <w:rFonts w:hint="default" w:ascii="仿宋_GB2312" w:hAnsi="仿宋_GB2312" w:eastAsia="仿宋_GB2312" w:cs="仿宋_GB2312"/>
                <w:color w:val="000000"/>
                <w:sz w:val="22"/>
              </w:rPr>
              <w:t>0.00</w:t>
            </w:r>
          </w:p>
        </w:tc>
      </w:tr>
      <w:tr w14:paraId="342E048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360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702F6">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15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91CCA">
            <w:pPr>
              <w:jc w:val="right"/>
              <w:rPr>
                <w:rFonts w:hint="eastAsia"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14.25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66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508AA">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CB83B">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rPr>
              <w:t>32.67</w:t>
            </w:r>
          </w:p>
        </w:tc>
      </w:tr>
      <w:tr w14:paraId="148AC6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9CD6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17E33">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88014">
            <w:pPr>
              <w:jc w:val="right"/>
              <w:rPr>
                <w:rFonts w:hint="eastAsia" w:ascii="仿宋_GB2312" w:hAnsi="仿宋_GB2312" w:eastAsia="仿宋_GB2312" w:cs="仿宋_GB2312"/>
                <w:color w:val="000000"/>
                <w:sz w:val="22"/>
                <w:lang w:val="en-US" w:eastAsia="zh-CN"/>
              </w:rPr>
            </w:pPr>
            <w:r>
              <w:rPr>
                <w:rFonts w:hint="eastAsia" w:ascii="仿宋_GB2312" w:hAnsi="仿宋_GB2312" w:eastAsia="仿宋_GB2312" w:cs="仿宋_GB2312"/>
                <w:color w:val="000000"/>
                <w:sz w:val="22"/>
                <w:lang w:val="en-US" w:eastAsia="zh-CN"/>
              </w:rPr>
              <w:t>4117.02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C3C3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F6D7B">
            <w:pPr>
              <w:widowControl/>
              <w:jc w:val="center"/>
              <w:textAlignment w:val="center"/>
              <w:rPr>
                <w:rFonts w:hint="default" w:ascii="仿宋_GB2312" w:hAnsi="仿宋_GB2312" w:eastAsia="仿宋_GB2312" w:cs="仿宋_GB2312"/>
                <w:color w:val="000000"/>
                <w:sz w:val="22"/>
              </w:rPr>
            </w:pPr>
            <w:r>
              <w:rPr>
                <w:rFonts w:hint="default" w:ascii="仿宋_GB2312" w:hAnsi="仿宋_GB2312" w:eastAsia="仿宋_GB2312" w:cs="仿宋_GB2312"/>
                <w:color w:val="000000"/>
                <w:kern w:val="0"/>
                <w:sz w:val="22"/>
                <w:lang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34F1B">
            <w:pPr>
              <w:jc w:val="right"/>
              <w:rPr>
                <w:rFonts w:hint="eastAsia" w:ascii="仿宋_GB2312" w:hAnsi="仿宋_GB2312" w:eastAsia="仿宋_GB2312" w:cs="仿宋_GB2312"/>
                <w:color w:val="000000"/>
                <w:sz w:val="22"/>
              </w:rPr>
            </w:pPr>
            <w:r>
              <w:rPr>
                <w:rFonts w:hint="eastAsia" w:ascii="仿宋_GB2312" w:hAnsi="仿宋_GB2312" w:eastAsia="仿宋_GB2312" w:cs="仿宋_GB2312"/>
                <w:color w:val="000000"/>
                <w:sz w:val="22"/>
              </w:rPr>
              <w:t>4117.02</w:t>
            </w:r>
          </w:p>
        </w:tc>
      </w:tr>
    </w:tbl>
    <w:p w14:paraId="7AFE3F5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0A4096B">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C6502A2">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601DE4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7FB1BA8">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仿宋_GB2312" w:hAnsi="仿宋_GB2312" w:eastAsia="仿宋_GB2312" w:cs="仿宋_GB2312"/>
          <w:color w:val="000000"/>
          <w:sz w:val="20"/>
          <w:szCs w:val="20"/>
        </w:rPr>
        <w:t>公开02表</w:t>
      </w:r>
    </w:p>
    <w:p w14:paraId="2922FC4A">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rPr>
        <w:t>怀化市机关事务管理局</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096"/>
        <w:gridCol w:w="2187"/>
        <w:gridCol w:w="1543"/>
        <w:gridCol w:w="1640"/>
        <w:gridCol w:w="1640"/>
        <w:gridCol w:w="1640"/>
        <w:gridCol w:w="1640"/>
        <w:gridCol w:w="1897"/>
        <w:gridCol w:w="1383"/>
      </w:tblGrid>
      <w:tr w14:paraId="0C7164A3">
        <w:tblPrEx>
          <w:tblCellMar>
            <w:top w:w="0" w:type="dxa"/>
            <w:left w:w="0" w:type="dxa"/>
            <w:bottom w:w="0" w:type="dxa"/>
            <w:right w:w="0" w:type="dxa"/>
          </w:tblCellMar>
        </w:tblPrEx>
        <w:trPr>
          <w:trHeight w:val="450" w:hRule="atLeast"/>
          <w:jc w:val="center"/>
        </w:trPr>
        <w:tc>
          <w:tcPr>
            <w:tcW w:w="328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4FE6E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4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D0276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17D4B0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9CD46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2E275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774E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87F26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0FA2E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B240EE8">
        <w:trPr>
          <w:trHeight w:val="334" w:hRule="exact"/>
          <w:jc w:val="center"/>
        </w:trPr>
        <w:tc>
          <w:tcPr>
            <w:tcW w:w="10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2B9CD7">
            <w:pPr>
              <w:jc w:val="center"/>
              <w:rPr>
                <w:rFonts w:ascii="Times New Roman" w:hAnsi="Times New Roman" w:eastAsia="仿宋_GB2312" w:cs="Times New Roman"/>
                <w:b/>
                <w:bCs/>
              </w:rPr>
            </w:pPr>
            <w:r>
              <w:rPr>
                <w:rFonts w:ascii="Times New Roman" w:hAnsi="Times New Roman" w:eastAsia="仿宋_GB2312" w:cs="Times New Roman"/>
                <w:b/>
                <w:bCs/>
              </w:rPr>
              <w:t>功能分类</w:t>
            </w:r>
          </w:p>
          <w:p w14:paraId="40A9239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科目编码</w:t>
            </w:r>
          </w:p>
        </w:tc>
        <w:tc>
          <w:tcPr>
            <w:tcW w:w="218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E40A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6228EDE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C38BA0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1CFFAE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C3EE24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18762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3508958">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9A904BD">
            <w:pPr>
              <w:rPr>
                <w:rFonts w:ascii="Times New Roman" w:hAnsi="Times New Roman" w:eastAsia="仿宋_GB2312" w:cs="Times New Roman"/>
                <w:sz w:val="24"/>
                <w:szCs w:val="24"/>
              </w:rPr>
            </w:pPr>
          </w:p>
        </w:tc>
      </w:tr>
      <w:tr w14:paraId="7908BF58">
        <w:trPr>
          <w:trHeight w:val="312" w:hRule="atLeast"/>
          <w:jc w:val="center"/>
        </w:trPr>
        <w:tc>
          <w:tcPr>
            <w:tcW w:w="1096" w:type="dxa"/>
            <w:vMerge w:val="continue"/>
            <w:tcBorders>
              <w:top w:val="single" w:color="auto" w:sz="4" w:space="0"/>
              <w:left w:val="single" w:color="auto" w:sz="4" w:space="0"/>
              <w:bottom w:val="single" w:color="auto" w:sz="4" w:space="0"/>
              <w:right w:val="single" w:color="auto" w:sz="4" w:space="0"/>
            </w:tcBorders>
            <w:vAlign w:val="center"/>
          </w:tcPr>
          <w:p w14:paraId="7EDEBC51">
            <w:pPr>
              <w:rPr>
                <w:rFonts w:ascii="Times New Roman" w:hAnsi="Times New Roman" w:eastAsia="仿宋_GB2312" w:cs="Times New Roman"/>
                <w:sz w:val="24"/>
                <w:szCs w:val="24"/>
              </w:rPr>
            </w:pPr>
          </w:p>
        </w:tc>
        <w:tc>
          <w:tcPr>
            <w:tcW w:w="2187" w:type="dxa"/>
            <w:vMerge w:val="continue"/>
            <w:tcBorders>
              <w:top w:val="nil"/>
              <w:left w:val="single" w:color="auto" w:sz="4" w:space="0"/>
              <w:bottom w:val="single" w:color="auto" w:sz="4" w:space="0"/>
              <w:right w:val="single" w:color="auto" w:sz="4" w:space="0"/>
            </w:tcBorders>
            <w:vAlign w:val="center"/>
          </w:tcPr>
          <w:p w14:paraId="2EF4B25D">
            <w:pPr>
              <w:rPr>
                <w:rFonts w:ascii="Times New Roman" w:hAnsi="Times New Roman" w:eastAsia="仿宋_GB2312" w:cs="Times New Roman"/>
                <w:sz w:val="24"/>
                <w:szCs w:val="24"/>
              </w:rPr>
            </w:pPr>
          </w:p>
        </w:tc>
        <w:tc>
          <w:tcPr>
            <w:tcW w:w="1543" w:type="dxa"/>
            <w:vMerge w:val="continue"/>
            <w:tcBorders>
              <w:top w:val="single" w:color="auto" w:sz="4" w:space="0"/>
              <w:left w:val="single" w:color="auto" w:sz="4" w:space="0"/>
              <w:bottom w:val="single" w:color="auto" w:sz="4" w:space="0"/>
              <w:right w:val="single" w:color="auto" w:sz="4" w:space="0"/>
            </w:tcBorders>
            <w:vAlign w:val="center"/>
          </w:tcPr>
          <w:p w14:paraId="1E9FB3B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D912C5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C2A574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92FEFC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1F83F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C767A1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D95E1B3">
            <w:pPr>
              <w:rPr>
                <w:rFonts w:ascii="Times New Roman" w:hAnsi="Times New Roman" w:eastAsia="仿宋_GB2312" w:cs="Times New Roman"/>
                <w:sz w:val="24"/>
                <w:szCs w:val="24"/>
              </w:rPr>
            </w:pPr>
          </w:p>
        </w:tc>
      </w:tr>
      <w:tr w14:paraId="53685973">
        <w:trPr>
          <w:trHeight w:val="450" w:hRule="atLeast"/>
          <w:jc w:val="center"/>
        </w:trPr>
        <w:tc>
          <w:tcPr>
            <w:tcW w:w="328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BA9FA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4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56E84F">
            <w:pPr>
              <w:jc w:val="center"/>
              <w:rPr>
                <w:rFonts w:hint="eastAsia" w:ascii="仿宋_GB2312" w:hAnsi="仿宋_GB2312" w:eastAsia="仿宋_GB2312" w:cs="仿宋_GB2312"/>
                <w:sz w:val="24"/>
                <w:szCs w:val="24"/>
              </w:rPr>
            </w:pPr>
            <w:r>
              <w:rPr>
                <w:rFonts w:hint="eastAsia" w:ascii="仿宋_GB2312" w:hAnsi="仿宋_GB2312" w:eastAsia="仿宋_GB2312" w:cs="仿宋_GB2312"/>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721D59">
            <w:pPr>
              <w:jc w:val="center"/>
              <w:rPr>
                <w:rFonts w:hint="eastAsia" w:ascii="仿宋_GB2312" w:hAnsi="仿宋_GB2312" w:eastAsia="仿宋_GB2312" w:cs="仿宋_GB2312"/>
                <w:sz w:val="24"/>
                <w:szCs w:val="24"/>
              </w:rPr>
            </w:pPr>
            <w:r>
              <w:rPr>
                <w:rFonts w:hint="eastAsia" w:ascii="仿宋_GB2312" w:hAnsi="仿宋_GB2312" w:eastAsia="仿宋_GB2312" w:cs="仿宋_GB2312"/>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D5CC21">
            <w:pPr>
              <w:jc w:val="center"/>
              <w:rPr>
                <w:rFonts w:hint="eastAsia" w:ascii="仿宋_GB2312" w:hAnsi="仿宋_GB2312" w:eastAsia="仿宋_GB2312" w:cs="仿宋_GB2312"/>
                <w:sz w:val="24"/>
                <w:szCs w:val="24"/>
              </w:rPr>
            </w:pPr>
            <w:r>
              <w:rPr>
                <w:rFonts w:hint="eastAsia" w:ascii="仿宋_GB2312" w:hAnsi="仿宋_GB2312" w:eastAsia="仿宋_GB2312" w:cs="仿宋_GB2312"/>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71052C">
            <w:pPr>
              <w:jc w:val="center"/>
              <w:rPr>
                <w:rFonts w:hint="eastAsia" w:ascii="仿宋_GB2312" w:hAnsi="仿宋_GB2312" w:eastAsia="仿宋_GB2312" w:cs="仿宋_GB2312"/>
                <w:sz w:val="24"/>
                <w:szCs w:val="24"/>
              </w:rPr>
            </w:pPr>
            <w:r>
              <w:rPr>
                <w:rFonts w:hint="eastAsia" w:ascii="仿宋_GB2312" w:hAnsi="仿宋_GB2312" w:eastAsia="仿宋_GB2312" w:cs="仿宋_GB2312"/>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4591BA">
            <w:pPr>
              <w:jc w:val="center"/>
              <w:rPr>
                <w:rFonts w:hint="eastAsia" w:ascii="仿宋_GB2312" w:hAnsi="仿宋_GB2312" w:eastAsia="仿宋_GB2312" w:cs="仿宋_GB2312"/>
                <w:sz w:val="24"/>
                <w:szCs w:val="24"/>
              </w:rPr>
            </w:pPr>
            <w:r>
              <w:rPr>
                <w:rFonts w:hint="eastAsia" w:ascii="仿宋_GB2312" w:hAnsi="仿宋_GB2312" w:eastAsia="仿宋_GB2312" w:cs="仿宋_GB2312"/>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69B91D">
            <w:pPr>
              <w:jc w:val="center"/>
              <w:rPr>
                <w:rFonts w:hint="eastAsia" w:ascii="仿宋_GB2312" w:hAnsi="仿宋_GB2312" w:eastAsia="仿宋_GB2312" w:cs="仿宋_GB2312"/>
                <w:sz w:val="24"/>
                <w:szCs w:val="24"/>
              </w:rPr>
            </w:pPr>
            <w:r>
              <w:rPr>
                <w:rFonts w:hint="eastAsia" w:ascii="仿宋_GB2312" w:hAnsi="仿宋_GB2312" w:eastAsia="仿宋_GB2312" w:cs="仿宋_GB2312"/>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46C9D8">
            <w:pPr>
              <w:jc w:val="center"/>
              <w:rPr>
                <w:rFonts w:hint="eastAsia" w:ascii="仿宋_GB2312" w:hAnsi="仿宋_GB2312" w:eastAsia="仿宋_GB2312" w:cs="仿宋_GB2312"/>
                <w:sz w:val="24"/>
                <w:szCs w:val="24"/>
              </w:rPr>
            </w:pPr>
            <w:r>
              <w:rPr>
                <w:rFonts w:hint="eastAsia" w:ascii="仿宋_GB2312" w:hAnsi="仿宋_GB2312" w:eastAsia="仿宋_GB2312" w:cs="仿宋_GB2312"/>
              </w:rPr>
              <w:t>7</w:t>
            </w:r>
          </w:p>
        </w:tc>
      </w:tr>
      <w:tr w14:paraId="331968BA">
        <w:trPr>
          <w:trHeight w:val="450" w:hRule="atLeast"/>
          <w:jc w:val="center"/>
        </w:trPr>
        <w:tc>
          <w:tcPr>
            <w:tcW w:w="328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6B403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F42100">
            <w:pPr>
              <w:keepNext w:val="0"/>
              <w:keepLines w:val="0"/>
              <w:widowControl/>
              <w:suppressLineNumbers w:val="0"/>
              <w:jc w:val="right"/>
              <w:textAlignment w:val="center"/>
              <w:rPr>
                <w:rFonts w:hint="eastAsia" w:ascii="仿宋_GB2312" w:hAnsi="仿宋_GB2312" w:eastAsia="仿宋_GB2312" w:cs="仿宋_GB2312"/>
                <w:b w:val="0"/>
                <w:bCs/>
                <w:i w:val="0"/>
                <w:color w:val="000000"/>
                <w:kern w:val="0"/>
                <w:sz w:val="21"/>
                <w:szCs w:val="21"/>
                <w:u w:val="none"/>
                <w:lang w:val="en-US" w:eastAsia="zh-CN" w:bidi="ar"/>
              </w:rPr>
            </w:pPr>
            <w:r>
              <w:rPr>
                <w:rFonts w:hint="eastAsia" w:ascii="仿宋_GB2312" w:hAnsi="仿宋_GB2312" w:eastAsia="仿宋_GB2312" w:cs="仿宋_GB2312"/>
                <w:b w:val="0"/>
                <w:bCs/>
                <w:i w:val="0"/>
                <w:color w:val="000000"/>
                <w:kern w:val="0"/>
                <w:sz w:val="21"/>
                <w:szCs w:val="21"/>
                <w:u w:val="none"/>
                <w:lang w:val="en-US" w:eastAsia="zh-CN" w:bidi="ar"/>
              </w:rPr>
              <w:t>4102.77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C3C70F">
            <w:pPr>
              <w:keepNext w:val="0"/>
              <w:keepLines w:val="0"/>
              <w:widowControl/>
              <w:suppressLineNumbers w:val="0"/>
              <w:jc w:val="right"/>
              <w:textAlignment w:val="center"/>
              <w:rPr>
                <w:rFonts w:hint="eastAsia" w:ascii="仿宋_GB2312" w:hAnsi="仿宋_GB2312" w:eastAsia="仿宋_GB2312" w:cs="仿宋_GB2312"/>
                <w:b w:val="0"/>
                <w:bCs/>
                <w:i w:val="0"/>
                <w:color w:val="000000"/>
                <w:kern w:val="0"/>
                <w:sz w:val="21"/>
                <w:szCs w:val="21"/>
                <w:u w:val="none"/>
                <w:lang w:val="en-US" w:eastAsia="zh-CN" w:bidi="ar"/>
              </w:rPr>
            </w:pPr>
            <w:r>
              <w:rPr>
                <w:rFonts w:hint="eastAsia" w:ascii="仿宋_GB2312" w:hAnsi="仿宋_GB2312" w:eastAsia="仿宋_GB2312" w:cs="仿宋_GB2312"/>
                <w:b w:val="0"/>
                <w:bCs/>
                <w:i w:val="0"/>
                <w:color w:val="000000"/>
                <w:kern w:val="0"/>
                <w:sz w:val="21"/>
                <w:szCs w:val="21"/>
                <w:u w:val="none"/>
                <w:lang w:val="en-US" w:eastAsia="zh-CN" w:bidi="ar"/>
              </w:rPr>
              <w:t>3916.33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4F75B2">
            <w:pPr>
              <w:keepNext w:val="0"/>
              <w:keepLines w:val="0"/>
              <w:widowControl/>
              <w:suppressLineNumbers w:val="0"/>
              <w:jc w:val="right"/>
              <w:textAlignment w:val="center"/>
              <w:rPr>
                <w:rFonts w:hint="eastAsia" w:ascii="仿宋_GB2312" w:hAnsi="仿宋_GB2312" w:eastAsia="仿宋_GB2312" w:cs="仿宋_GB2312"/>
                <w:b w:val="0"/>
                <w:bCs/>
                <w:i w:val="0"/>
                <w:color w:val="000000"/>
                <w:kern w:val="0"/>
                <w:sz w:val="21"/>
                <w:szCs w:val="21"/>
                <w:u w:val="none"/>
                <w:lang w:val="en-US" w:eastAsia="zh-CN" w:bidi="ar"/>
              </w:rPr>
            </w:pPr>
            <w:r>
              <w:rPr>
                <w:rFonts w:hint="eastAsia" w:ascii="仿宋_GB2312" w:hAnsi="仿宋_GB2312" w:eastAsia="仿宋_GB2312" w:cs="仿宋_GB2312"/>
                <w:b w:val="0"/>
                <w:bCs/>
                <w:i w:val="0"/>
                <w:color w:val="000000"/>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C83E66">
            <w:pPr>
              <w:keepNext w:val="0"/>
              <w:keepLines w:val="0"/>
              <w:widowControl/>
              <w:suppressLineNumbers w:val="0"/>
              <w:jc w:val="right"/>
              <w:textAlignment w:val="center"/>
              <w:rPr>
                <w:rFonts w:hint="eastAsia" w:ascii="仿宋_GB2312" w:hAnsi="仿宋_GB2312" w:eastAsia="仿宋_GB2312" w:cs="仿宋_GB2312"/>
                <w:b w:val="0"/>
                <w:bCs/>
                <w:i w:val="0"/>
                <w:color w:val="000000"/>
                <w:kern w:val="0"/>
                <w:sz w:val="21"/>
                <w:szCs w:val="21"/>
                <w:u w:val="none"/>
                <w:lang w:val="en-US" w:eastAsia="zh-CN" w:bidi="ar"/>
              </w:rPr>
            </w:pPr>
            <w:r>
              <w:rPr>
                <w:rFonts w:hint="eastAsia" w:ascii="仿宋_GB2312" w:hAnsi="仿宋_GB2312" w:eastAsia="仿宋_GB2312" w:cs="仿宋_GB2312"/>
                <w:b w:val="0"/>
                <w:bCs/>
                <w:i w:val="0"/>
                <w:color w:val="000000"/>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0D2C0">
            <w:pPr>
              <w:keepNext w:val="0"/>
              <w:keepLines w:val="0"/>
              <w:widowControl/>
              <w:suppressLineNumbers w:val="0"/>
              <w:jc w:val="right"/>
              <w:textAlignment w:val="center"/>
              <w:rPr>
                <w:rFonts w:hint="eastAsia" w:ascii="仿宋_GB2312" w:hAnsi="仿宋_GB2312" w:eastAsia="仿宋_GB2312" w:cs="仿宋_GB2312"/>
                <w:b w:val="0"/>
                <w:bCs/>
                <w:i w:val="0"/>
                <w:color w:val="000000"/>
                <w:kern w:val="0"/>
                <w:sz w:val="21"/>
                <w:szCs w:val="21"/>
                <w:u w:val="none"/>
                <w:lang w:val="en-US" w:eastAsia="zh-CN" w:bidi="ar"/>
              </w:rPr>
            </w:pPr>
            <w:r>
              <w:rPr>
                <w:rFonts w:hint="eastAsia" w:ascii="仿宋_GB2312" w:hAnsi="仿宋_GB2312" w:eastAsia="仿宋_GB2312" w:cs="仿宋_GB2312"/>
                <w:b w:val="0"/>
                <w:bCs/>
                <w:i w:val="0"/>
                <w:color w:val="000000"/>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EB2C63">
            <w:pPr>
              <w:keepNext w:val="0"/>
              <w:keepLines w:val="0"/>
              <w:widowControl/>
              <w:suppressLineNumbers w:val="0"/>
              <w:jc w:val="right"/>
              <w:textAlignment w:val="center"/>
              <w:rPr>
                <w:rFonts w:hint="eastAsia" w:ascii="仿宋_GB2312" w:hAnsi="仿宋_GB2312" w:eastAsia="仿宋_GB2312" w:cs="仿宋_GB2312"/>
                <w:b w:val="0"/>
                <w:bCs/>
                <w:i w:val="0"/>
                <w:color w:val="000000"/>
                <w:kern w:val="0"/>
                <w:sz w:val="21"/>
                <w:szCs w:val="21"/>
                <w:u w:val="none"/>
                <w:lang w:val="en-US" w:eastAsia="zh-CN" w:bidi="ar"/>
              </w:rPr>
            </w:pPr>
            <w:r>
              <w:rPr>
                <w:rFonts w:hint="eastAsia" w:ascii="仿宋_GB2312" w:hAnsi="仿宋_GB2312" w:eastAsia="仿宋_GB2312" w:cs="仿宋_GB2312"/>
                <w:b w:val="0"/>
                <w:bCs/>
                <w:i w:val="0"/>
                <w:color w:val="000000"/>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9A7C13">
            <w:pPr>
              <w:keepNext w:val="0"/>
              <w:keepLines w:val="0"/>
              <w:widowControl/>
              <w:suppressLineNumbers w:val="0"/>
              <w:jc w:val="right"/>
              <w:textAlignment w:val="center"/>
              <w:rPr>
                <w:rFonts w:hint="eastAsia" w:ascii="仿宋_GB2312" w:hAnsi="仿宋_GB2312" w:eastAsia="仿宋_GB2312" w:cs="仿宋_GB2312"/>
                <w:b w:val="0"/>
                <w:bCs/>
                <w:i w:val="0"/>
                <w:color w:val="000000"/>
                <w:kern w:val="0"/>
                <w:sz w:val="21"/>
                <w:szCs w:val="21"/>
                <w:u w:val="none"/>
                <w:lang w:val="en-US" w:eastAsia="zh-CN" w:bidi="ar"/>
              </w:rPr>
            </w:pPr>
            <w:r>
              <w:rPr>
                <w:rFonts w:hint="eastAsia" w:ascii="仿宋_GB2312" w:hAnsi="仿宋_GB2312" w:eastAsia="仿宋_GB2312" w:cs="仿宋_GB2312"/>
                <w:b w:val="0"/>
                <w:bCs/>
                <w:i w:val="0"/>
                <w:color w:val="000000"/>
                <w:kern w:val="0"/>
                <w:sz w:val="21"/>
                <w:szCs w:val="21"/>
                <w:u w:val="none"/>
                <w:lang w:val="en-US" w:eastAsia="zh-CN" w:bidi="ar"/>
              </w:rPr>
              <w:t>186.44</w:t>
            </w:r>
          </w:p>
        </w:tc>
      </w:tr>
      <w:tr w14:paraId="11959E3B">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744B5D">
            <w:pPr>
              <w:keepNext w:val="0"/>
              <w:keepLines w:val="0"/>
              <w:widowControl/>
              <w:suppressLineNumbers w:val="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201</w:t>
            </w:r>
          </w:p>
        </w:tc>
        <w:tc>
          <w:tcPr>
            <w:tcW w:w="2187"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787BFD">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一般公共服务支出</w:t>
            </w:r>
          </w:p>
        </w:tc>
        <w:tc>
          <w:tcPr>
            <w:tcW w:w="154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8CB460">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3637.24</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4B219E">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3571.34</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44DAF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865E2">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DC8E9">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3AFE54">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0B852A">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65.90</w:t>
            </w:r>
          </w:p>
        </w:tc>
      </w:tr>
      <w:tr w14:paraId="0ECA5088">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B9EF99">
            <w:pPr>
              <w:keepNext w:val="0"/>
              <w:keepLines w:val="0"/>
              <w:widowControl/>
              <w:suppressLineNumbers w:val="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20103</w:t>
            </w:r>
          </w:p>
        </w:tc>
        <w:tc>
          <w:tcPr>
            <w:tcW w:w="218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9A851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政府办公厅（室）及相关机构事务</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E38A24">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3041.69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56352">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3017.94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9C52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481A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2A911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C9989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66A0E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23.75</w:t>
            </w:r>
          </w:p>
        </w:tc>
      </w:tr>
      <w:tr w14:paraId="07C82348">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94D2CB">
            <w:pPr>
              <w:keepNext w:val="0"/>
              <w:keepLines w:val="0"/>
              <w:widowControl/>
              <w:suppressLineNumbers w:val="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2010301</w:t>
            </w:r>
          </w:p>
        </w:tc>
        <w:tc>
          <w:tcPr>
            <w:tcW w:w="218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36D51E">
            <w:pPr>
              <w:keepNext w:val="0"/>
              <w:keepLines w:val="0"/>
              <w:widowControl/>
              <w:suppressLineNumbers w:val="0"/>
              <w:ind w:firstLine="315" w:firstLineChars="15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行政运行</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660D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913.48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C049A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913.48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675BAB">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C063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38F126">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31B8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B22BB">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06731CA6">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A243F4">
            <w:pPr>
              <w:keepNext w:val="0"/>
              <w:keepLines w:val="0"/>
              <w:widowControl/>
              <w:suppressLineNumbers w:val="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2010303</w:t>
            </w:r>
          </w:p>
        </w:tc>
        <w:tc>
          <w:tcPr>
            <w:tcW w:w="218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2930BC">
            <w:pPr>
              <w:keepNext w:val="0"/>
              <w:keepLines w:val="0"/>
              <w:widowControl/>
              <w:suppressLineNumbers w:val="0"/>
              <w:ind w:firstLine="315" w:firstLineChars="15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机关服务</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C106C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2128.21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082F4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2104.46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3024D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0DCD80">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989C1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AD0A6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F1561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23.75</w:t>
            </w:r>
          </w:p>
        </w:tc>
      </w:tr>
      <w:tr w14:paraId="555B217B">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B7BDBF">
            <w:pPr>
              <w:keepNext w:val="0"/>
              <w:keepLines w:val="0"/>
              <w:widowControl/>
              <w:suppressLineNumbers w:val="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20136</w:t>
            </w:r>
          </w:p>
        </w:tc>
        <w:tc>
          <w:tcPr>
            <w:tcW w:w="218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7CEB62">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其他共产党事务支出</w:t>
            </w:r>
          </w:p>
        </w:tc>
        <w:tc>
          <w:tcPr>
            <w:tcW w:w="154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276CF3">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30.86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0A1D7B">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30.86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7033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E88093">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02021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F015C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B788C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19C8E31D">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91FB00">
            <w:pPr>
              <w:keepNext w:val="0"/>
              <w:keepLines w:val="0"/>
              <w:widowControl/>
              <w:suppressLineNumbers w:val="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2013602</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D5E2B2">
            <w:pPr>
              <w:keepNext w:val="0"/>
              <w:keepLines w:val="0"/>
              <w:widowControl/>
              <w:suppressLineNumbers w:val="0"/>
              <w:ind w:firstLine="315" w:firstLineChars="15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一般行政管理事务</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5DFE4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30.86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F885A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30.86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B881FA">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A2FF6E">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97313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97E3A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E36BF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1574753D">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525A72">
            <w:pPr>
              <w:keepNext w:val="0"/>
              <w:keepLines w:val="0"/>
              <w:widowControl/>
              <w:suppressLineNumbers w:val="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20199</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AFC283">
            <w:pPr>
              <w:keepNext w:val="0"/>
              <w:keepLines w:val="0"/>
              <w:widowControl/>
              <w:suppressLineNumbers w:val="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其他一般公共服务支出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B4AE6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564.69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6D8983">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522.54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77CD7B">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FF51C6">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D6911E">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EE3B34">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6E3480">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42.15</w:t>
            </w:r>
          </w:p>
        </w:tc>
      </w:tr>
      <w:tr w14:paraId="7EB12EAE">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B6AEF9">
            <w:pPr>
              <w:keepNext w:val="0"/>
              <w:keepLines w:val="0"/>
              <w:widowControl/>
              <w:suppressLineNumbers w:val="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2019999</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21EF7D">
            <w:pPr>
              <w:keepNext w:val="0"/>
              <w:keepLines w:val="0"/>
              <w:widowControl/>
              <w:suppressLineNumbers w:val="0"/>
              <w:ind w:firstLine="315" w:firstLineChars="15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其他一般公共服务支出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7D11A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564.69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36D88E">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522.54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4B8FF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26057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5D0EB9">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5B6DC9">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7EFA7A">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42.15</w:t>
            </w:r>
          </w:p>
        </w:tc>
      </w:tr>
      <w:tr w14:paraId="39A70477">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F4CAFE">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207</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50F480">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文化旅游体育与传媒支出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C4FF04">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FC5289">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91586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48ABCA">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401CE3">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D2F97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4E299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00FD21B0">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8F006C">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20799</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DF151E">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其他文化旅游体育与传媒支出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5F1BBB">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858E8A">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DB218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10DB6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3408B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4B5292">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0815A2">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5C9BACF3">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D2CB2C">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2079999</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A12CE6">
            <w:pPr>
              <w:keepNext w:val="0"/>
              <w:keepLines w:val="0"/>
              <w:widowControl/>
              <w:suppressLineNumbers w:val="0"/>
              <w:ind w:firstLine="315" w:firstLineChars="15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其他文化旅游体育与传媒支出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DD0C80">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B042C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24B68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A4E310">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8BAD0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DB4109">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2AE040">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17EA9051">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835E42">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208</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BA89A5">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社会保障和就业支出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92D5B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235.51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6F63D2">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235.51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56C2C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36ACAE">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512F2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05FF54">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E851D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015CAAA7">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9DF114">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20805</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85F5C6">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行政事业单位养老支出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632AC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235.51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52E52B">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235.51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83143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F54BF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EF69E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27EC4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C10400">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71E6715E">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F5A9C0">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2080501</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6D8A85">
            <w:pPr>
              <w:keepNext w:val="0"/>
              <w:keepLines w:val="0"/>
              <w:widowControl/>
              <w:suppressLineNumbers w:val="0"/>
              <w:ind w:firstLine="315" w:firstLineChars="15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行政单位离退休</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1A5BF2">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131.08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B2A2E9">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131.08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87CFC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10765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AB24D4">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9AF77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20BB0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188CBF59">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06AAC4">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2080505</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1B252A">
            <w:pPr>
              <w:keepNext w:val="0"/>
              <w:keepLines w:val="0"/>
              <w:widowControl/>
              <w:suppressLineNumbers w:val="0"/>
              <w:ind w:firstLine="315" w:firstLineChars="15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机关事业单位基本养老保险缴费支出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9079BE">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104.43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55C90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104.43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B9956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AFAEC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391D4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8839A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5CB86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6CBD2ED2">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E057C9">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210</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A9B2CA">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卫生健康支出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81547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DCFBD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CBA76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ABA9B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0462A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ACBDA4">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36B1FA">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6603D8C8">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A395AC">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21011</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878599">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行政事业单位医疗</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5C0466">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5B82B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DCBC40">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34EEC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CC338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733A3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1ED076">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3ADEF28D">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743102">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2101101</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992571">
            <w:pPr>
              <w:keepNext w:val="0"/>
              <w:keepLines w:val="0"/>
              <w:widowControl/>
              <w:suppressLineNumbers w:val="0"/>
              <w:ind w:firstLine="315" w:firstLineChars="15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行政单位医疗</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36B8D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3FC18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884B02">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08344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650F3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CB6AC3">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28D4F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59EA7E19">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B87916">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221</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78D127">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住房保障支出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BA4EC6">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4A814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54438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94098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116323">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D404FD">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428CB2">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423F8EBA">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987193">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22102</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DE78A">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住房改革支出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AF378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67E593">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F2F53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F008DE">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B5C13E">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18D31A">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FFD29B">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3CC962C4">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82E000">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2210201</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2076AC">
            <w:pPr>
              <w:keepNext w:val="0"/>
              <w:keepLines w:val="0"/>
              <w:widowControl/>
              <w:suppressLineNumbers w:val="0"/>
              <w:ind w:firstLine="315" w:firstLineChars="15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住房公积金</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A74F4F">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DC737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6F374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1353A3">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B9BD6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A819BB">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F2AC8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6E1DAC88">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50A608">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229</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674D26">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其他支出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E6987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120.54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2FF6FB">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90B6E9">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746020">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B32F0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CC3FE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B26FBC">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120.54</w:t>
            </w:r>
          </w:p>
        </w:tc>
      </w:tr>
      <w:tr w14:paraId="4A79C799">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BC698E">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22999</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B53E74">
            <w:pPr>
              <w:keepNext w:val="0"/>
              <w:keepLines w:val="0"/>
              <w:widowControl/>
              <w:suppressLineNumbers w:val="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其他支出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AC2471">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120.54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7847C2">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54EAF0">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9DD7A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75FDBA">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49D289">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33062E">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120.54</w:t>
            </w:r>
          </w:p>
        </w:tc>
      </w:tr>
      <w:tr w14:paraId="46AA9215">
        <w:trPr>
          <w:trHeight w:val="450" w:hRule="atLeast"/>
          <w:jc w:val="center"/>
        </w:trPr>
        <w:tc>
          <w:tcPr>
            <w:tcW w:w="109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6086FF">
            <w:pPr>
              <w:keepNext w:val="0"/>
              <w:keepLines w:val="0"/>
              <w:widowControl/>
              <w:suppressLineNumbers w:val="0"/>
              <w:jc w:val="left"/>
              <w:textAlignment w:val="center"/>
              <w:rPr>
                <w:rFonts w:hint="eastAsia" w:ascii="仿宋_GB2312" w:hAnsi="仿宋_GB2312" w:eastAsia="仿宋_GB2312" w:cs="仿宋_GB2312"/>
              </w:rPr>
            </w:pPr>
            <w:r>
              <w:rPr>
                <w:rFonts w:hint="eastAsia" w:ascii="仿宋_GB2312" w:hAnsi="仿宋_GB2312" w:eastAsia="仿宋_GB2312" w:cs="仿宋_GB2312"/>
                <w:i w:val="0"/>
                <w:color w:val="000000"/>
                <w:kern w:val="0"/>
                <w:sz w:val="22"/>
                <w:szCs w:val="22"/>
                <w:u w:val="none"/>
                <w:lang w:val="en-US" w:eastAsia="zh-CN" w:bidi="ar"/>
              </w:rPr>
              <w:t>2299999</w:t>
            </w:r>
          </w:p>
        </w:tc>
        <w:tc>
          <w:tcPr>
            <w:tcW w:w="21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A349F2">
            <w:pPr>
              <w:keepNext w:val="0"/>
              <w:keepLines w:val="0"/>
              <w:widowControl/>
              <w:suppressLineNumbers w:val="0"/>
              <w:ind w:firstLine="315" w:firstLineChars="150"/>
              <w:jc w:val="lef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其他支出</w:t>
            </w:r>
          </w:p>
        </w:tc>
        <w:tc>
          <w:tcPr>
            <w:tcW w:w="154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FD199B">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120.54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A537CE">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E5817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A075A5">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AEC8D9">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C38BE7">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A583A8">
            <w:pPr>
              <w:keepNext w:val="0"/>
              <w:keepLines w:val="0"/>
              <w:widowControl/>
              <w:suppressLineNumbers w:val="0"/>
              <w:jc w:val="right"/>
              <w:textAlignment w:val="center"/>
              <w:rPr>
                <w:rFonts w:hint="eastAsia" w:ascii="仿宋_GB2312" w:hAnsi="仿宋_GB2312" w:eastAsia="仿宋_GB2312" w:cs="仿宋_GB2312"/>
                <w:sz w:val="21"/>
                <w:szCs w:val="21"/>
              </w:rPr>
            </w:pPr>
            <w:r>
              <w:rPr>
                <w:rFonts w:hint="eastAsia" w:ascii="仿宋_GB2312" w:hAnsi="仿宋_GB2312" w:eastAsia="仿宋_GB2312" w:cs="仿宋_GB2312"/>
                <w:i w:val="0"/>
                <w:color w:val="000000"/>
                <w:kern w:val="0"/>
                <w:sz w:val="21"/>
                <w:szCs w:val="21"/>
                <w:u w:val="none"/>
                <w:lang w:val="en-US" w:eastAsia="zh-CN" w:bidi="ar"/>
              </w:rPr>
              <w:t>120.54</w:t>
            </w:r>
          </w:p>
        </w:tc>
      </w:tr>
    </w:tbl>
    <w:p w14:paraId="2CC91424">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970539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B2EBF8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Times New Roman" w:hAnsi="Times New Roman" w:eastAsia="黑体" w:cs="Times New Roman"/>
          <w:color w:val="000000"/>
          <w:kern w:val="0"/>
          <w:sz w:val="32"/>
          <w:szCs w:val="32"/>
          <w:lang w:bidi="ar"/>
        </w:rPr>
      </w:pPr>
    </w:p>
    <w:p w14:paraId="51629B9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619395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仿宋_GB2312" w:hAnsi="仿宋_GB2312" w:eastAsia="仿宋_GB2312" w:cs="仿宋_GB2312"/>
          <w:color w:val="000000"/>
          <w:kern w:val="0"/>
          <w:sz w:val="20"/>
          <w:szCs w:val="20"/>
        </w:rPr>
        <w:t>公开03表</w:t>
      </w:r>
    </w:p>
    <w:p w14:paraId="3F2D249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仿宋_GB2312" w:hAnsi="仿宋_GB2312" w:eastAsia="仿宋_GB2312" w:cs="仿宋_GB2312"/>
          <w:color w:val="000000"/>
          <w:kern w:val="0"/>
          <w:sz w:val="20"/>
          <w:szCs w:val="20"/>
          <w:lang w:eastAsia="zh-CN"/>
        </w:rPr>
        <w:t>怀化市机关事务管理局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444"/>
        <w:gridCol w:w="2325"/>
        <w:gridCol w:w="1867"/>
        <w:gridCol w:w="1334"/>
        <w:gridCol w:w="1436"/>
        <w:gridCol w:w="1775"/>
        <w:gridCol w:w="1334"/>
        <w:gridCol w:w="2696"/>
      </w:tblGrid>
      <w:tr w14:paraId="5AE55753">
        <w:trPr>
          <w:trHeight w:val="595" w:hRule="atLeast"/>
          <w:jc w:val="center"/>
        </w:trPr>
        <w:tc>
          <w:tcPr>
            <w:tcW w:w="1326"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D56F7B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42733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8E5C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0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41C31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2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A79A6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2858B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09D4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49AF957">
        <w:trPr>
          <w:trHeight w:val="312" w:hRule="exact"/>
          <w:jc w:val="center"/>
        </w:trPr>
        <w:tc>
          <w:tcPr>
            <w:tcW w:w="50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73781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w:t>
            </w:r>
          </w:p>
          <w:p w14:paraId="5A7235F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科目编码</w:t>
            </w:r>
          </w:p>
        </w:tc>
        <w:tc>
          <w:tcPr>
            <w:tcW w:w="818" w:type="pct"/>
            <w:vMerge w:val="restart"/>
            <w:tcBorders>
              <w:top w:val="nil"/>
              <w:left w:val="single" w:color="auto" w:sz="4" w:space="0"/>
              <w:bottom w:val="single" w:color="auto" w:sz="4" w:space="0"/>
              <w:right w:val="single" w:color="auto" w:sz="4" w:space="0"/>
            </w:tcBorders>
            <w:shd w:val="clear" w:color="000000" w:fill="FFFFFF"/>
            <w:vAlign w:val="center"/>
          </w:tcPr>
          <w:p w14:paraId="35E9A84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56" w:type="pct"/>
            <w:vMerge w:val="continue"/>
            <w:tcBorders>
              <w:top w:val="single" w:color="auto" w:sz="4" w:space="0"/>
              <w:left w:val="single" w:color="auto" w:sz="4" w:space="0"/>
              <w:bottom w:val="single" w:color="auto" w:sz="4" w:space="0"/>
              <w:right w:val="single" w:color="auto" w:sz="4" w:space="0"/>
            </w:tcBorders>
            <w:vAlign w:val="center"/>
          </w:tcPr>
          <w:p w14:paraId="372992B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DCA7EF5">
            <w:pPr>
              <w:widowControl/>
              <w:jc w:val="left"/>
              <w:rPr>
                <w:rFonts w:ascii="Times New Roman" w:hAnsi="Times New Roman" w:eastAsia="仿宋_GB2312" w:cs="Times New Roman"/>
                <w:b/>
                <w:bCs/>
                <w:kern w:val="0"/>
                <w:sz w:val="24"/>
                <w:szCs w:val="24"/>
              </w:rPr>
            </w:pPr>
          </w:p>
        </w:tc>
        <w:tc>
          <w:tcPr>
            <w:tcW w:w="505" w:type="pct"/>
            <w:vMerge w:val="continue"/>
            <w:tcBorders>
              <w:top w:val="single" w:color="auto" w:sz="4" w:space="0"/>
              <w:left w:val="single" w:color="auto" w:sz="4" w:space="0"/>
              <w:bottom w:val="single" w:color="auto" w:sz="4" w:space="0"/>
              <w:right w:val="single" w:color="auto" w:sz="4" w:space="0"/>
            </w:tcBorders>
            <w:vAlign w:val="center"/>
          </w:tcPr>
          <w:p w14:paraId="2A4B8A09">
            <w:pPr>
              <w:widowControl/>
              <w:jc w:val="left"/>
              <w:rPr>
                <w:rFonts w:ascii="Times New Roman" w:hAnsi="Times New Roman" w:eastAsia="仿宋_GB2312" w:cs="Times New Roman"/>
                <w:b/>
                <w:bCs/>
                <w:kern w:val="0"/>
                <w:sz w:val="24"/>
                <w:szCs w:val="24"/>
              </w:rPr>
            </w:pPr>
          </w:p>
        </w:tc>
        <w:tc>
          <w:tcPr>
            <w:tcW w:w="624" w:type="pct"/>
            <w:vMerge w:val="continue"/>
            <w:tcBorders>
              <w:top w:val="single" w:color="auto" w:sz="4" w:space="0"/>
              <w:left w:val="single" w:color="auto" w:sz="4" w:space="0"/>
              <w:bottom w:val="single" w:color="auto" w:sz="4" w:space="0"/>
              <w:right w:val="single" w:color="auto" w:sz="4" w:space="0"/>
            </w:tcBorders>
            <w:vAlign w:val="center"/>
          </w:tcPr>
          <w:p w14:paraId="7665342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9FD6090">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72DE604">
            <w:pPr>
              <w:widowControl/>
              <w:jc w:val="left"/>
              <w:rPr>
                <w:rFonts w:ascii="Times New Roman" w:hAnsi="Times New Roman" w:eastAsia="仿宋_GB2312" w:cs="Times New Roman"/>
                <w:b/>
                <w:bCs/>
                <w:kern w:val="0"/>
                <w:sz w:val="24"/>
                <w:szCs w:val="24"/>
              </w:rPr>
            </w:pPr>
          </w:p>
        </w:tc>
      </w:tr>
      <w:tr w14:paraId="21BDA320">
        <w:trPr>
          <w:trHeight w:val="595" w:hRule="atLeast"/>
          <w:jc w:val="center"/>
        </w:trPr>
        <w:tc>
          <w:tcPr>
            <w:tcW w:w="508" w:type="pct"/>
            <w:vMerge w:val="continue"/>
            <w:tcBorders>
              <w:top w:val="single" w:color="auto" w:sz="4" w:space="0"/>
              <w:left w:val="single" w:color="auto" w:sz="4" w:space="0"/>
              <w:bottom w:val="single" w:color="auto" w:sz="4" w:space="0"/>
              <w:right w:val="single" w:color="auto" w:sz="4" w:space="0"/>
            </w:tcBorders>
            <w:vAlign w:val="center"/>
          </w:tcPr>
          <w:p w14:paraId="2D3D41D7">
            <w:pPr>
              <w:widowControl/>
              <w:jc w:val="left"/>
              <w:rPr>
                <w:rFonts w:ascii="Times New Roman" w:hAnsi="Times New Roman" w:eastAsia="仿宋_GB2312" w:cs="Times New Roman"/>
                <w:kern w:val="0"/>
                <w:sz w:val="24"/>
                <w:szCs w:val="24"/>
              </w:rPr>
            </w:pPr>
          </w:p>
        </w:tc>
        <w:tc>
          <w:tcPr>
            <w:tcW w:w="818" w:type="pct"/>
            <w:vMerge w:val="continue"/>
            <w:tcBorders>
              <w:top w:val="nil"/>
              <w:left w:val="single" w:color="auto" w:sz="4" w:space="0"/>
              <w:bottom w:val="single" w:color="auto" w:sz="4" w:space="0"/>
              <w:right w:val="single" w:color="auto" w:sz="4" w:space="0"/>
            </w:tcBorders>
            <w:vAlign w:val="center"/>
          </w:tcPr>
          <w:p w14:paraId="15727E50">
            <w:pPr>
              <w:widowControl/>
              <w:jc w:val="left"/>
              <w:rPr>
                <w:rFonts w:ascii="Times New Roman" w:hAnsi="Times New Roman" w:eastAsia="仿宋_GB2312" w:cs="Times New Roman"/>
                <w:kern w:val="0"/>
                <w:sz w:val="24"/>
                <w:szCs w:val="24"/>
              </w:rPr>
            </w:pPr>
          </w:p>
        </w:tc>
        <w:tc>
          <w:tcPr>
            <w:tcW w:w="656" w:type="pct"/>
            <w:vMerge w:val="continue"/>
            <w:tcBorders>
              <w:top w:val="single" w:color="auto" w:sz="4" w:space="0"/>
              <w:left w:val="single" w:color="auto" w:sz="4" w:space="0"/>
              <w:bottom w:val="single" w:color="auto" w:sz="4" w:space="0"/>
              <w:right w:val="single" w:color="auto" w:sz="4" w:space="0"/>
            </w:tcBorders>
            <w:vAlign w:val="center"/>
          </w:tcPr>
          <w:p w14:paraId="4C23127D">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8843259">
            <w:pPr>
              <w:widowControl/>
              <w:jc w:val="left"/>
              <w:rPr>
                <w:rFonts w:ascii="Times New Roman" w:hAnsi="Times New Roman" w:eastAsia="仿宋_GB2312" w:cs="Times New Roman"/>
                <w:kern w:val="0"/>
                <w:sz w:val="24"/>
                <w:szCs w:val="24"/>
              </w:rPr>
            </w:pPr>
          </w:p>
        </w:tc>
        <w:tc>
          <w:tcPr>
            <w:tcW w:w="505" w:type="pct"/>
            <w:vMerge w:val="continue"/>
            <w:tcBorders>
              <w:top w:val="single" w:color="auto" w:sz="4" w:space="0"/>
              <w:left w:val="single" w:color="auto" w:sz="4" w:space="0"/>
              <w:bottom w:val="single" w:color="auto" w:sz="4" w:space="0"/>
              <w:right w:val="single" w:color="auto" w:sz="4" w:space="0"/>
            </w:tcBorders>
            <w:vAlign w:val="center"/>
          </w:tcPr>
          <w:p w14:paraId="2381637F">
            <w:pPr>
              <w:widowControl/>
              <w:jc w:val="left"/>
              <w:rPr>
                <w:rFonts w:ascii="Times New Roman" w:hAnsi="Times New Roman" w:eastAsia="仿宋_GB2312" w:cs="Times New Roman"/>
                <w:kern w:val="0"/>
                <w:sz w:val="24"/>
                <w:szCs w:val="24"/>
              </w:rPr>
            </w:pPr>
          </w:p>
        </w:tc>
        <w:tc>
          <w:tcPr>
            <w:tcW w:w="624" w:type="pct"/>
            <w:vMerge w:val="continue"/>
            <w:tcBorders>
              <w:top w:val="single" w:color="auto" w:sz="4" w:space="0"/>
              <w:left w:val="single" w:color="auto" w:sz="4" w:space="0"/>
              <w:bottom w:val="single" w:color="auto" w:sz="4" w:space="0"/>
              <w:right w:val="single" w:color="auto" w:sz="4" w:space="0"/>
            </w:tcBorders>
            <w:vAlign w:val="center"/>
          </w:tcPr>
          <w:p w14:paraId="221E04DB">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6BC369D">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1EFB61E">
            <w:pPr>
              <w:widowControl/>
              <w:jc w:val="left"/>
              <w:rPr>
                <w:rFonts w:ascii="Times New Roman" w:hAnsi="Times New Roman" w:eastAsia="仿宋_GB2312" w:cs="Times New Roman"/>
                <w:kern w:val="0"/>
                <w:sz w:val="24"/>
                <w:szCs w:val="24"/>
              </w:rPr>
            </w:pPr>
          </w:p>
        </w:tc>
      </w:tr>
      <w:tr w14:paraId="171BE2FD">
        <w:trPr>
          <w:trHeight w:val="595" w:hRule="atLeast"/>
          <w:jc w:val="center"/>
        </w:trPr>
        <w:tc>
          <w:tcPr>
            <w:tcW w:w="132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3EE8C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56" w:type="pct"/>
            <w:tcBorders>
              <w:top w:val="nil"/>
              <w:left w:val="nil"/>
              <w:bottom w:val="single" w:color="auto" w:sz="4" w:space="0"/>
              <w:right w:val="single" w:color="auto" w:sz="4" w:space="0"/>
            </w:tcBorders>
            <w:shd w:val="clear" w:color="000000" w:fill="FFFFFF"/>
            <w:noWrap/>
            <w:vAlign w:val="center"/>
          </w:tcPr>
          <w:p w14:paraId="215A6625">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08F481AE">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505" w:type="pct"/>
            <w:tcBorders>
              <w:top w:val="nil"/>
              <w:left w:val="nil"/>
              <w:bottom w:val="single" w:color="auto" w:sz="4" w:space="0"/>
              <w:right w:val="single" w:color="auto" w:sz="4" w:space="0"/>
            </w:tcBorders>
            <w:shd w:val="clear" w:color="000000" w:fill="FFFFFF"/>
            <w:noWrap/>
            <w:vAlign w:val="center"/>
          </w:tcPr>
          <w:p w14:paraId="6AF2A552">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624" w:type="pct"/>
            <w:tcBorders>
              <w:top w:val="nil"/>
              <w:left w:val="nil"/>
              <w:bottom w:val="single" w:color="auto" w:sz="4" w:space="0"/>
              <w:right w:val="single" w:color="auto" w:sz="4" w:space="0"/>
            </w:tcBorders>
            <w:shd w:val="clear" w:color="000000" w:fill="FFFFFF"/>
            <w:noWrap/>
            <w:vAlign w:val="center"/>
          </w:tcPr>
          <w:p w14:paraId="091E54E0">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28FD471F">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0BFF141C">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w:t>
            </w:r>
          </w:p>
        </w:tc>
      </w:tr>
      <w:tr w14:paraId="2CF34D3B">
        <w:trPr>
          <w:trHeight w:val="595" w:hRule="atLeast"/>
          <w:jc w:val="center"/>
        </w:trPr>
        <w:tc>
          <w:tcPr>
            <w:tcW w:w="132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77FE6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56" w:type="pct"/>
            <w:tcBorders>
              <w:top w:val="nil"/>
              <w:left w:val="nil"/>
              <w:bottom w:val="single" w:color="auto" w:sz="4" w:space="0"/>
              <w:right w:val="single" w:color="auto" w:sz="4" w:space="0"/>
            </w:tcBorders>
            <w:shd w:val="clear" w:color="auto" w:fill="auto"/>
            <w:noWrap/>
            <w:vAlign w:val="center"/>
          </w:tcPr>
          <w:p w14:paraId="628B80BB">
            <w:pPr>
              <w:keepNext w:val="0"/>
              <w:keepLines w:val="0"/>
              <w:widowControl/>
              <w:suppressLineNumbers w:val="0"/>
              <w:jc w:val="right"/>
              <w:textAlignment w:val="center"/>
              <w:rPr>
                <w:rFonts w:hint="eastAsia" w:ascii="仿宋_GB2312" w:hAnsi="仿宋_GB2312" w:eastAsia="仿宋_GB2312" w:cs="仿宋_GB2312"/>
                <w:b w:val="0"/>
                <w:bCs/>
                <w:kern w:val="0"/>
                <w:sz w:val="21"/>
                <w:szCs w:val="21"/>
              </w:rPr>
            </w:pPr>
            <w:r>
              <w:rPr>
                <w:rFonts w:hint="eastAsia" w:ascii="仿宋_GB2312" w:hAnsi="仿宋_GB2312" w:eastAsia="仿宋_GB2312" w:cs="仿宋_GB2312"/>
                <w:b w:val="0"/>
                <w:bCs/>
                <w:i w:val="0"/>
                <w:color w:val="000000"/>
                <w:kern w:val="0"/>
                <w:sz w:val="21"/>
                <w:szCs w:val="21"/>
                <w:u w:val="none"/>
                <w:lang w:val="en-US" w:eastAsia="zh-CN" w:bidi="ar"/>
              </w:rPr>
              <w:t>4084.35</w:t>
            </w:r>
          </w:p>
        </w:tc>
        <w:tc>
          <w:tcPr>
            <w:tcW w:w="469" w:type="pct"/>
            <w:tcBorders>
              <w:top w:val="nil"/>
              <w:left w:val="nil"/>
              <w:bottom w:val="single" w:color="auto" w:sz="4" w:space="0"/>
              <w:right w:val="single" w:color="auto" w:sz="4" w:space="0"/>
            </w:tcBorders>
            <w:shd w:val="clear" w:color="auto" w:fill="auto"/>
            <w:noWrap/>
            <w:vAlign w:val="center"/>
          </w:tcPr>
          <w:p w14:paraId="41066B94">
            <w:pPr>
              <w:keepNext w:val="0"/>
              <w:keepLines w:val="0"/>
              <w:widowControl/>
              <w:suppressLineNumbers w:val="0"/>
              <w:jc w:val="right"/>
              <w:textAlignment w:val="center"/>
              <w:rPr>
                <w:rFonts w:hint="eastAsia" w:ascii="仿宋_GB2312" w:hAnsi="仿宋_GB2312" w:eastAsia="仿宋_GB2312" w:cs="仿宋_GB2312"/>
                <w:b w:val="0"/>
                <w:bCs/>
                <w:kern w:val="0"/>
                <w:sz w:val="21"/>
                <w:szCs w:val="21"/>
              </w:rPr>
            </w:pPr>
            <w:r>
              <w:rPr>
                <w:rFonts w:hint="eastAsia" w:ascii="仿宋_GB2312" w:hAnsi="仿宋_GB2312" w:eastAsia="仿宋_GB2312" w:cs="仿宋_GB2312"/>
                <w:b w:val="0"/>
                <w:bCs/>
                <w:i w:val="0"/>
                <w:color w:val="000000"/>
                <w:kern w:val="0"/>
                <w:sz w:val="21"/>
                <w:szCs w:val="21"/>
                <w:u w:val="none"/>
                <w:lang w:val="en-US" w:eastAsia="zh-CN" w:bidi="ar"/>
              </w:rPr>
              <w:t>1958.48</w:t>
            </w:r>
          </w:p>
        </w:tc>
        <w:tc>
          <w:tcPr>
            <w:tcW w:w="505" w:type="pct"/>
            <w:tcBorders>
              <w:top w:val="nil"/>
              <w:left w:val="nil"/>
              <w:bottom w:val="single" w:color="auto" w:sz="4" w:space="0"/>
              <w:right w:val="single" w:color="auto" w:sz="4" w:space="0"/>
            </w:tcBorders>
            <w:shd w:val="clear" w:color="auto" w:fill="auto"/>
            <w:noWrap/>
            <w:vAlign w:val="center"/>
          </w:tcPr>
          <w:p w14:paraId="7D5CF114">
            <w:pPr>
              <w:keepNext w:val="0"/>
              <w:keepLines w:val="0"/>
              <w:widowControl/>
              <w:suppressLineNumbers w:val="0"/>
              <w:jc w:val="right"/>
              <w:textAlignment w:val="center"/>
              <w:rPr>
                <w:rFonts w:hint="eastAsia" w:ascii="仿宋_GB2312" w:hAnsi="仿宋_GB2312" w:eastAsia="仿宋_GB2312" w:cs="仿宋_GB2312"/>
                <w:b w:val="0"/>
                <w:bCs/>
                <w:kern w:val="0"/>
                <w:sz w:val="21"/>
                <w:szCs w:val="21"/>
              </w:rPr>
            </w:pPr>
            <w:r>
              <w:rPr>
                <w:rFonts w:hint="eastAsia" w:ascii="仿宋_GB2312" w:hAnsi="仿宋_GB2312" w:eastAsia="仿宋_GB2312" w:cs="仿宋_GB2312"/>
                <w:b w:val="0"/>
                <w:bCs/>
                <w:i w:val="0"/>
                <w:color w:val="000000"/>
                <w:kern w:val="0"/>
                <w:sz w:val="21"/>
                <w:szCs w:val="21"/>
                <w:u w:val="none"/>
                <w:lang w:val="en-US" w:eastAsia="zh-CN" w:bidi="ar"/>
              </w:rPr>
              <w:t>2125.88</w:t>
            </w:r>
          </w:p>
        </w:tc>
        <w:tc>
          <w:tcPr>
            <w:tcW w:w="624" w:type="pct"/>
            <w:tcBorders>
              <w:top w:val="nil"/>
              <w:left w:val="nil"/>
              <w:bottom w:val="single" w:color="auto" w:sz="4" w:space="0"/>
              <w:right w:val="single" w:color="auto" w:sz="4" w:space="0"/>
            </w:tcBorders>
            <w:shd w:val="clear" w:color="auto" w:fill="auto"/>
            <w:noWrap/>
            <w:vAlign w:val="center"/>
          </w:tcPr>
          <w:p w14:paraId="7C15B21D">
            <w:pPr>
              <w:keepNext w:val="0"/>
              <w:keepLines w:val="0"/>
              <w:widowControl/>
              <w:suppressLineNumbers w:val="0"/>
              <w:jc w:val="right"/>
              <w:textAlignment w:val="center"/>
              <w:rPr>
                <w:rFonts w:hint="eastAsia" w:ascii="仿宋_GB2312" w:hAnsi="仿宋_GB2312" w:eastAsia="仿宋_GB2312" w:cs="仿宋_GB2312"/>
                <w:b w:val="0"/>
                <w:bCs/>
                <w:kern w:val="0"/>
                <w:sz w:val="21"/>
                <w:szCs w:val="21"/>
              </w:rPr>
            </w:pPr>
            <w:r>
              <w:rPr>
                <w:rFonts w:hint="eastAsia" w:ascii="仿宋_GB2312" w:hAnsi="仿宋_GB2312" w:eastAsia="仿宋_GB2312" w:cs="仿宋_GB2312"/>
                <w:b w:val="0"/>
                <w:bCs/>
                <w:i w:val="0"/>
                <w:color w:val="000000"/>
                <w:kern w:val="0"/>
                <w:sz w:val="21"/>
                <w:szCs w:val="21"/>
                <w:u w:val="none"/>
                <w:lang w:val="en-US" w:eastAsia="zh-CN" w:bidi="ar"/>
              </w:rPr>
              <w:t>0.00</w:t>
            </w:r>
          </w:p>
        </w:tc>
        <w:tc>
          <w:tcPr>
            <w:tcW w:w="469" w:type="pct"/>
            <w:tcBorders>
              <w:top w:val="nil"/>
              <w:left w:val="nil"/>
              <w:bottom w:val="single" w:color="auto" w:sz="4" w:space="0"/>
              <w:right w:val="single" w:color="auto" w:sz="4" w:space="0"/>
            </w:tcBorders>
            <w:shd w:val="clear" w:color="auto" w:fill="auto"/>
            <w:noWrap/>
            <w:vAlign w:val="center"/>
          </w:tcPr>
          <w:p w14:paraId="1035CC37">
            <w:pPr>
              <w:keepNext w:val="0"/>
              <w:keepLines w:val="0"/>
              <w:widowControl/>
              <w:suppressLineNumbers w:val="0"/>
              <w:jc w:val="right"/>
              <w:textAlignment w:val="center"/>
              <w:rPr>
                <w:rFonts w:hint="eastAsia" w:ascii="仿宋_GB2312" w:hAnsi="仿宋_GB2312" w:eastAsia="仿宋_GB2312" w:cs="仿宋_GB2312"/>
                <w:b w:val="0"/>
                <w:bCs/>
                <w:kern w:val="0"/>
                <w:sz w:val="21"/>
                <w:szCs w:val="21"/>
              </w:rPr>
            </w:pPr>
            <w:r>
              <w:rPr>
                <w:rFonts w:hint="eastAsia" w:ascii="仿宋_GB2312" w:hAnsi="仿宋_GB2312" w:eastAsia="仿宋_GB2312" w:cs="仿宋_GB2312"/>
                <w:b w:val="0"/>
                <w:bCs/>
                <w:i w:val="0"/>
                <w:color w:val="000000"/>
                <w:kern w:val="0"/>
                <w:sz w:val="21"/>
                <w:szCs w:val="21"/>
                <w:u w:val="none"/>
                <w:lang w:val="en-US" w:eastAsia="zh-CN" w:bidi="ar"/>
              </w:rPr>
              <w:t>0.00</w:t>
            </w:r>
          </w:p>
        </w:tc>
        <w:tc>
          <w:tcPr>
            <w:tcW w:w="948" w:type="pct"/>
            <w:tcBorders>
              <w:top w:val="nil"/>
              <w:left w:val="nil"/>
              <w:bottom w:val="single" w:color="auto" w:sz="4" w:space="0"/>
              <w:right w:val="single" w:color="auto" w:sz="4" w:space="0"/>
            </w:tcBorders>
            <w:shd w:val="clear" w:color="auto" w:fill="auto"/>
            <w:noWrap/>
            <w:vAlign w:val="center"/>
          </w:tcPr>
          <w:p w14:paraId="14A48F1C">
            <w:pPr>
              <w:keepNext w:val="0"/>
              <w:keepLines w:val="0"/>
              <w:widowControl/>
              <w:suppressLineNumbers w:val="0"/>
              <w:jc w:val="right"/>
              <w:textAlignment w:val="center"/>
              <w:rPr>
                <w:rFonts w:hint="eastAsia" w:ascii="仿宋_GB2312" w:hAnsi="仿宋_GB2312" w:eastAsia="仿宋_GB2312" w:cs="仿宋_GB2312"/>
                <w:b w:val="0"/>
                <w:bCs/>
                <w:kern w:val="0"/>
                <w:sz w:val="21"/>
                <w:szCs w:val="21"/>
              </w:rPr>
            </w:pPr>
            <w:r>
              <w:rPr>
                <w:rFonts w:hint="eastAsia" w:ascii="仿宋_GB2312" w:hAnsi="仿宋_GB2312" w:eastAsia="仿宋_GB2312" w:cs="仿宋_GB2312"/>
                <w:b w:val="0"/>
                <w:bCs/>
                <w:i w:val="0"/>
                <w:color w:val="000000"/>
                <w:kern w:val="0"/>
                <w:sz w:val="21"/>
                <w:szCs w:val="21"/>
                <w:u w:val="none"/>
                <w:lang w:val="en-US" w:eastAsia="zh-CN" w:bidi="ar"/>
              </w:rPr>
              <w:t>0.00</w:t>
            </w:r>
          </w:p>
        </w:tc>
      </w:tr>
      <w:tr w14:paraId="7A6BDF45">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6C2A2D">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w:t>
            </w:r>
          </w:p>
        </w:tc>
        <w:tc>
          <w:tcPr>
            <w:tcW w:w="818" w:type="pct"/>
            <w:tcBorders>
              <w:top w:val="nil"/>
              <w:left w:val="nil"/>
              <w:bottom w:val="single" w:color="auto" w:sz="4" w:space="0"/>
              <w:right w:val="single" w:color="auto" w:sz="4" w:space="0"/>
            </w:tcBorders>
            <w:shd w:val="clear" w:color="000000" w:fill="FFFFFF"/>
            <w:noWrap/>
            <w:vAlign w:val="center"/>
          </w:tcPr>
          <w:p w14:paraId="1DF9B1E8">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一般公共服务支出</w:t>
            </w:r>
          </w:p>
        </w:tc>
        <w:tc>
          <w:tcPr>
            <w:tcW w:w="1867" w:type="dxa"/>
            <w:tcBorders>
              <w:top w:val="nil"/>
              <w:left w:val="nil"/>
              <w:bottom w:val="single" w:color="auto" w:sz="4" w:space="0"/>
              <w:right w:val="single" w:color="auto" w:sz="4" w:space="0"/>
            </w:tcBorders>
            <w:shd w:val="clear" w:color="auto" w:fill="auto"/>
            <w:noWrap/>
            <w:vAlign w:val="center"/>
          </w:tcPr>
          <w:p w14:paraId="45D1DE8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3637.24</w:t>
            </w:r>
          </w:p>
        </w:tc>
        <w:tc>
          <w:tcPr>
            <w:tcW w:w="1334" w:type="dxa"/>
            <w:tcBorders>
              <w:top w:val="nil"/>
              <w:left w:val="nil"/>
              <w:bottom w:val="single" w:color="auto" w:sz="4" w:space="0"/>
              <w:right w:val="single" w:color="auto" w:sz="4" w:space="0"/>
            </w:tcBorders>
            <w:shd w:val="clear" w:color="auto" w:fill="auto"/>
            <w:noWrap/>
            <w:vAlign w:val="center"/>
          </w:tcPr>
          <w:p w14:paraId="0D20AF95">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1571.36</w:t>
            </w:r>
          </w:p>
        </w:tc>
        <w:tc>
          <w:tcPr>
            <w:tcW w:w="1436" w:type="dxa"/>
            <w:tcBorders>
              <w:top w:val="nil"/>
              <w:left w:val="nil"/>
              <w:bottom w:val="single" w:color="auto" w:sz="4" w:space="0"/>
              <w:right w:val="single" w:color="auto" w:sz="4" w:space="0"/>
            </w:tcBorders>
            <w:shd w:val="clear" w:color="auto" w:fill="auto"/>
            <w:noWrap/>
            <w:vAlign w:val="center"/>
          </w:tcPr>
          <w:p w14:paraId="1CA7D33B">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2065.88</w:t>
            </w:r>
          </w:p>
        </w:tc>
        <w:tc>
          <w:tcPr>
            <w:tcW w:w="1775" w:type="dxa"/>
            <w:tcBorders>
              <w:top w:val="nil"/>
              <w:left w:val="nil"/>
              <w:bottom w:val="single" w:color="auto" w:sz="4" w:space="0"/>
              <w:right w:val="single" w:color="auto" w:sz="4" w:space="0"/>
            </w:tcBorders>
            <w:shd w:val="clear" w:color="auto" w:fill="auto"/>
            <w:noWrap/>
            <w:vAlign w:val="center"/>
          </w:tcPr>
          <w:p w14:paraId="385277D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nil"/>
              <w:left w:val="nil"/>
              <w:bottom w:val="single" w:color="auto" w:sz="4" w:space="0"/>
              <w:right w:val="single" w:color="auto" w:sz="4" w:space="0"/>
            </w:tcBorders>
            <w:shd w:val="clear" w:color="auto" w:fill="auto"/>
            <w:noWrap/>
            <w:vAlign w:val="center"/>
          </w:tcPr>
          <w:p w14:paraId="24F93AA1">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nil"/>
              <w:left w:val="nil"/>
              <w:bottom w:val="single" w:color="auto" w:sz="4" w:space="0"/>
              <w:right w:val="single" w:color="auto" w:sz="4" w:space="0"/>
            </w:tcBorders>
            <w:shd w:val="clear" w:color="auto" w:fill="auto"/>
            <w:noWrap/>
            <w:vAlign w:val="center"/>
          </w:tcPr>
          <w:p w14:paraId="1055DFAD">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455C5E95">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6E65DA">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20103</w:t>
            </w:r>
          </w:p>
        </w:tc>
        <w:tc>
          <w:tcPr>
            <w:tcW w:w="818" w:type="pct"/>
            <w:tcBorders>
              <w:top w:val="nil"/>
              <w:left w:val="nil"/>
              <w:bottom w:val="single" w:color="auto" w:sz="4" w:space="0"/>
              <w:right w:val="single" w:color="auto" w:sz="4" w:space="0"/>
            </w:tcBorders>
            <w:shd w:val="clear" w:color="000000" w:fill="FFFFFF"/>
            <w:noWrap/>
            <w:vAlign w:val="center"/>
          </w:tcPr>
          <w:p w14:paraId="62CB9409">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政府办公厅（室）及相关机构事务</w:t>
            </w:r>
          </w:p>
        </w:tc>
        <w:tc>
          <w:tcPr>
            <w:tcW w:w="1867" w:type="dxa"/>
            <w:tcBorders>
              <w:top w:val="nil"/>
              <w:left w:val="nil"/>
              <w:bottom w:val="single" w:color="auto" w:sz="4" w:space="0"/>
              <w:right w:val="single" w:color="auto" w:sz="4" w:space="0"/>
            </w:tcBorders>
            <w:shd w:val="clear" w:color="auto" w:fill="auto"/>
            <w:noWrap/>
            <w:vAlign w:val="center"/>
          </w:tcPr>
          <w:p w14:paraId="0274630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3041.69</w:t>
            </w:r>
          </w:p>
        </w:tc>
        <w:tc>
          <w:tcPr>
            <w:tcW w:w="1334" w:type="dxa"/>
            <w:tcBorders>
              <w:top w:val="nil"/>
              <w:left w:val="nil"/>
              <w:bottom w:val="single" w:color="auto" w:sz="4" w:space="0"/>
              <w:right w:val="single" w:color="auto" w:sz="4" w:space="0"/>
            </w:tcBorders>
            <w:shd w:val="clear" w:color="auto" w:fill="auto"/>
            <w:noWrap/>
            <w:vAlign w:val="center"/>
          </w:tcPr>
          <w:p w14:paraId="04E9A79C">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1006.67</w:t>
            </w:r>
          </w:p>
        </w:tc>
        <w:tc>
          <w:tcPr>
            <w:tcW w:w="1436" w:type="dxa"/>
            <w:tcBorders>
              <w:top w:val="nil"/>
              <w:left w:val="nil"/>
              <w:bottom w:val="single" w:color="auto" w:sz="4" w:space="0"/>
              <w:right w:val="single" w:color="auto" w:sz="4" w:space="0"/>
            </w:tcBorders>
            <w:shd w:val="clear" w:color="auto" w:fill="auto"/>
            <w:noWrap/>
            <w:vAlign w:val="center"/>
          </w:tcPr>
          <w:p w14:paraId="23A13D8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2035.02</w:t>
            </w:r>
          </w:p>
        </w:tc>
        <w:tc>
          <w:tcPr>
            <w:tcW w:w="1775" w:type="dxa"/>
            <w:tcBorders>
              <w:top w:val="nil"/>
              <w:left w:val="nil"/>
              <w:bottom w:val="single" w:color="auto" w:sz="4" w:space="0"/>
              <w:right w:val="single" w:color="auto" w:sz="4" w:space="0"/>
            </w:tcBorders>
            <w:shd w:val="clear" w:color="auto" w:fill="auto"/>
            <w:noWrap/>
            <w:vAlign w:val="center"/>
          </w:tcPr>
          <w:p w14:paraId="0064B603">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nil"/>
              <w:left w:val="nil"/>
              <w:bottom w:val="single" w:color="auto" w:sz="4" w:space="0"/>
              <w:right w:val="single" w:color="auto" w:sz="4" w:space="0"/>
            </w:tcBorders>
            <w:shd w:val="clear" w:color="auto" w:fill="auto"/>
            <w:noWrap/>
            <w:vAlign w:val="center"/>
          </w:tcPr>
          <w:p w14:paraId="257D9DFF">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nil"/>
              <w:left w:val="nil"/>
              <w:bottom w:val="single" w:color="auto" w:sz="4" w:space="0"/>
              <w:right w:val="single" w:color="auto" w:sz="4" w:space="0"/>
            </w:tcBorders>
            <w:shd w:val="clear" w:color="auto" w:fill="auto"/>
            <w:noWrap/>
            <w:vAlign w:val="center"/>
          </w:tcPr>
          <w:p w14:paraId="50E90F03">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315595C9">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7F1B3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2010301</w:t>
            </w:r>
          </w:p>
        </w:tc>
        <w:tc>
          <w:tcPr>
            <w:tcW w:w="818" w:type="pct"/>
            <w:tcBorders>
              <w:top w:val="nil"/>
              <w:left w:val="nil"/>
              <w:bottom w:val="single" w:color="auto" w:sz="4" w:space="0"/>
              <w:right w:val="single" w:color="auto" w:sz="4" w:space="0"/>
            </w:tcBorders>
            <w:shd w:val="clear" w:color="000000" w:fill="FFFFFF"/>
            <w:noWrap/>
            <w:vAlign w:val="center"/>
          </w:tcPr>
          <w:p w14:paraId="0995B2DB">
            <w:pPr>
              <w:keepNext w:val="0"/>
              <w:keepLines w:val="0"/>
              <w:widowControl/>
              <w:suppressLineNumbers w:val="0"/>
              <w:ind w:firstLine="210" w:firstLineChars="10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行政运行</w:t>
            </w:r>
          </w:p>
        </w:tc>
        <w:tc>
          <w:tcPr>
            <w:tcW w:w="1867" w:type="dxa"/>
            <w:tcBorders>
              <w:top w:val="nil"/>
              <w:left w:val="nil"/>
              <w:bottom w:val="single" w:color="auto" w:sz="4" w:space="0"/>
              <w:right w:val="single" w:color="auto" w:sz="4" w:space="0"/>
            </w:tcBorders>
            <w:shd w:val="clear" w:color="auto" w:fill="auto"/>
            <w:noWrap/>
            <w:vAlign w:val="center"/>
          </w:tcPr>
          <w:p w14:paraId="6D66ED2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913.48</w:t>
            </w:r>
          </w:p>
        </w:tc>
        <w:tc>
          <w:tcPr>
            <w:tcW w:w="1334" w:type="dxa"/>
            <w:tcBorders>
              <w:top w:val="nil"/>
              <w:left w:val="nil"/>
              <w:bottom w:val="single" w:color="auto" w:sz="4" w:space="0"/>
              <w:right w:val="single" w:color="auto" w:sz="4" w:space="0"/>
            </w:tcBorders>
            <w:shd w:val="clear" w:color="auto" w:fill="auto"/>
            <w:noWrap/>
            <w:vAlign w:val="center"/>
          </w:tcPr>
          <w:p w14:paraId="66782C0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913.48</w:t>
            </w:r>
          </w:p>
        </w:tc>
        <w:tc>
          <w:tcPr>
            <w:tcW w:w="1436" w:type="dxa"/>
            <w:tcBorders>
              <w:top w:val="nil"/>
              <w:left w:val="nil"/>
              <w:bottom w:val="single" w:color="auto" w:sz="4" w:space="0"/>
              <w:right w:val="single" w:color="auto" w:sz="4" w:space="0"/>
            </w:tcBorders>
            <w:shd w:val="clear" w:color="auto" w:fill="auto"/>
            <w:noWrap/>
            <w:vAlign w:val="center"/>
          </w:tcPr>
          <w:p w14:paraId="6309FD85">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nil"/>
              <w:left w:val="nil"/>
              <w:bottom w:val="single" w:color="auto" w:sz="4" w:space="0"/>
              <w:right w:val="single" w:color="auto" w:sz="4" w:space="0"/>
            </w:tcBorders>
            <w:shd w:val="clear" w:color="auto" w:fill="auto"/>
            <w:noWrap/>
            <w:vAlign w:val="center"/>
          </w:tcPr>
          <w:p w14:paraId="4805C64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nil"/>
              <w:left w:val="nil"/>
              <w:bottom w:val="single" w:color="auto" w:sz="4" w:space="0"/>
              <w:right w:val="single" w:color="auto" w:sz="4" w:space="0"/>
            </w:tcBorders>
            <w:shd w:val="clear" w:color="auto" w:fill="auto"/>
            <w:noWrap/>
            <w:vAlign w:val="center"/>
          </w:tcPr>
          <w:p w14:paraId="4A57D29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nil"/>
              <w:left w:val="nil"/>
              <w:bottom w:val="single" w:color="auto" w:sz="4" w:space="0"/>
              <w:right w:val="single" w:color="auto" w:sz="4" w:space="0"/>
            </w:tcBorders>
            <w:shd w:val="clear" w:color="auto" w:fill="auto"/>
            <w:noWrap/>
            <w:vAlign w:val="center"/>
          </w:tcPr>
          <w:p w14:paraId="5BCCE91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64041AF5">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EBC9A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2010303</w:t>
            </w:r>
          </w:p>
        </w:tc>
        <w:tc>
          <w:tcPr>
            <w:tcW w:w="818" w:type="pct"/>
            <w:tcBorders>
              <w:top w:val="nil"/>
              <w:left w:val="nil"/>
              <w:bottom w:val="single" w:color="auto" w:sz="4" w:space="0"/>
              <w:right w:val="single" w:color="auto" w:sz="4" w:space="0"/>
            </w:tcBorders>
            <w:shd w:val="clear" w:color="000000" w:fill="FFFFFF"/>
            <w:noWrap/>
            <w:vAlign w:val="center"/>
          </w:tcPr>
          <w:p w14:paraId="3852A4F7">
            <w:pPr>
              <w:keepNext w:val="0"/>
              <w:keepLines w:val="0"/>
              <w:widowControl/>
              <w:suppressLineNumbers w:val="0"/>
              <w:ind w:firstLine="210" w:firstLineChars="10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机关服务</w:t>
            </w:r>
          </w:p>
        </w:tc>
        <w:tc>
          <w:tcPr>
            <w:tcW w:w="1867" w:type="dxa"/>
            <w:tcBorders>
              <w:top w:val="nil"/>
              <w:left w:val="nil"/>
              <w:bottom w:val="single" w:color="auto" w:sz="4" w:space="0"/>
              <w:right w:val="single" w:color="auto" w:sz="4" w:space="0"/>
            </w:tcBorders>
            <w:shd w:val="clear" w:color="auto" w:fill="auto"/>
            <w:noWrap/>
            <w:vAlign w:val="center"/>
          </w:tcPr>
          <w:p w14:paraId="74DAD686">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2128.21</w:t>
            </w:r>
          </w:p>
        </w:tc>
        <w:tc>
          <w:tcPr>
            <w:tcW w:w="1334" w:type="dxa"/>
            <w:tcBorders>
              <w:top w:val="nil"/>
              <w:left w:val="nil"/>
              <w:bottom w:val="single" w:color="auto" w:sz="4" w:space="0"/>
              <w:right w:val="single" w:color="auto" w:sz="4" w:space="0"/>
            </w:tcBorders>
            <w:shd w:val="clear" w:color="auto" w:fill="auto"/>
            <w:noWrap/>
            <w:vAlign w:val="center"/>
          </w:tcPr>
          <w:p w14:paraId="1AFAE44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93.19</w:t>
            </w:r>
          </w:p>
        </w:tc>
        <w:tc>
          <w:tcPr>
            <w:tcW w:w="1436" w:type="dxa"/>
            <w:tcBorders>
              <w:top w:val="nil"/>
              <w:left w:val="nil"/>
              <w:bottom w:val="single" w:color="auto" w:sz="4" w:space="0"/>
              <w:right w:val="single" w:color="auto" w:sz="4" w:space="0"/>
            </w:tcBorders>
            <w:shd w:val="clear" w:color="auto" w:fill="auto"/>
            <w:noWrap/>
            <w:vAlign w:val="center"/>
          </w:tcPr>
          <w:p w14:paraId="79AA452F">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2035.02</w:t>
            </w:r>
          </w:p>
        </w:tc>
        <w:tc>
          <w:tcPr>
            <w:tcW w:w="1775" w:type="dxa"/>
            <w:tcBorders>
              <w:top w:val="nil"/>
              <w:left w:val="nil"/>
              <w:bottom w:val="single" w:color="auto" w:sz="4" w:space="0"/>
              <w:right w:val="single" w:color="auto" w:sz="4" w:space="0"/>
            </w:tcBorders>
            <w:shd w:val="clear" w:color="auto" w:fill="auto"/>
            <w:noWrap/>
            <w:vAlign w:val="center"/>
          </w:tcPr>
          <w:p w14:paraId="6CB9976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nil"/>
              <w:left w:val="nil"/>
              <w:bottom w:val="single" w:color="auto" w:sz="4" w:space="0"/>
              <w:right w:val="single" w:color="auto" w:sz="4" w:space="0"/>
            </w:tcBorders>
            <w:shd w:val="clear" w:color="auto" w:fill="auto"/>
            <w:noWrap/>
            <w:vAlign w:val="center"/>
          </w:tcPr>
          <w:p w14:paraId="1BB3338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nil"/>
              <w:left w:val="nil"/>
              <w:bottom w:val="single" w:color="auto" w:sz="4" w:space="0"/>
              <w:right w:val="single" w:color="auto" w:sz="4" w:space="0"/>
            </w:tcBorders>
            <w:shd w:val="clear" w:color="auto" w:fill="auto"/>
            <w:noWrap/>
            <w:vAlign w:val="center"/>
          </w:tcPr>
          <w:p w14:paraId="23E236B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74E9A02E">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26B53D">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20136</w:t>
            </w:r>
          </w:p>
        </w:tc>
        <w:tc>
          <w:tcPr>
            <w:tcW w:w="818" w:type="pct"/>
            <w:tcBorders>
              <w:top w:val="nil"/>
              <w:left w:val="nil"/>
              <w:bottom w:val="single" w:color="auto" w:sz="4" w:space="0"/>
              <w:right w:val="single" w:color="auto" w:sz="4" w:space="0"/>
            </w:tcBorders>
            <w:shd w:val="clear" w:color="000000" w:fill="FFFFFF"/>
            <w:noWrap/>
            <w:vAlign w:val="center"/>
          </w:tcPr>
          <w:p w14:paraId="5310AB87">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其他共产党事务支出</w:t>
            </w:r>
          </w:p>
        </w:tc>
        <w:tc>
          <w:tcPr>
            <w:tcW w:w="1867" w:type="dxa"/>
            <w:tcBorders>
              <w:top w:val="nil"/>
              <w:left w:val="nil"/>
              <w:bottom w:val="single" w:color="auto" w:sz="4" w:space="0"/>
              <w:right w:val="single" w:color="auto" w:sz="4" w:space="0"/>
            </w:tcBorders>
            <w:shd w:val="clear" w:color="auto" w:fill="auto"/>
            <w:noWrap/>
            <w:vAlign w:val="center"/>
          </w:tcPr>
          <w:p w14:paraId="7AC0B64B">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30.86</w:t>
            </w:r>
          </w:p>
        </w:tc>
        <w:tc>
          <w:tcPr>
            <w:tcW w:w="1334" w:type="dxa"/>
            <w:tcBorders>
              <w:top w:val="nil"/>
              <w:left w:val="nil"/>
              <w:bottom w:val="single" w:color="auto" w:sz="4" w:space="0"/>
              <w:right w:val="single" w:color="auto" w:sz="4" w:space="0"/>
            </w:tcBorders>
            <w:shd w:val="clear" w:color="auto" w:fill="auto"/>
            <w:noWrap/>
            <w:vAlign w:val="center"/>
          </w:tcPr>
          <w:p w14:paraId="7FF3275F">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436" w:type="dxa"/>
            <w:tcBorders>
              <w:top w:val="nil"/>
              <w:left w:val="nil"/>
              <w:bottom w:val="single" w:color="auto" w:sz="4" w:space="0"/>
              <w:right w:val="single" w:color="auto" w:sz="4" w:space="0"/>
            </w:tcBorders>
            <w:shd w:val="clear" w:color="auto" w:fill="auto"/>
            <w:noWrap/>
            <w:vAlign w:val="center"/>
          </w:tcPr>
          <w:p w14:paraId="152425B3">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30.86</w:t>
            </w:r>
          </w:p>
        </w:tc>
        <w:tc>
          <w:tcPr>
            <w:tcW w:w="1775" w:type="dxa"/>
            <w:tcBorders>
              <w:top w:val="nil"/>
              <w:left w:val="nil"/>
              <w:bottom w:val="single" w:color="auto" w:sz="4" w:space="0"/>
              <w:right w:val="single" w:color="auto" w:sz="4" w:space="0"/>
            </w:tcBorders>
            <w:shd w:val="clear" w:color="auto" w:fill="auto"/>
            <w:noWrap/>
            <w:vAlign w:val="center"/>
          </w:tcPr>
          <w:p w14:paraId="6504BB7D">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nil"/>
              <w:left w:val="nil"/>
              <w:bottom w:val="single" w:color="auto" w:sz="4" w:space="0"/>
              <w:right w:val="single" w:color="auto" w:sz="4" w:space="0"/>
            </w:tcBorders>
            <w:shd w:val="clear" w:color="auto" w:fill="auto"/>
            <w:noWrap/>
            <w:vAlign w:val="center"/>
          </w:tcPr>
          <w:p w14:paraId="3F158BCD">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nil"/>
              <w:left w:val="nil"/>
              <w:bottom w:val="single" w:color="auto" w:sz="4" w:space="0"/>
              <w:right w:val="single" w:color="auto" w:sz="4" w:space="0"/>
            </w:tcBorders>
            <w:shd w:val="clear" w:color="auto" w:fill="auto"/>
            <w:noWrap/>
            <w:vAlign w:val="center"/>
          </w:tcPr>
          <w:p w14:paraId="682A116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3A82441A">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13A0DF7">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2013602</w:t>
            </w:r>
          </w:p>
        </w:tc>
        <w:tc>
          <w:tcPr>
            <w:tcW w:w="8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4410B5">
            <w:pPr>
              <w:keepNext w:val="0"/>
              <w:keepLines w:val="0"/>
              <w:widowControl/>
              <w:suppressLineNumbers w:val="0"/>
              <w:ind w:firstLine="210" w:firstLineChars="10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一般行政管理事务</w:t>
            </w:r>
          </w:p>
        </w:tc>
        <w:tc>
          <w:tcPr>
            <w:tcW w:w="18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3102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30.86</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58A58B">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4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DD08D">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30.86</w:t>
            </w:r>
          </w:p>
        </w:tc>
        <w:tc>
          <w:tcPr>
            <w:tcW w:w="17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BAB3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E415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E8F8B">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577BED77">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B113E2">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20199</w:t>
            </w:r>
          </w:p>
        </w:tc>
        <w:tc>
          <w:tcPr>
            <w:tcW w:w="8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8D3D6C">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其他一般公共服务支出</w:t>
            </w:r>
          </w:p>
        </w:tc>
        <w:tc>
          <w:tcPr>
            <w:tcW w:w="186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1188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564.69</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7BB6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564.69</w:t>
            </w:r>
          </w:p>
        </w:tc>
        <w:tc>
          <w:tcPr>
            <w:tcW w:w="14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AE1AC">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0DE44">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62AFE2">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D19C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36DA5286">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7BE360">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2019999</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3C0EB413">
            <w:pPr>
              <w:keepNext w:val="0"/>
              <w:keepLines w:val="0"/>
              <w:widowControl/>
              <w:suppressLineNumbers w:val="0"/>
              <w:ind w:firstLine="210" w:firstLineChars="10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其他一般公共服务支出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106E5E23">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564.69</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32D3ADF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564.69</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01D52B8C">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22FFE09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3A28DFF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058D9952">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648B8BF9">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A1FDA9">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207</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30DD6185">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文化旅游体育与传媒支出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565C963E">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277F3E36">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2CC43739">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62520E91">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0310CF6D">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577D67BE">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4EB23726">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32CD24">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20799</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572AA7C7">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其他文化旅游体育与传媒支出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3E274FB5">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1174E4C4">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72863BC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7D16F0F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7A08956B">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40D53165">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391D4935">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68B822">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2079999</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6D240E20">
            <w:pPr>
              <w:keepNext w:val="0"/>
              <w:keepLines w:val="0"/>
              <w:widowControl/>
              <w:suppressLineNumbers w:val="0"/>
              <w:ind w:firstLine="315" w:firstLineChars="15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其他文化旅游体育与传媒支出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1A27FFB4">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0B20D335">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528739D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60.00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15A85EE9">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447B23C1">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424EDEB9">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5A23F14B">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D6B40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208</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6532FCE2">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社会保障和就业支出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74353321">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235.51</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40ADA27F">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235.51</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1CBD8052">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2601A1FF">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13608476">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3A7607BE">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23679F66">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2A451E5">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20805</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2008D7B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行政事业单位养老支出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37A15AAB">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235.51</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7864C0D1">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235.51</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3D70CECE">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2AEE2949">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30AE203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63DF758B">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5F382626">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93704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2080501</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150B85A4">
            <w:pPr>
              <w:keepNext w:val="0"/>
              <w:keepLines w:val="0"/>
              <w:widowControl/>
              <w:suppressLineNumbers w:val="0"/>
              <w:ind w:firstLine="210" w:firstLineChars="10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行政单位离退休</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02D1E539">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131.08</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55A79C4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131.08</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24D61BF4">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472A4D5E">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7BB45024">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6F3258C9">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2DAED3AB">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5D4A140">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2080505</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3CC58CE2">
            <w:pPr>
              <w:keepNext w:val="0"/>
              <w:keepLines w:val="0"/>
              <w:widowControl/>
              <w:suppressLineNumbers w:val="0"/>
              <w:ind w:firstLine="210" w:firstLineChars="10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机关事业单位基本养老保险缴费支出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31B3E3A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104.43</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1C207B9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104.43</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234C1C4E">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365732CB">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30AABEA1">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7902E54C">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3DDE51E9">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100FAB">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210</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5D56761C">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卫生健康支出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6555CAC4">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1AE60441">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3BDA1BD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1CAC4DE6">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02836DE4">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4886F77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6ABB5FF9">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6D7995">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21011</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7C239E69">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行政事业单位医疗</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44329AE9">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194FF6D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406BD50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61BF7D9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194453B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1440A256">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5CE71DB3">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01BC42">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2101101</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1CD142AE">
            <w:pPr>
              <w:keepNext w:val="0"/>
              <w:keepLines w:val="0"/>
              <w:widowControl/>
              <w:suppressLineNumbers w:val="0"/>
              <w:ind w:firstLine="210" w:firstLineChars="10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行政单位医疗</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4758E7E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4B03964E">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41.76</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4A71917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53C08AE2">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1BE1F38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3641C98F">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07A52DBE">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746EC7">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221</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7817E4C7">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住房保障支出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5501465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2FF500C9">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6F390F8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450BF2D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6AB329C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60D3A4A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70FAD29D">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B17EAC">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22102</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667B8D0E">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住房改革支出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643CDEB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1AC8119D">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16D9BB0F">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30BFC4E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6CBF869D">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64D7A40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0CEACFE0">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6AEF40">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2210201</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31D1062E">
            <w:pPr>
              <w:keepNext w:val="0"/>
              <w:keepLines w:val="0"/>
              <w:widowControl/>
              <w:suppressLineNumbers w:val="0"/>
              <w:ind w:firstLine="210" w:firstLineChars="10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住房公积金</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7571A48E">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4541B283">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7.73</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57084F52">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5C010D2B">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5F16338F">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039A5302">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6EDD6B33">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F1C470">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229</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09E97C11">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5439687A">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102.12</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786F029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102.12</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1EDA856D">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080D0C54">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08F34062">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0E6059B4">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06ED51F7">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43C52C">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22999</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180D066D">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1ABC417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102.12</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656F54F1">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102.12</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07570AAF">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752455DE">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321B1B89">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4DF73888">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r w14:paraId="40A1BB0B">
        <w:trPr>
          <w:trHeight w:val="595" w:hRule="atLeast"/>
          <w:jc w:val="center"/>
        </w:trPr>
        <w:tc>
          <w:tcPr>
            <w:tcW w:w="50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DD4958">
            <w:pPr>
              <w:keepNext w:val="0"/>
              <w:keepLines w:val="0"/>
              <w:widowControl/>
              <w:suppressLineNumbers w:val="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2299999</w:t>
            </w:r>
          </w:p>
        </w:tc>
        <w:tc>
          <w:tcPr>
            <w:tcW w:w="818" w:type="pct"/>
            <w:tcBorders>
              <w:top w:val="single" w:color="auto" w:sz="4" w:space="0"/>
              <w:left w:val="nil"/>
              <w:bottom w:val="single" w:color="auto" w:sz="4" w:space="0"/>
              <w:right w:val="single" w:color="auto" w:sz="4" w:space="0"/>
            </w:tcBorders>
            <w:shd w:val="clear" w:color="000000" w:fill="FFFFFF"/>
            <w:noWrap/>
            <w:vAlign w:val="center"/>
          </w:tcPr>
          <w:p w14:paraId="79705D3C">
            <w:pPr>
              <w:keepNext w:val="0"/>
              <w:keepLines w:val="0"/>
              <w:widowControl/>
              <w:suppressLineNumbers w:val="0"/>
              <w:ind w:firstLine="210" w:firstLineChars="100"/>
              <w:jc w:val="lef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其他支出</w:t>
            </w:r>
          </w:p>
        </w:tc>
        <w:tc>
          <w:tcPr>
            <w:tcW w:w="1867" w:type="dxa"/>
            <w:tcBorders>
              <w:top w:val="single" w:color="auto" w:sz="4" w:space="0"/>
              <w:left w:val="nil"/>
              <w:bottom w:val="single" w:color="auto" w:sz="4" w:space="0"/>
              <w:right w:val="single" w:color="auto" w:sz="4" w:space="0"/>
            </w:tcBorders>
            <w:shd w:val="clear" w:color="auto" w:fill="auto"/>
            <w:noWrap/>
            <w:vAlign w:val="center"/>
          </w:tcPr>
          <w:p w14:paraId="0CB7AEC0">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102.12</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31853617">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102.12</w:t>
            </w:r>
          </w:p>
        </w:tc>
        <w:tc>
          <w:tcPr>
            <w:tcW w:w="1436" w:type="dxa"/>
            <w:tcBorders>
              <w:top w:val="single" w:color="auto" w:sz="4" w:space="0"/>
              <w:left w:val="nil"/>
              <w:bottom w:val="single" w:color="auto" w:sz="4" w:space="0"/>
              <w:right w:val="single" w:color="auto" w:sz="4" w:space="0"/>
            </w:tcBorders>
            <w:shd w:val="clear" w:color="auto" w:fill="auto"/>
            <w:noWrap/>
            <w:vAlign w:val="center"/>
          </w:tcPr>
          <w:p w14:paraId="7D2A0581">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775" w:type="dxa"/>
            <w:tcBorders>
              <w:top w:val="single" w:color="auto" w:sz="4" w:space="0"/>
              <w:left w:val="nil"/>
              <w:bottom w:val="single" w:color="auto" w:sz="4" w:space="0"/>
              <w:right w:val="single" w:color="auto" w:sz="4" w:space="0"/>
            </w:tcBorders>
            <w:shd w:val="clear" w:color="auto" w:fill="auto"/>
            <w:noWrap/>
            <w:vAlign w:val="center"/>
          </w:tcPr>
          <w:p w14:paraId="26DAC956">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334" w:type="dxa"/>
            <w:tcBorders>
              <w:top w:val="single" w:color="auto" w:sz="4" w:space="0"/>
              <w:left w:val="nil"/>
              <w:bottom w:val="single" w:color="auto" w:sz="4" w:space="0"/>
              <w:right w:val="single" w:color="auto" w:sz="4" w:space="0"/>
            </w:tcBorders>
            <w:shd w:val="clear" w:color="auto" w:fill="auto"/>
            <w:noWrap/>
            <w:vAlign w:val="center"/>
          </w:tcPr>
          <w:p w14:paraId="2FEC2A7E">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2696" w:type="dxa"/>
            <w:tcBorders>
              <w:top w:val="single" w:color="auto" w:sz="4" w:space="0"/>
              <w:left w:val="nil"/>
              <w:bottom w:val="single" w:color="auto" w:sz="4" w:space="0"/>
              <w:right w:val="single" w:color="auto" w:sz="4" w:space="0"/>
            </w:tcBorders>
            <w:shd w:val="clear" w:color="auto" w:fill="auto"/>
            <w:noWrap/>
            <w:vAlign w:val="center"/>
          </w:tcPr>
          <w:p w14:paraId="363D0CEB">
            <w:pPr>
              <w:keepNext w:val="0"/>
              <w:keepLines w:val="0"/>
              <w:widowControl/>
              <w:suppressLineNumbers w:val="0"/>
              <w:jc w:val="right"/>
              <w:textAlignment w:val="center"/>
              <w:rPr>
                <w:rFonts w:hint="eastAsia" w:ascii="仿宋_GB2312" w:hAnsi="仿宋_GB2312" w:eastAsia="仿宋_GB2312" w:cs="仿宋_GB2312"/>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r>
    </w:tbl>
    <w:p w14:paraId="37954D62">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BE5A173">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279502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F8A4E12">
      <w:pPr>
        <w:pStyle w:val="2"/>
        <w:rPr>
          <w:rFonts w:ascii="Times New Roman" w:hAnsi="Times New Roman" w:eastAsia="黑体" w:cs="Times New Roman"/>
          <w:color w:val="000000"/>
          <w:kern w:val="0"/>
          <w:sz w:val="32"/>
          <w:szCs w:val="32"/>
          <w:lang w:bidi="ar"/>
        </w:rPr>
      </w:pPr>
    </w:p>
    <w:p w14:paraId="72E06282">
      <w:pPr>
        <w:pStyle w:val="3"/>
        <w:rPr>
          <w:rFonts w:ascii="Times New Roman" w:hAnsi="Times New Roman" w:eastAsia="黑体" w:cs="Times New Roman"/>
          <w:color w:val="000000"/>
          <w:kern w:val="0"/>
          <w:sz w:val="32"/>
          <w:szCs w:val="32"/>
          <w:lang w:bidi="ar"/>
        </w:rPr>
      </w:pPr>
    </w:p>
    <w:p w14:paraId="1A76E7DB">
      <w:pPr>
        <w:rPr>
          <w:rFonts w:ascii="Times New Roman" w:hAnsi="Times New Roman" w:eastAsia="黑体" w:cs="Times New Roman"/>
          <w:color w:val="000000"/>
          <w:kern w:val="0"/>
          <w:sz w:val="32"/>
          <w:szCs w:val="32"/>
          <w:lang w:bidi="ar"/>
        </w:rPr>
      </w:pPr>
    </w:p>
    <w:p w14:paraId="24641601">
      <w:pPr>
        <w:pStyle w:val="2"/>
        <w:rPr>
          <w:rFonts w:ascii="Times New Roman" w:hAnsi="Times New Roman" w:eastAsia="黑体" w:cs="Times New Roman"/>
          <w:color w:val="000000"/>
          <w:kern w:val="0"/>
          <w:sz w:val="32"/>
          <w:szCs w:val="32"/>
          <w:lang w:bidi="ar"/>
        </w:rPr>
      </w:pPr>
    </w:p>
    <w:p w14:paraId="72D977B7">
      <w:pPr>
        <w:pStyle w:val="3"/>
        <w:rPr>
          <w:rFonts w:ascii="Times New Roman" w:hAnsi="Times New Roman" w:eastAsia="黑体" w:cs="Times New Roman"/>
          <w:color w:val="000000"/>
          <w:kern w:val="0"/>
          <w:sz w:val="32"/>
          <w:szCs w:val="32"/>
          <w:lang w:bidi="ar"/>
        </w:rPr>
      </w:pPr>
    </w:p>
    <w:p w14:paraId="5206BEA6">
      <w:pPr>
        <w:rPr>
          <w:rFonts w:ascii="Times New Roman" w:hAnsi="Times New Roman" w:eastAsia="黑体" w:cs="Times New Roman"/>
          <w:color w:val="000000"/>
          <w:kern w:val="0"/>
          <w:sz w:val="32"/>
          <w:szCs w:val="32"/>
          <w:lang w:bidi="ar"/>
        </w:rPr>
      </w:pPr>
    </w:p>
    <w:p w14:paraId="5928245C">
      <w:pPr>
        <w:pStyle w:val="2"/>
        <w:rPr>
          <w:rFonts w:ascii="Times New Roman" w:hAnsi="Times New Roman" w:eastAsia="黑体" w:cs="Times New Roman"/>
          <w:color w:val="000000"/>
          <w:kern w:val="0"/>
          <w:sz w:val="32"/>
          <w:szCs w:val="32"/>
          <w:lang w:bidi="ar"/>
        </w:rPr>
      </w:pPr>
    </w:p>
    <w:p w14:paraId="7723172D">
      <w:pPr>
        <w:pStyle w:val="3"/>
      </w:pPr>
    </w:p>
    <w:p w14:paraId="1BB52379">
      <w:pPr>
        <w:widowControl/>
        <w:jc w:val="center"/>
        <w:textAlignment w:val="center"/>
        <w:rPr>
          <w:rFonts w:ascii="Times New Roman" w:hAnsi="Times New Roman" w:eastAsia="黑体" w:cs="Times New Roman"/>
          <w:color w:val="000000"/>
          <w:kern w:val="0"/>
          <w:sz w:val="32"/>
          <w:szCs w:val="32"/>
          <w:lang w:bidi="ar"/>
        </w:rPr>
      </w:pPr>
    </w:p>
    <w:p w14:paraId="417FED99">
      <w:pPr>
        <w:pStyle w:val="2"/>
        <w:rPr>
          <w:rFonts w:ascii="Times New Roman" w:hAnsi="Times New Roman" w:eastAsia="黑体" w:cs="Times New Roman"/>
          <w:color w:val="000000"/>
          <w:kern w:val="0"/>
          <w:sz w:val="32"/>
          <w:szCs w:val="32"/>
          <w:lang w:bidi="ar"/>
        </w:rPr>
      </w:pPr>
    </w:p>
    <w:p w14:paraId="052AE600">
      <w:pPr>
        <w:pStyle w:val="3"/>
        <w:rPr>
          <w:rFonts w:ascii="Times New Roman" w:hAnsi="Times New Roman" w:eastAsia="黑体" w:cs="Times New Roman"/>
          <w:color w:val="000000"/>
          <w:kern w:val="0"/>
          <w:sz w:val="32"/>
          <w:szCs w:val="32"/>
          <w:lang w:bidi="ar"/>
        </w:rPr>
      </w:pPr>
    </w:p>
    <w:p w14:paraId="0B987C51">
      <w:pPr>
        <w:rPr>
          <w:rFonts w:ascii="Times New Roman" w:hAnsi="Times New Roman" w:eastAsia="黑体" w:cs="Times New Roman"/>
          <w:color w:val="000000"/>
          <w:kern w:val="0"/>
          <w:sz w:val="32"/>
          <w:szCs w:val="32"/>
          <w:lang w:bidi="ar"/>
        </w:rPr>
      </w:pPr>
    </w:p>
    <w:p w14:paraId="5B6DA398">
      <w:pPr>
        <w:pStyle w:val="2"/>
        <w:rPr>
          <w:rFonts w:ascii="Times New Roman" w:hAnsi="Times New Roman" w:eastAsia="黑体" w:cs="Times New Roman"/>
          <w:color w:val="000000"/>
          <w:kern w:val="0"/>
          <w:sz w:val="32"/>
          <w:szCs w:val="32"/>
          <w:lang w:bidi="ar"/>
        </w:rPr>
      </w:pPr>
    </w:p>
    <w:p w14:paraId="49D0B489">
      <w:pPr>
        <w:pStyle w:val="2"/>
      </w:pPr>
    </w:p>
    <w:p w14:paraId="6A2F397B">
      <w:pPr>
        <w:pStyle w:val="3"/>
        <w:keepNext w:val="0"/>
        <w:keepLines w:val="0"/>
        <w:pageBreakBefore w:val="0"/>
        <w:widowControl/>
        <w:kinsoku/>
        <w:wordWrap/>
        <w:overflowPunct/>
        <w:topLinePunct w:val="0"/>
        <w:autoSpaceDE/>
        <w:autoSpaceDN/>
        <w:bidi w:val="0"/>
        <w:adjustRightInd/>
        <w:snapToGrid/>
        <w:spacing w:line="400" w:lineRule="exact"/>
        <w:textAlignment w:val="auto"/>
      </w:pPr>
    </w:p>
    <w:p w14:paraId="0C8559E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E7D2F5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仿宋_GB2312" w:hAnsi="仿宋_GB2312" w:eastAsia="仿宋_GB2312" w:cs="仿宋_GB2312"/>
          <w:color w:val="000000"/>
          <w:kern w:val="0"/>
          <w:sz w:val="20"/>
          <w:szCs w:val="20"/>
        </w:rPr>
        <w:t>公开04表</w:t>
      </w:r>
    </w:p>
    <w:p w14:paraId="65B6C58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怀化市机关事务管理局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380" w:type="dxa"/>
        <w:jc w:val="center"/>
        <w:tblLayout w:type="fixed"/>
        <w:tblCellMar>
          <w:top w:w="0" w:type="dxa"/>
          <w:left w:w="108" w:type="dxa"/>
          <w:bottom w:w="0" w:type="dxa"/>
          <w:right w:w="108" w:type="dxa"/>
        </w:tblCellMar>
      </w:tblPr>
      <w:tblGrid>
        <w:gridCol w:w="3446"/>
        <w:gridCol w:w="608"/>
        <w:gridCol w:w="1050"/>
        <w:gridCol w:w="2402"/>
        <w:gridCol w:w="608"/>
        <w:gridCol w:w="1214"/>
        <w:gridCol w:w="1463"/>
        <w:gridCol w:w="1730"/>
        <w:gridCol w:w="1859"/>
      </w:tblGrid>
      <w:tr w14:paraId="31A8023D">
        <w:trPr>
          <w:trHeight w:val="402" w:hRule="atLeast"/>
          <w:jc w:val="center"/>
        </w:trPr>
        <w:tc>
          <w:tcPr>
            <w:tcW w:w="5104"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04BE2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76" w:type="dxa"/>
            <w:gridSpan w:val="6"/>
            <w:tcBorders>
              <w:top w:val="single" w:color="auto" w:sz="4" w:space="0"/>
              <w:left w:val="nil"/>
              <w:bottom w:val="single" w:color="auto" w:sz="4" w:space="0"/>
              <w:right w:val="single" w:color="auto" w:sz="4" w:space="0"/>
            </w:tcBorders>
            <w:shd w:val="clear" w:color="000000" w:fill="FFFFFF"/>
            <w:noWrap/>
            <w:vAlign w:val="center"/>
          </w:tcPr>
          <w:p w14:paraId="4F91425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CD6ED5E">
        <w:trPr>
          <w:trHeight w:val="630"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53FEA1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08" w:type="dxa"/>
            <w:tcBorders>
              <w:top w:val="nil"/>
              <w:left w:val="nil"/>
              <w:bottom w:val="single" w:color="auto" w:sz="4" w:space="0"/>
              <w:right w:val="single" w:color="auto" w:sz="4" w:space="0"/>
            </w:tcBorders>
            <w:shd w:val="clear" w:color="auto" w:fill="auto"/>
            <w:noWrap/>
            <w:vAlign w:val="center"/>
          </w:tcPr>
          <w:p w14:paraId="296C87B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50" w:type="dxa"/>
            <w:tcBorders>
              <w:top w:val="nil"/>
              <w:left w:val="nil"/>
              <w:bottom w:val="single" w:color="auto" w:sz="4" w:space="0"/>
              <w:right w:val="single" w:color="auto" w:sz="4" w:space="0"/>
            </w:tcBorders>
            <w:shd w:val="clear" w:color="auto" w:fill="auto"/>
            <w:noWrap/>
            <w:vAlign w:val="center"/>
          </w:tcPr>
          <w:p w14:paraId="3E1590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402" w:type="dxa"/>
            <w:tcBorders>
              <w:top w:val="nil"/>
              <w:left w:val="nil"/>
              <w:bottom w:val="single" w:color="auto" w:sz="4" w:space="0"/>
              <w:right w:val="single" w:color="auto" w:sz="4" w:space="0"/>
            </w:tcBorders>
            <w:shd w:val="clear" w:color="auto" w:fill="auto"/>
            <w:noWrap/>
            <w:vAlign w:val="center"/>
          </w:tcPr>
          <w:p w14:paraId="785F74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08" w:type="dxa"/>
            <w:tcBorders>
              <w:top w:val="nil"/>
              <w:left w:val="nil"/>
              <w:bottom w:val="single" w:color="auto" w:sz="4" w:space="0"/>
              <w:right w:val="single" w:color="auto" w:sz="4" w:space="0"/>
            </w:tcBorders>
            <w:shd w:val="clear" w:color="auto" w:fill="auto"/>
            <w:noWrap/>
            <w:vAlign w:val="center"/>
          </w:tcPr>
          <w:p w14:paraId="5E7516B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14" w:type="dxa"/>
            <w:tcBorders>
              <w:top w:val="nil"/>
              <w:left w:val="nil"/>
              <w:bottom w:val="single" w:color="auto" w:sz="4" w:space="0"/>
              <w:right w:val="single" w:color="auto" w:sz="4" w:space="0"/>
            </w:tcBorders>
            <w:shd w:val="clear" w:color="auto" w:fill="auto"/>
            <w:noWrap/>
            <w:vAlign w:val="center"/>
          </w:tcPr>
          <w:p w14:paraId="6DF6B6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63" w:type="dxa"/>
            <w:tcBorders>
              <w:top w:val="nil"/>
              <w:left w:val="nil"/>
              <w:bottom w:val="single" w:color="auto" w:sz="4" w:space="0"/>
              <w:right w:val="single" w:color="auto" w:sz="4" w:space="0"/>
            </w:tcBorders>
            <w:shd w:val="clear" w:color="auto" w:fill="auto"/>
            <w:vAlign w:val="center"/>
          </w:tcPr>
          <w:p w14:paraId="39F3BC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30" w:type="dxa"/>
            <w:tcBorders>
              <w:top w:val="nil"/>
              <w:left w:val="nil"/>
              <w:bottom w:val="single" w:color="auto" w:sz="4" w:space="0"/>
              <w:right w:val="single" w:color="auto" w:sz="4" w:space="0"/>
            </w:tcBorders>
            <w:shd w:val="clear" w:color="auto" w:fill="auto"/>
            <w:vAlign w:val="center"/>
          </w:tcPr>
          <w:p w14:paraId="661FBDA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859" w:type="dxa"/>
            <w:tcBorders>
              <w:top w:val="nil"/>
              <w:left w:val="nil"/>
              <w:bottom w:val="single" w:color="auto" w:sz="4" w:space="0"/>
              <w:right w:val="single" w:color="auto" w:sz="4" w:space="0"/>
            </w:tcBorders>
            <w:shd w:val="clear" w:color="auto" w:fill="auto"/>
            <w:vAlign w:val="center"/>
          </w:tcPr>
          <w:p w14:paraId="60BFFC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21119FF">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6D1B95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08" w:type="dxa"/>
            <w:tcBorders>
              <w:top w:val="nil"/>
              <w:left w:val="nil"/>
              <w:bottom w:val="single" w:color="auto" w:sz="4" w:space="0"/>
              <w:right w:val="single" w:color="auto" w:sz="4" w:space="0"/>
            </w:tcBorders>
            <w:shd w:val="clear" w:color="auto" w:fill="auto"/>
            <w:noWrap/>
            <w:vAlign w:val="center"/>
          </w:tcPr>
          <w:p w14:paraId="686E917B">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050" w:type="dxa"/>
            <w:tcBorders>
              <w:top w:val="nil"/>
              <w:left w:val="nil"/>
              <w:bottom w:val="single" w:color="auto" w:sz="4" w:space="0"/>
              <w:right w:val="single" w:color="auto" w:sz="4" w:space="0"/>
            </w:tcBorders>
            <w:shd w:val="clear" w:color="auto" w:fill="auto"/>
            <w:noWrap/>
            <w:vAlign w:val="center"/>
          </w:tcPr>
          <w:p w14:paraId="4C81CBC1">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2402" w:type="dxa"/>
            <w:tcBorders>
              <w:top w:val="nil"/>
              <w:left w:val="nil"/>
              <w:bottom w:val="single" w:color="auto" w:sz="4" w:space="0"/>
              <w:right w:val="single" w:color="auto" w:sz="4" w:space="0"/>
            </w:tcBorders>
            <w:shd w:val="clear" w:color="auto" w:fill="auto"/>
            <w:noWrap/>
            <w:vAlign w:val="center"/>
          </w:tcPr>
          <w:p w14:paraId="79659606">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栏    次</w:t>
            </w:r>
          </w:p>
        </w:tc>
        <w:tc>
          <w:tcPr>
            <w:tcW w:w="608" w:type="dxa"/>
            <w:tcBorders>
              <w:top w:val="nil"/>
              <w:left w:val="nil"/>
              <w:bottom w:val="single" w:color="auto" w:sz="4" w:space="0"/>
              <w:right w:val="single" w:color="auto" w:sz="4" w:space="0"/>
            </w:tcBorders>
            <w:shd w:val="clear" w:color="auto" w:fill="auto"/>
            <w:noWrap/>
            <w:vAlign w:val="center"/>
          </w:tcPr>
          <w:p w14:paraId="08EDEBE8">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w:t>
            </w:r>
          </w:p>
        </w:tc>
        <w:tc>
          <w:tcPr>
            <w:tcW w:w="1214" w:type="dxa"/>
            <w:tcBorders>
              <w:top w:val="nil"/>
              <w:left w:val="nil"/>
              <w:bottom w:val="single" w:color="auto" w:sz="4" w:space="0"/>
              <w:right w:val="single" w:color="auto" w:sz="4" w:space="0"/>
            </w:tcBorders>
            <w:shd w:val="clear" w:color="auto" w:fill="auto"/>
            <w:noWrap/>
            <w:vAlign w:val="center"/>
          </w:tcPr>
          <w:p w14:paraId="78C6BF8C">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1463" w:type="dxa"/>
            <w:tcBorders>
              <w:top w:val="nil"/>
              <w:left w:val="nil"/>
              <w:bottom w:val="single" w:color="auto" w:sz="4" w:space="0"/>
              <w:right w:val="single" w:color="auto" w:sz="4" w:space="0"/>
            </w:tcBorders>
            <w:shd w:val="clear" w:color="auto" w:fill="auto"/>
            <w:noWrap/>
            <w:vAlign w:val="center"/>
          </w:tcPr>
          <w:p w14:paraId="27705FCF">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1730" w:type="dxa"/>
            <w:tcBorders>
              <w:top w:val="nil"/>
              <w:left w:val="nil"/>
              <w:bottom w:val="single" w:color="auto" w:sz="4" w:space="0"/>
              <w:right w:val="single" w:color="auto" w:sz="4" w:space="0"/>
            </w:tcBorders>
            <w:shd w:val="clear" w:color="auto" w:fill="auto"/>
            <w:noWrap/>
            <w:vAlign w:val="center"/>
          </w:tcPr>
          <w:p w14:paraId="1B39519B">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1859" w:type="dxa"/>
            <w:tcBorders>
              <w:top w:val="nil"/>
              <w:left w:val="nil"/>
              <w:bottom w:val="single" w:color="auto" w:sz="4" w:space="0"/>
              <w:right w:val="single" w:color="auto" w:sz="4" w:space="0"/>
            </w:tcBorders>
            <w:shd w:val="clear" w:color="auto" w:fill="auto"/>
            <w:noWrap/>
            <w:vAlign w:val="center"/>
          </w:tcPr>
          <w:p w14:paraId="0B80705E">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r>
      <w:tr w14:paraId="106DAF77">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198F2B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08" w:type="dxa"/>
            <w:tcBorders>
              <w:top w:val="nil"/>
              <w:left w:val="nil"/>
              <w:bottom w:val="single" w:color="auto" w:sz="4" w:space="0"/>
              <w:right w:val="single" w:color="auto" w:sz="4" w:space="0"/>
            </w:tcBorders>
            <w:shd w:val="clear" w:color="auto" w:fill="auto"/>
            <w:noWrap/>
            <w:vAlign w:val="center"/>
          </w:tcPr>
          <w:p w14:paraId="17834D93">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1</w:t>
            </w:r>
          </w:p>
        </w:tc>
        <w:tc>
          <w:tcPr>
            <w:tcW w:w="1050" w:type="dxa"/>
            <w:tcBorders>
              <w:top w:val="nil"/>
              <w:left w:val="nil"/>
              <w:bottom w:val="single" w:color="auto" w:sz="4" w:space="0"/>
              <w:right w:val="single" w:color="auto" w:sz="4" w:space="0"/>
            </w:tcBorders>
            <w:shd w:val="clear" w:color="auto" w:fill="auto"/>
            <w:noWrap/>
            <w:vAlign w:val="center"/>
          </w:tcPr>
          <w:p w14:paraId="0C1E83C7">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3916.33　</w:t>
            </w:r>
          </w:p>
        </w:tc>
        <w:tc>
          <w:tcPr>
            <w:tcW w:w="2402" w:type="dxa"/>
            <w:tcBorders>
              <w:top w:val="nil"/>
              <w:left w:val="nil"/>
              <w:bottom w:val="single" w:color="auto" w:sz="4" w:space="0"/>
              <w:right w:val="single" w:color="auto" w:sz="4" w:space="0"/>
            </w:tcBorders>
            <w:shd w:val="clear" w:color="auto" w:fill="auto"/>
            <w:noWrap/>
            <w:vAlign w:val="center"/>
          </w:tcPr>
          <w:p w14:paraId="60028F20">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一、一般公共服务支出</w:t>
            </w:r>
          </w:p>
        </w:tc>
        <w:tc>
          <w:tcPr>
            <w:tcW w:w="608" w:type="dxa"/>
            <w:tcBorders>
              <w:top w:val="nil"/>
              <w:left w:val="nil"/>
              <w:bottom w:val="single" w:color="auto" w:sz="4" w:space="0"/>
              <w:right w:val="single" w:color="auto" w:sz="4" w:space="0"/>
            </w:tcBorders>
            <w:shd w:val="clear" w:color="auto" w:fill="auto"/>
            <w:noWrap/>
            <w:vAlign w:val="center"/>
          </w:tcPr>
          <w:p w14:paraId="5256FE7F">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19</w:t>
            </w:r>
          </w:p>
        </w:tc>
        <w:tc>
          <w:tcPr>
            <w:tcW w:w="1214" w:type="dxa"/>
            <w:tcBorders>
              <w:top w:val="nil"/>
              <w:left w:val="nil"/>
              <w:bottom w:val="single" w:color="auto" w:sz="4" w:space="0"/>
              <w:right w:val="single" w:color="auto" w:sz="4" w:space="0"/>
            </w:tcBorders>
            <w:shd w:val="clear" w:color="auto" w:fill="auto"/>
            <w:noWrap/>
            <w:vAlign w:val="center"/>
          </w:tcPr>
          <w:p w14:paraId="6ED972CD">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3571.34</w:t>
            </w:r>
          </w:p>
        </w:tc>
        <w:tc>
          <w:tcPr>
            <w:tcW w:w="1463" w:type="dxa"/>
            <w:tcBorders>
              <w:top w:val="nil"/>
              <w:left w:val="nil"/>
              <w:bottom w:val="single" w:color="auto" w:sz="4" w:space="0"/>
              <w:right w:val="single" w:color="auto" w:sz="4" w:space="0"/>
            </w:tcBorders>
            <w:shd w:val="clear" w:color="auto" w:fill="auto"/>
            <w:noWrap/>
            <w:vAlign w:val="center"/>
          </w:tcPr>
          <w:p w14:paraId="3B29286D">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3571.34</w:t>
            </w:r>
          </w:p>
        </w:tc>
        <w:tc>
          <w:tcPr>
            <w:tcW w:w="1730" w:type="dxa"/>
            <w:tcBorders>
              <w:top w:val="nil"/>
              <w:left w:val="nil"/>
              <w:bottom w:val="single" w:color="auto" w:sz="4" w:space="0"/>
              <w:right w:val="single" w:color="auto" w:sz="4" w:space="0"/>
            </w:tcBorders>
            <w:shd w:val="clear" w:color="auto" w:fill="auto"/>
            <w:noWrap/>
            <w:vAlign w:val="center"/>
          </w:tcPr>
          <w:p w14:paraId="6D583A75">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5058D320">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r>
      <w:tr w14:paraId="5133001B">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7E3276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08" w:type="dxa"/>
            <w:tcBorders>
              <w:top w:val="nil"/>
              <w:left w:val="nil"/>
              <w:bottom w:val="single" w:color="auto" w:sz="4" w:space="0"/>
              <w:right w:val="single" w:color="auto" w:sz="4" w:space="0"/>
            </w:tcBorders>
            <w:shd w:val="clear" w:color="auto" w:fill="auto"/>
            <w:noWrap/>
            <w:vAlign w:val="center"/>
          </w:tcPr>
          <w:p w14:paraId="7B54B479">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2</w:t>
            </w:r>
          </w:p>
        </w:tc>
        <w:tc>
          <w:tcPr>
            <w:tcW w:w="1050" w:type="dxa"/>
            <w:tcBorders>
              <w:top w:val="nil"/>
              <w:left w:val="nil"/>
              <w:bottom w:val="single" w:color="auto" w:sz="4" w:space="0"/>
              <w:right w:val="single" w:color="auto" w:sz="4" w:space="0"/>
            </w:tcBorders>
            <w:shd w:val="clear" w:color="auto" w:fill="auto"/>
            <w:noWrap/>
            <w:vAlign w:val="center"/>
          </w:tcPr>
          <w:p w14:paraId="648CFC82">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lang w:val="en-US" w:eastAsia="zh-CN"/>
              </w:rPr>
              <w:t>0.00</w:t>
            </w:r>
          </w:p>
        </w:tc>
        <w:tc>
          <w:tcPr>
            <w:tcW w:w="2402" w:type="dxa"/>
            <w:tcBorders>
              <w:top w:val="nil"/>
              <w:left w:val="nil"/>
              <w:bottom w:val="single" w:color="auto" w:sz="4" w:space="0"/>
              <w:right w:val="single" w:color="auto" w:sz="4" w:space="0"/>
            </w:tcBorders>
            <w:shd w:val="clear" w:color="auto" w:fill="auto"/>
            <w:noWrap/>
            <w:vAlign w:val="center"/>
          </w:tcPr>
          <w:p w14:paraId="02A361A1">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二、外交支出</w:t>
            </w:r>
          </w:p>
        </w:tc>
        <w:tc>
          <w:tcPr>
            <w:tcW w:w="608" w:type="dxa"/>
            <w:tcBorders>
              <w:top w:val="nil"/>
              <w:left w:val="nil"/>
              <w:bottom w:val="single" w:color="auto" w:sz="4" w:space="0"/>
              <w:right w:val="single" w:color="auto" w:sz="4" w:space="0"/>
            </w:tcBorders>
            <w:shd w:val="clear" w:color="auto" w:fill="auto"/>
            <w:noWrap/>
            <w:vAlign w:val="center"/>
          </w:tcPr>
          <w:p w14:paraId="1C7B4069">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20</w:t>
            </w:r>
          </w:p>
        </w:tc>
        <w:tc>
          <w:tcPr>
            <w:tcW w:w="1214" w:type="dxa"/>
            <w:tcBorders>
              <w:top w:val="nil"/>
              <w:left w:val="nil"/>
              <w:bottom w:val="single" w:color="auto" w:sz="4" w:space="0"/>
              <w:right w:val="single" w:color="auto" w:sz="4" w:space="0"/>
            </w:tcBorders>
            <w:shd w:val="clear" w:color="auto" w:fill="auto"/>
            <w:noWrap/>
            <w:vAlign w:val="center"/>
          </w:tcPr>
          <w:p w14:paraId="236ACF34">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463" w:type="dxa"/>
            <w:tcBorders>
              <w:top w:val="nil"/>
              <w:left w:val="nil"/>
              <w:bottom w:val="single" w:color="auto" w:sz="4" w:space="0"/>
              <w:right w:val="single" w:color="auto" w:sz="4" w:space="0"/>
            </w:tcBorders>
            <w:shd w:val="clear" w:color="auto" w:fill="auto"/>
            <w:noWrap/>
            <w:vAlign w:val="center"/>
          </w:tcPr>
          <w:p w14:paraId="44CAB22E">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730" w:type="dxa"/>
            <w:tcBorders>
              <w:top w:val="nil"/>
              <w:left w:val="nil"/>
              <w:bottom w:val="single" w:color="auto" w:sz="4" w:space="0"/>
              <w:right w:val="single" w:color="auto" w:sz="4" w:space="0"/>
            </w:tcBorders>
            <w:shd w:val="clear" w:color="auto" w:fill="auto"/>
            <w:noWrap/>
            <w:vAlign w:val="center"/>
          </w:tcPr>
          <w:p w14:paraId="41353664">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3BD50E16">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r>
      <w:tr w14:paraId="25E05597">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2BF173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08" w:type="dxa"/>
            <w:tcBorders>
              <w:top w:val="nil"/>
              <w:left w:val="nil"/>
              <w:bottom w:val="single" w:color="auto" w:sz="4" w:space="0"/>
              <w:right w:val="single" w:color="auto" w:sz="4" w:space="0"/>
            </w:tcBorders>
            <w:shd w:val="clear" w:color="auto" w:fill="auto"/>
            <w:noWrap/>
            <w:vAlign w:val="center"/>
          </w:tcPr>
          <w:p w14:paraId="1452F81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3</w:t>
            </w:r>
          </w:p>
        </w:tc>
        <w:tc>
          <w:tcPr>
            <w:tcW w:w="1050" w:type="dxa"/>
            <w:tcBorders>
              <w:top w:val="nil"/>
              <w:left w:val="nil"/>
              <w:bottom w:val="single" w:color="auto" w:sz="4" w:space="0"/>
              <w:right w:val="single" w:color="auto" w:sz="4" w:space="0"/>
            </w:tcBorders>
            <w:shd w:val="clear" w:color="auto" w:fill="auto"/>
            <w:noWrap/>
            <w:vAlign w:val="center"/>
          </w:tcPr>
          <w:p w14:paraId="5455D23C">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lang w:val="en-US" w:eastAsia="zh-CN"/>
              </w:rPr>
              <w:t>0.00</w:t>
            </w:r>
          </w:p>
        </w:tc>
        <w:tc>
          <w:tcPr>
            <w:tcW w:w="2402" w:type="dxa"/>
            <w:tcBorders>
              <w:top w:val="nil"/>
              <w:left w:val="nil"/>
              <w:bottom w:val="single" w:color="auto" w:sz="4" w:space="0"/>
              <w:right w:val="single" w:color="auto" w:sz="4" w:space="0"/>
            </w:tcBorders>
            <w:shd w:val="clear" w:color="auto" w:fill="auto"/>
            <w:noWrap/>
            <w:vAlign w:val="center"/>
          </w:tcPr>
          <w:p w14:paraId="39DE587A">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三、国防支出</w:t>
            </w:r>
          </w:p>
        </w:tc>
        <w:tc>
          <w:tcPr>
            <w:tcW w:w="608" w:type="dxa"/>
            <w:tcBorders>
              <w:top w:val="nil"/>
              <w:left w:val="nil"/>
              <w:bottom w:val="single" w:color="auto" w:sz="4" w:space="0"/>
              <w:right w:val="single" w:color="auto" w:sz="4" w:space="0"/>
            </w:tcBorders>
            <w:shd w:val="clear" w:color="auto" w:fill="auto"/>
            <w:noWrap/>
            <w:vAlign w:val="center"/>
          </w:tcPr>
          <w:p w14:paraId="326870CC">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21</w:t>
            </w:r>
          </w:p>
        </w:tc>
        <w:tc>
          <w:tcPr>
            <w:tcW w:w="1214" w:type="dxa"/>
            <w:tcBorders>
              <w:top w:val="nil"/>
              <w:left w:val="nil"/>
              <w:bottom w:val="single" w:color="auto" w:sz="4" w:space="0"/>
              <w:right w:val="single" w:color="auto" w:sz="4" w:space="0"/>
            </w:tcBorders>
            <w:shd w:val="clear" w:color="auto" w:fill="auto"/>
            <w:noWrap/>
            <w:vAlign w:val="center"/>
          </w:tcPr>
          <w:p w14:paraId="0C4309F2">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463" w:type="dxa"/>
            <w:tcBorders>
              <w:top w:val="nil"/>
              <w:left w:val="nil"/>
              <w:bottom w:val="single" w:color="auto" w:sz="4" w:space="0"/>
              <w:right w:val="single" w:color="auto" w:sz="4" w:space="0"/>
            </w:tcBorders>
            <w:shd w:val="clear" w:color="auto" w:fill="auto"/>
            <w:noWrap/>
            <w:vAlign w:val="center"/>
          </w:tcPr>
          <w:p w14:paraId="40103A96">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730" w:type="dxa"/>
            <w:tcBorders>
              <w:top w:val="nil"/>
              <w:left w:val="nil"/>
              <w:bottom w:val="single" w:color="auto" w:sz="4" w:space="0"/>
              <w:right w:val="single" w:color="auto" w:sz="4" w:space="0"/>
            </w:tcBorders>
            <w:shd w:val="clear" w:color="auto" w:fill="auto"/>
            <w:noWrap/>
            <w:vAlign w:val="center"/>
          </w:tcPr>
          <w:p w14:paraId="4254B243">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7966892E">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r>
      <w:tr w14:paraId="70C476F1">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3A42D6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8" w:type="dxa"/>
            <w:tcBorders>
              <w:top w:val="nil"/>
              <w:left w:val="nil"/>
              <w:bottom w:val="single" w:color="auto" w:sz="4" w:space="0"/>
              <w:right w:val="single" w:color="auto" w:sz="4" w:space="0"/>
            </w:tcBorders>
            <w:shd w:val="clear" w:color="auto" w:fill="auto"/>
            <w:noWrap/>
            <w:vAlign w:val="center"/>
          </w:tcPr>
          <w:p w14:paraId="3341544F">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4</w:t>
            </w:r>
          </w:p>
        </w:tc>
        <w:tc>
          <w:tcPr>
            <w:tcW w:w="1050" w:type="dxa"/>
            <w:tcBorders>
              <w:top w:val="nil"/>
              <w:left w:val="nil"/>
              <w:bottom w:val="single" w:color="auto" w:sz="4" w:space="0"/>
              <w:right w:val="single" w:color="auto" w:sz="4" w:space="0"/>
            </w:tcBorders>
            <w:shd w:val="clear" w:color="auto" w:fill="auto"/>
            <w:noWrap/>
            <w:vAlign w:val="center"/>
          </w:tcPr>
          <w:p w14:paraId="182649A0">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2402" w:type="dxa"/>
            <w:tcBorders>
              <w:top w:val="nil"/>
              <w:left w:val="nil"/>
              <w:bottom w:val="single" w:color="auto" w:sz="4" w:space="0"/>
              <w:right w:val="single" w:color="auto" w:sz="4" w:space="0"/>
            </w:tcBorders>
            <w:shd w:val="clear" w:color="auto" w:fill="auto"/>
            <w:noWrap/>
            <w:vAlign w:val="center"/>
          </w:tcPr>
          <w:p w14:paraId="1AB2685B">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四、公共安全支出</w:t>
            </w:r>
          </w:p>
        </w:tc>
        <w:tc>
          <w:tcPr>
            <w:tcW w:w="608" w:type="dxa"/>
            <w:tcBorders>
              <w:top w:val="nil"/>
              <w:left w:val="nil"/>
              <w:bottom w:val="single" w:color="auto" w:sz="4" w:space="0"/>
              <w:right w:val="single" w:color="auto" w:sz="4" w:space="0"/>
            </w:tcBorders>
            <w:shd w:val="clear" w:color="auto" w:fill="auto"/>
            <w:noWrap/>
            <w:vAlign w:val="center"/>
          </w:tcPr>
          <w:p w14:paraId="1826BE70">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22</w:t>
            </w:r>
          </w:p>
        </w:tc>
        <w:tc>
          <w:tcPr>
            <w:tcW w:w="1214" w:type="dxa"/>
            <w:tcBorders>
              <w:top w:val="nil"/>
              <w:left w:val="nil"/>
              <w:bottom w:val="single" w:color="auto" w:sz="4" w:space="0"/>
              <w:right w:val="single" w:color="auto" w:sz="4" w:space="0"/>
            </w:tcBorders>
            <w:shd w:val="clear" w:color="auto" w:fill="auto"/>
            <w:noWrap/>
            <w:vAlign w:val="center"/>
          </w:tcPr>
          <w:p w14:paraId="189F21E6">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463" w:type="dxa"/>
            <w:tcBorders>
              <w:top w:val="nil"/>
              <w:left w:val="nil"/>
              <w:bottom w:val="single" w:color="auto" w:sz="4" w:space="0"/>
              <w:right w:val="single" w:color="auto" w:sz="4" w:space="0"/>
            </w:tcBorders>
            <w:shd w:val="clear" w:color="auto" w:fill="auto"/>
            <w:noWrap/>
            <w:vAlign w:val="center"/>
          </w:tcPr>
          <w:p w14:paraId="38EB8234">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730" w:type="dxa"/>
            <w:tcBorders>
              <w:top w:val="nil"/>
              <w:left w:val="nil"/>
              <w:bottom w:val="single" w:color="auto" w:sz="4" w:space="0"/>
              <w:right w:val="single" w:color="auto" w:sz="4" w:space="0"/>
            </w:tcBorders>
            <w:shd w:val="clear" w:color="auto" w:fill="auto"/>
            <w:noWrap/>
            <w:vAlign w:val="center"/>
          </w:tcPr>
          <w:p w14:paraId="14A67926">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663DCECA">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r>
      <w:tr w14:paraId="6203E72B">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32C301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8" w:type="dxa"/>
            <w:tcBorders>
              <w:top w:val="nil"/>
              <w:left w:val="nil"/>
              <w:bottom w:val="single" w:color="auto" w:sz="4" w:space="0"/>
              <w:right w:val="single" w:color="auto" w:sz="4" w:space="0"/>
            </w:tcBorders>
            <w:shd w:val="clear" w:color="auto" w:fill="auto"/>
            <w:noWrap/>
            <w:vAlign w:val="center"/>
          </w:tcPr>
          <w:p w14:paraId="783B5647">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5</w:t>
            </w:r>
          </w:p>
        </w:tc>
        <w:tc>
          <w:tcPr>
            <w:tcW w:w="1050" w:type="dxa"/>
            <w:tcBorders>
              <w:top w:val="nil"/>
              <w:left w:val="nil"/>
              <w:bottom w:val="single" w:color="auto" w:sz="4" w:space="0"/>
              <w:right w:val="single" w:color="auto" w:sz="4" w:space="0"/>
            </w:tcBorders>
            <w:shd w:val="clear" w:color="auto" w:fill="auto"/>
            <w:noWrap/>
            <w:vAlign w:val="center"/>
          </w:tcPr>
          <w:p w14:paraId="677B0539">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2402" w:type="dxa"/>
            <w:tcBorders>
              <w:top w:val="nil"/>
              <w:left w:val="nil"/>
              <w:bottom w:val="single" w:color="auto" w:sz="4" w:space="0"/>
              <w:right w:val="single" w:color="auto" w:sz="4" w:space="0"/>
            </w:tcBorders>
            <w:shd w:val="clear" w:color="auto" w:fill="auto"/>
            <w:noWrap/>
            <w:vAlign w:val="center"/>
          </w:tcPr>
          <w:p w14:paraId="4331C326">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五、教育支出</w:t>
            </w:r>
          </w:p>
        </w:tc>
        <w:tc>
          <w:tcPr>
            <w:tcW w:w="608" w:type="dxa"/>
            <w:tcBorders>
              <w:top w:val="nil"/>
              <w:left w:val="nil"/>
              <w:bottom w:val="single" w:color="auto" w:sz="4" w:space="0"/>
              <w:right w:val="single" w:color="auto" w:sz="4" w:space="0"/>
            </w:tcBorders>
            <w:shd w:val="clear" w:color="auto" w:fill="auto"/>
            <w:noWrap/>
            <w:vAlign w:val="center"/>
          </w:tcPr>
          <w:p w14:paraId="1AB49894">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23</w:t>
            </w:r>
          </w:p>
        </w:tc>
        <w:tc>
          <w:tcPr>
            <w:tcW w:w="1214" w:type="dxa"/>
            <w:tcBorders>
              <w:top w:val="nil"/>
              <w:left w:val="nil"/>
              <w:bottom w:val="single" w:color="auto" w:sz="4" w:space="0"/>
              <w:right w:val="single" w:color="auto" w:sz="4" w:space="0"/>
            </w:tcBorders>
            <w:shd w:val="clear" w:color="auto" w:fill="auto"/>
            <w:noWrap/>
            <w:vAlign w:val="center"/>
          </w:tcPr>
          <w:p w14:paraId="40C4EA4E">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463" w:type="dxa"/>
            <w:tcBorders>
              <w:top w:val="nil"/>
              <w:left w:val="nil"/>
              <w:bottom w:val="single" w:color="auto" w:sz="4" w:space="0"/>
              <w:right w:val="single" w:color="auto" w:sz="4" w:space="0"/>
            </w:tcBorders>
            <w:shd w:val="clear" w:color="auto" w:fill="auto"/>
            <w:noWrap/>
            <w:vAlign w:val="center"/>
          </w:tcPr>
          <w:p w14:paraId="0953ED04">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730" w:type="dxa"/>
            <w:tcBorders>
              <w:top w:val="nil"/>
              <w:left w:val="nil"/>
              <w:bottom w:val="single" w:color="auto" w:sz="4" w:space="0"/>
              <w:right w:val="single" w:color="auto" w:sz="4" w:space="0"/>
            </w:tcBorders>
            <w:shd w:val="clear" w:color="auto" w:fill="auto"/>
            <w:noWrap/>
            <w:vAlign w:val="center"/>
          </w:tcPr>
          <w:p w14:paraId="58DB9081">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657E32EF">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r>
      <w:tr w14:paraId="45D6355B">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7AD0B44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8" w:type="dxa"/>
            <w:tcBorders>
              <w:top w:val="nil"/>
              <w:left w:val="nil"/>
              <w:bottom w:val="single" w:color="auto" w:sz="4" w:space="0"/>
              <w:right w:val="single" w:color="auto" w:sz="4" w:space="0"/>
            </w:tcBorders>
            <w:shd w:val="clear" w:color="auto" w:fill="auto"/>
            <w:noWrap/>
            <w:vAlign w:val="center"/>
          </w:tcPr>
          <w:p w14:paraId="6F9E4492">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6</w:t>
            </w:r>
          </w:p>
        </w:tc>
        <w:tc>
          <w:tcPr>
            <w:tcW w:w="1050" w:type="dxa"/>
            <w:tcBorders>
              <w:top w:val="nil"/>
              <w:left w:val="nil"/>
              <w:bottom w:val="single" w:color="auto" w:sz="4" w:space="0"/>
              <w:right w:val="single" w:color="auto" w:sz="4" w:space="0"/>
            </w:tcBorders>
            <w:shd w:val="clear" w:color="auto" w:fill="auto"/>
            <w:noWrap/>
            <w:vAlign w:val="center"/>
          </w:tcPr>
          <w:p w14:paraId="5BE9B828">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2402" w:type="dxa"/>
            <w:tcBorders>
              <w:top w:val="nil"/>
              <w:left w:val="nil"/>
              <w:bottom w:val="single" w:color="auto" w:sz="4" w:space="0"/>
              <w:right w:val="single" w:color="auto" w:sz="4" w:space="0"/>
            </w:tcBorders>
            <w:shd w:val="clear" w:color="auto" w:fill="auto"/>
            <w:noWrap/>
            <w:vAlign w:val="center"/>
          </w:tcPr>
          <w:p w14:paraId="2951AE53">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六、科学技术支出</w:t>
            </w:r>
          </w:p>
        </w:tc>
        <w:tc>
          <w:tcPr>
            <w:tcW w:w="608" w:type="dxa"/>
            <w:tcBorders>
              <w:top w:val="nil"/>
              <w:left w:val="nil"/>
              <w:bottom w:val="single" w:color="auto" w:sz="4" w:space="0"/>
              <w:right w:val="single" w:color="auto" w:sz="4" w:space="0"/>
            </w:tcBorders>
            <w:shd w:val="clear" w:color="auto" w:fill="auto"/>
            <w:noWrap/>
            <w:vAlign w:val="center"/>
          </w:tcPr>
          <w:p w14:paraId="6372E2AF">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24</w:t>
            </w:r>
          </w:p>
        </w:tc>
        <w:tc>
          <w:tcPr>
            <w:tcW w:w="1214" w:type="dxa"/>
            <w:tcBorders>
              <w:top w:val="nil"/>
              <w:left w:val="nil"/>
              <w:bottom w:val="single" w:color="auto" w:sz="4" w:space="0"/>
              <w:right w:val="single" w:color="auto" w:sz="4" w:space="0"/>
            </w:tcBorders>
            <w:shd w:val="clear" w:color="auto" w:fill="auto"/>
            <w:noWrap/>
            <w:vAlign w:val="center"/>
          </w:tcPr>
          <w:p w14:paraId="3630EA65">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463" w:type="dxa"/>
            <w:tcBorders>
              <w:top w:val="nil"/>
              <w:left w:val="nil"/>
              <w:bottom w:val="single" w:color="auto" w:sz="4" w:space="0"/>
              <w:right w:val="single" w:color="auto" w:sz="4" w:space="0"/>
            </w:tcBorders>
            <w:shd w:val="clear" w:color="auto" w:fill="auto"/>
            <w:noWrap/>
            <w:vAlign w:val="center"/>
          </w:tcPr>
          <w:p w14:paraId="2B66B687">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730" w:type="dxa"/>
            <w:tcBorders>
              <w:top w:val="nil"/>
              <w:left w:val="nil"/>
              <w:bottom w:val="single" w:color="auto" w:sz="4" w:space="0"/>
              <w:right w:val="single" w:color="auto" w:sz="4" w:space="0"/>
            </w:tcBorders>
            <w:shd w:val="clear" w:color="auto" w:fill="auto"/>
            <w:noWrap/>
            <w:vAlign w:val="center"/>
          </w:tcPr>
          <w:p w14:paraId="467A46CA">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26312D1E">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r>
      <w:tr w14:paraId="47CEC682">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35F489E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8" w:type="dxa"/>
            <w:tcBorders>
              <w:top w:val="nil"/>
              <w:left w:val="nil"/>
              <w:bottom w:val="single" w:color="auto" w:sz="4" w:space="0"/>
              <w:right w:val="single" w:color="auto" w:sz="4" w:space="0"/>
            </w:tcBorders>
            <w:shd w:val="clear" w:color="auto" w:fill="auto"/>
            <w:noWrap/>
            <w:vAlign w:val="center"/>
          </w:tcPr>
          <w:p w14:paraId="2FC6C00C">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7</w:t>
            </w:r>
          </w:p>
        </w:tc>
        <w:tc>
          <w:tcPr>
            <w:tcW w:w="1050" w:type="dxa"/>
            <w:tcBorders>
              <w:top w:val="nil"/>
              <w:left w:val="nil"/>
              <w:bottom w:val="single" w:color="auto" w:sz="4" w:space="0"/>
              <w:right w:val="single" w:color="auto" w:sz="4" w:space="0"/>
            </w:tcBorders>
            <w:shd w:val="clear" w:color="auto" w:fill="auto"/>
            <w:noWrap/>
            <w:vAlign w:val="center"/>
          </w:tcPr>
          <w:p w14:paraId="3AE8A501">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2402" w:type="dxa"/>
            <w:tcBorders>
              <w:top w:val="nil"/>
              <w:left w:val="nil"/>
              <w:bottom w:val="single" w:color="auto" w:sz="4" w:space="0"/>
              <w:right w:val="single" w:color="auto" w:sz="4" w:space="0"/>
            </w:tcBorders>
            <w:shd w:val="clear" w:color="auto" w:fill="auto"/>
            <w:noWrap/>
            <w:vAlign w:val="center"/>
          </w:tcPr>
          <w:p w14:paraId="58A7F501">
            <w:pPr>
              <w:widowControl/>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七、文化旅游体育与传媒支出</w:t>
            </w:r>
          </w:p>
        </w:tc>
        <w:tc>
          <w:tcPr>
            <w:tcW w:w="608" w:type="dxa"/>
            <w:tcBorders>
              <w:top w:val="nil"/>
              <w:left w:val="nil"/>
              <w:bottom w:val="single" w:color="auto" w:sz="4" w:space="0"/>
              <w:right w:val="single" w:color="auto" w:sz="4" w:space="0"/>
            </w:tcBorders>
            <w:shd w:val="clear" w:color="auto" w:fill="auto"/>
            <w:noWrap/>
            <w:vAlign w:val="center"/>
          </w:tcPr>
          <w:p w14:paraId="1AD3AC62">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25</w:t>
            </w:r>
          </w:p>
        </w:tc>
        <w:tc>
          <w:tcPr>
            <w:tcW w:w="1214" w:type="dxa"/>
            <w:tcBorders>
              <w:top w:val="nil"/>
              <w:left w:val="nil"/>
              <w:bottom w:val="single" w:color="auto" w:sz="4" w:space="0"/>
              <w:right w:val="single" w:color="auto" w:sz="4" w:space="0"/>
            </w:tcBorders>
            <w:shd w:val="clear" w:color="auto" w:fill="auto"/>
            <w:noWrap/>
            <w:vAlign w:val="center"/>
          </w:tcPr>
          <w:p w14:paraId="5ACB4BFC">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default" w:ascii="仿宋_GB2312" w:hAnsi="仿宋_GB2312" w:eastAsia="仿宋_GB2312" w:cs="仿宋_GB2312"/>
                <w:i w:val="0"/>
                <w:color w:val="000000"/>
                <w:kern w:val="0"/>
                <w:sz w:val="22"/>
                <w:szCs w:val="22"/>
                <w:u w:val="none"/>
                <w:lang w:eastAsia="zh-CN" w:bidi="ar"/>
              </w:rPr>
              <w:t>60.00</w:t>
            </w:r>
            <w:r>
              <w:rPr>
                <w:rFonts w:hint="eastAsia" w:ascii="仿宋_GB2312" w:hAnsi="仿宋_GB2312" w:eastAsia="仿宋_GB2312" w:cs="仿宋_GB2312"/>
                <w:i w:val="0"/>
                <w:color w:val="000000"/>
                <w:kern w:val="0"/>
                <w:sz w:val="22"/>
                <w:szCs w:val="22"/>
                <w:u w:val="none"/>
                <w:lang w:val="en-US" w:eastAsia="zh-CN" w:bidi="ar"/>
              </w:rPr>
              <w:t>　</w:t>
            </w:r>
          </w:p>
        </w:tc>
        <w:tc>
          <w:tcPr>
            <w:tcW w:w="1463" w:type="dxa"/>
            <w:tcBorders>
              <w:top w:val="nil"/>
              <w:left w:val="nil"/>
              <w:bottom w:val="single" w:color="auto" w:sz="4" w:space="0"/>
              <w:right w:val="single" w:color="auto" w:sz="4" w:space="0"/>
            </w:tcBorders>
            <w:shd w:val="clear" w:color="auto" w:fill="auto"/>
            <w:noWrap/>
            <w:vAlign w:val="center"/>
          </w:tcPr>
          <w:p w14:paraId="0C48B18C">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default" w:ascii="仿宋_GB2312" w:hAnsi="仿宋_GB2312" w:eastAsia="仿宋_GB2312" w:cs="仿宋_GB2312"/>
                <w:i w:val="0"/>
                <w:color w:val="000000"/>
                <w:kern w:val="0"/>
                <w:sz w:val="22"/>
                <w:szCs w:val="22"/>
                <w:u w:val="none"/>
                <w:lang w:eastAsia="zh-CN" w:bidi="ar"/>
              </w:rPr>
              <w:t>60.00</w:t>
            </w:r>
            <w:r>
              <w:rPr>
                <w:rFonts w:hint="eastAsia" w:ascii="仿宋_GB2312" w:hAnsi="仿宋_GB2312" w:eastAsia="仿宋_GB2312" w:cs="仿宋_GB2312"/>
                <w:i w:val="0"/>
                <w:color w:val="000000"/>
                <w:kern w:val="0"/>
                <w:sz w:val="22"/>
                <w:szCs w:val="22"/>
                <w:u w:val="none"/>
                <w:lang w:val="en-US" w:eastAsia="zh-CN" w:bidi="ar"/>
              </w:rPr>
              <w:t>　</w:t>
            </w:r>
          </w:p>
        </w:tc>
        <w:tc>
          <w:tcPr>
            <w:tcW w:w="1730" w:type="dxa"/>
            <w:tcBorders>
              <w:top w:val="nil"/>
              <w:left w:val="nil"/>
              <w:bottom w:val="single" w:color="auto" w:sz="4" w:space="0"/>
              <w:right w:val="single" w:color="auto" w:sz="4" w:space="0"/>
            </w:tcBorders>
            <w:shd w:val="clear" w:color="auto" w:fill="auto"/>
            <w:noWrap/>
            <w:vAlign w:val="center"/>
          </w:tcPr>
          <w:p w14:paraId="5BF35649">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3912D281">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0.00</w:t>
            </w:r>
          </w:p>
        </w:tc>
      </w:tr>
      <w:tr w14:paraId="3C7045C7">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009A2C0A">
            <w:pPr>
              <w:widowControl/>
              <w:jc w:val="left"/>
              <w:rPr>
                <w:rFonts w:ascii="Times New Roman" w:hAnsi="Times New Roman" w:eastAsia="仿宋_GB2312" w:cs="Times New Roman"/>
                <w:kern w:val="0"/>
                <w:sz w:val="22"/>
              </w:rPr>
            </w:pPr>
          </w:p>
        </w:tc>
        <w:tc>
          <w:tcPr>
            <w:tcW w:w="608" w:type="dxa"/>
            <w:tcBorders>
              <w:top w:val="nil"/>
              <w:left w:val="nil"/>
              <w:bottom w:val="single" w:color="auto" w:sz="4" w:space="0"/>
              <w:right w:val="single" w:color="auto" w:sz="4" w:space="0"/>
            </w:tcBorders>
            <w:shd w:val="clear" w:color="auto" w:fill="auto"/>
            <w:noWrap/>
            <w:vAlign w:val="center"/>
          </w:tcPr>
          <w:p w14:paraId="09002108">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8</w:t>
            </w:r>
          </w:p>
        </w:tc>
        <w:tc>
          <w:tcPr>
            <w:tcW w:w="1050" w:type="dxa"/>
            <w:tcBorders>
              <w:top w:val="nil"/>
              <w:left w:val="nil"/>
              <w:bottom w:val="single" w:color="auto" w:sz="4" w:space="0"/>
              <w:right w:val="single" w:color="auto" w:sz="4" w:space="0"/>
            </w:tcBorders>
            <w:shd w:val="clear" w:color="auto" w:fill="auto"/>
            <w:noWrap/>
            <w:vAlign w:val="center"/>
          </w:tcPr>
          <w:p w14:paraId="288A0C16">
            <w:pPr>
              <w:widowControl/>
              <w:jc w:val="right"/>
              <w:rPr>
                <w:rFonts w:hint="eastAsia" w:ascii="仿宋_GB2312" w:hAnsi="仿宋_GB2312" w:eastAsia="仿宋_GB2312" w:cs="仿宋_GB2312"/>
                <w:kern w:val="0"/>
                <w:sz w:val="22"/>
              </w:rPr>
            </w:pPr>
          </w:p>
        </w:tc>
        <w:tc>
          <w:tcPr>
            <w:tcW w:w="2402" w:type="dxa"/>
            <w:tcBorders>
              <w:top w:val="nil"/>
              <w:left w:val="nil"/>
              <w:bottom w:val="single" w:color="auto" w:sz="4" w:space="0"/>
              <w:right w:val="single" w:color="auto" w:sz="4" w:space="0"/>
            </w:tcBorders>
            <w:shd w:val="clear" w:color="auto" w:fill="auto"/>
            <w:noWrap/>
            <w:vAlign w:val="center"/>
          </w:tcPr>
          <w:p w14:paraId="6C200BD3">
            <w:pPr>
              <w:widowControl/>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八、社会保障和就业支出</w:t>
            </w:r>
          </w:p>
        </w:tc>
        <w:tc>
          <w:tcPr>
            <w:tcW w:w="608" w:type="dxa"/>
            <w:tcBorders>
              <w:top w:val="nil"/>
              <w:left w:val="nil"/>
              <w:bottom w:val="single" w:color="auto" w:sz="4" w:space="0"/>
              <w:right w:val="single" w:color="auto" w:sz="4" w:space="0"/>
            </w:tcBorders>
            <w:shd w:val="clear" w:color="auto" w:fill="auto"/>
            <w:noWrap/>
            <w:vAlign w:val="center"/>
          </w:tcPr>
          <w:p w14:paraId="24E5D057">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26</w:t>
            </w:r>
          </w:p>
        </w:tc>
        <w:tc>
          <w:tcPr>
            <w:tcW w:w="1214" w:type="dxa"/>
            <w:tcBorders>
              <w:top w:val="nil"/>
              <w:left w:val="nil"/>
              <w:bottom w:val="single" w:color="auto" w:sz="4" w:space="0"/>
              <w:right w:val="single" w:color="auto" w:sz="4" w:space="0"/>
            </w:tcBorders>
            <w:shd w:val="clear" w:color="auto" w:fill="auto"/>
            <w:noWrap/>
            <w:vAlign w:val="center"/>
          </w:tcPr>
          <w:p w14:paraId="75CD819B">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235.51</w:t>
            </w:r>
          </w:p>
        </w:tc>
        <w:tc>
          <w:tcPr>
            <w:tcW w:w="1463" w:type="dxa"/>
            <w:tcBorders>
              <w:top w:val="nil"/>
              <w:left w:val="nil"/>
              <w:bottom w:val="single" w:color="auto" w:sz="4" w:space="0"/>
              <w:right w:val="single" w:color="auto" w:sz="4" w:space="0"/>
            </w:tcBorders>
            <w:shd w:val="clear" w:color="auto" w:fill="auto"/>
            <w:noWrap/>
            <w:vAlign w:val="center"/>
          </w:tcPr>
          <w:p w14:paraId="15C14FA5">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235.51</w:t>
            </w:r>
          </w:p>
        </w:tc>
        <w:tc>
          <w:tcPr>
            <w:tcW w:w="1730" w:type="dxa"/>
            <w:tcBorders>
              <w:top w:val="nil"/>
              <w:left w:val="nil"/>
              <w:bottom w:val="single" w:color="auto" w:sz="4" w:space="0"/>
              <w:right w:val="single" w:color="auto" w:sz="4" w:space="0"/>
            </w:tcBorders>
            <w:shd w:val="clear" w:color="auto" w:fill="auto"/>
            <w:noWrap/>
            <w:vAlign w:val="center"/>
          </w:tcPr>
          <w:p w14:paraId="07DD024B">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5E3CB423">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0.00</w:t>
            </w:r>
          </w:p>
        </w:tc>
      </w:tr>
      <w:tr w14:paraId="7F6A62CF">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15A949DC">
            <w:pPr>
              <w:widowControl/>
              <w:jc w:val="left"/>
              <w:rPr>
                <w:rFonts w:ascii="Times New Roman" w:hAnsi="Times New Roman" w:eastAsia="仿宋_GB2312" w:cs="Times New Roman"/>
                <w:kern w:val="0"/>
                <w:sz w:val="22"/>
              </w:rPr>
            </w:pPr>
          </w:p>
        </w:tc>
        <w:tc>
          <w:tcPr>
            <w:tcW w:w="608" w:type="dxa"/>
            <w:tcBorders>
              <w:top w:val="nil"/>
              <w:left w:val="nil"/>
              <w:bottom w:val="single" w:color="auto" w:sz="4" w:space="0"/>
              <w:right w:val="single" w:color="auto" w:sz="4" w:space="0"/>
            </w:tcBorders>
            <w:shd w:val="clear" w:color="auto" w:fill="auto"/>
            <w:noWrap/>
            <w:vAlign w:val="center"/>
          </w:tcPr>
          <w:p w14:paraId="36F3D783">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9</w:t>
            </w:r>
          </w:p>
        </w:tc>
        <w:tc>
          <w:tcPr>
            <w:tcW w:w="1050" w:type="dxa"/>
            <w:tcBorders>
              <w:top w:val="nil"/>
              <w:left w:val="nil"/>
              <w:bottom w:val="single" w:color="auto" w:sz="4" w:space="0"/>
              <w:right w:val="single" w:color="auto" w:sz="4" w:space="0"/>
            </w:tcBorders>
            <w:shd w:val="clear" w:color="auto" w:fill="auto"/>
            <w:noWrap/>
            <w:vAlign w:val="center"/>
          </w:tcPr>
          <w:p w14:paraId="3310C593">
            <w:pPr>
              <w:widowControl/>
              <w:jc w:val="right"/>
              <w:rPr>
                <w:rFonts w:hint="eastAsia" w:ascii="仿宋_GB2312" w:hAnsi="仿宋_GB2312" w:eastAsia="仿宋_GB2312" w:cs="仿宋_GB2312"/>
                <w:kern w:val="0"/>
                <w:sz w:val="22"/>
              </w:rPr>
            </w:pPr>
          </w:p>
        </w:tc>
        <w:tc>
          <w:tcPr>
            <w:tcW w:w="2402" w:type="dxa"/>
            <w:tcBorders>
              <w:top w:val="nil"/>
              <w:left w:val="nil"/>
              <w:bottom w:val="single" w:color="auto" w:sz="4" w:space="0"/>
              <w:right w:val="single" w:color="auto" w:sz="4" w:space="0"/>
            </w:tcBorders>
            <w:shd w:val="clear" w:color="auto" w:fill="auto"/>
            <w:noWrap/>
            <w:vAlign w:val="center"/>
          </w:tcPr>
          <w:p w14:paraId="1E55E7EB">
            <w:pPr>
              <w:widowControl/>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九、卫生健康支出</w:t>
            </w:r>
          </w:p>
        </w:tc>
        <w:tc>
          <w:tcPr>
            <w:tcW w:w="608" w:type="dxa"/>
            <w:tcBorders>
              <w:top w:val="nil"/>
              <w:left w:val="nil"/>
              <w:bottom w:val="single" w:color="auto" w:sz="4" w:space="0"/>
              <w:right w:val="single" w:color="auto" w:sz="4" w:space="0"/>
            </w:tcBorders>
            <w:shd w:val="clear" w:color="auto" w:fill="auto"/>
            <w:noWrap/>
            <w:vAlign w:val="center"/>
          </w:tcPr>
          <w:p w14:paraId="3CBFC416">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27</w:t>
            </w:r>
          </w:p>
        </w:tc>
        <w:tc>
          <w:tcPr>
            <w:tcW w:w="1214" w:type="dxa"/>
            <w:tcBorders>
              <w:top w:val="nil"/>
              <w:left w:val="nil"/>
              <w:bottom w:val="single" w:color="auto" w:sz="4" w:space="0"/>
              <w:right w:val="single" w:color="auto" w:sz="4" w:space="0"/>
            </w:tcBorders>
            <w:shd w:val="clear" w:color="auto" w:fill="auto"/>
            <w:noWrap/>
            <w:vAlign w:val="center"/>
          </w:tcPr>
          <w:p w14:paraId="5EAC67CE">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41.76</w:t>
            </w:r>
          </w:p>
        </w:tc>
        <w:tc>
          <w:tcPr>
            <w:tcW w:w="1463" w:type="dxa"/>
            <w:tcBorders>
              <w:top w:val="nil"/>
              <w:left w:val="nil"/>
              <w:bottom w:val="single" w:color="auto" w:sz="4" w:space="0"/>
              <w:right w:val="single" w:color="auto" w:sz="4" w:space="0"/>
            </w:tcBorders>
            <w:shd w:val="clear" w:color="auto" w:fill="auto"/>
            <w:noWrap/>
            <w:vAlign w:val="center"/>
          </w:tcPr>
          <w:p w14:paraId="25DD818B">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41.76</w:t>
            </w:r>
          </w:p>
        </w:tc>
        <w:tc>
          <w:tcPr>
            <w:tcW w:w="1730" w:type="dxa"/>
            <w:tcBorders>
              <w:top w:val="nil"/>
              <w:left w:val="nil"/>
              <w:bottom w:val="single" w:color="auto" w:sz="4" w:space="0"/>
              <w:right w:val="single" w:color="auto" w:sz="4" w:space="0"/>
            </w:tcBorders>
            <w:shd w:val="clear" w:color="auto" w:fill="auto"/>
            <w:noWrap/>
            <w:vAlign w:val="center"/>
          </w:tcPr>
          <w:p w14:paraId="28AE434B">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74071004">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0.00</w:t>
            </w:r>
          </w:p>
        </w:tc>
      </w:tr>
      <w:tr w14:paraId="42EA9045">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2E33CE1E">
            <w:pPr>
              <w:widowControl/>
              <w:jc w:val="left"/>
              <w:rPr>
                <w:rFonts w:ascii="Times New Roman" w:hAnsi="Times New Roman" w:eastAsia="仿宋_GB2312" w:cs="Times New Roman"/>
                <w:kern w:val="0"/>
                <w:sz w:val="22"/>
              </w:rPr>
            </w:pPr>
          </w:p>
        </w:tc>
        <w:tc>
          <w:tcPr>
            <w:tcW w:w="608" w:type="dxa"/>
            <w:tcBorders>
              <w:top w:val="nil"/>
              <w:left w:val="nil"/>
              <w:bottom w:val="single" w:color="auto" w:sz="4" w:space="0"/>
              <w:right w:val="single" w:color="auto" w:sz="4" w:space="0"/>
            </w:tcBorders>
            <w:shd w:val="clear" w:color="auto" w:fill="auto"/>
            <w:noWrap/>
            <w:vAlign w:val="center"/>
          </w:tcPr>
          <w:p w14:paraId="426FCBB4">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10</w:t>
            </w:r>
          </w:p>
        </w:tc>
        <w:tc>
          <w:tcPr>
            <w:tcW w:w="1050" w:type="dxa"/>
            <w:tcBorders>
              <w:top w:val="nil"/>
              <w:left w:val="nil"/>
              <w:bottom w:val="single" w:color="auto" w:sz="4" w:space="0"/>
              <w:right w:val="single" w:color="auto" w:sz="4" w:space="0"/>
            </w:tcBorders>
            <w:shd w:val="clear" w:color="auto" w:fill="auto"/>
            <w:noWrap/>
            <w:vAlign w:val="center"/>
          </w:tcPr>
          <w:p w14:paraId="643E6ADE">
            <w:pPr>
              <w:widowControl/>
              <w:jc w:val="right"/>
              <w:rPr>
                <w:rFonts w:hint="eastAsia" w:ascii="仿宋_GB2312" w:hAnsi="仿宋_GB2312" w:eastAsia="仿宋_GB2312" w:cs="仿宋_GB2312"/>
                <w:kern w:val="0"/>
                <w:sz w:val="22"/>
              </w:rPr>
            </w:pPr>
          </w:p>
        </w:tc>
        <w:tc>
          <w:tcPr>
            <w:tcW w:w="2402" w:type="dxa"/>
            <w:tcBorders>
              <w:top w:val="nil"/>
              <w:left w:val="nil"/>
              <w:bottom w:val="single" w:color="auto" w:sz="4" w:space="0"/>
              <w:right w:val="single" w:color="auto" w:sz="4" w:space="0"/>
            </w:tcBorders>
            <w:shd w:val="clear" w:color="auto" w:fill="auto"/>
            <w:noWrap/>
            <w:vAlign w:val="center"/>
          </w:tcPr>
          <w:p w14:paraId="05BCB2C0">
            <w:pPr>
              <w:widowControl/>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十九、住房保障支出</w:t>
            </w:r>
          </w:p>
        </w:tc>
        <w:tc>
          <w:tcPr>
            <w:tcW w:w="608" w:type="dxa"/>
            <w:tcBorders>
              <w:top w:val="nil"/>
              <w:left w:val="nil"/>
              <w:bottom w:val="single" w:color="auto" w:sz="4" w:space="0"/>
              <w:right w:val="single" w:color="auto" w:sz="4" w:space="0"/>
            </w:tcBorders>
            <w:shd w:val="clear" w:color="auto" w:fill="auto"/>
            <w:noWrap/>
            <w:vAlign w:val="center"/>
          </w:tcPr>
          <w:p w14:paraId="45242C14">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28</w:t>
            </w:r>
          </w:p>
        </w:tc>
        <w:tc>
          <w:tcPr>
            <w:tcW w:w="1214" w:type="dxa"/>
            <w:tcBorders>
              <w:top w:val="nil"/>
              <w:left w:val="nil"/>
              <w:bottom w:val="single" w:color="auto" w:sz="4" w:space="0"/>
              <w:right w:val="single" w:color="auto" w:sz="4" w:space="0"/>
            </w:tcBorders>
            <w:shd w:val="clear" w:color="auto" w:fill="auto"/>
            <w:noWrap/>
            <w:vAlign w:val="center"/>
          </w:tcPr>
          <w:p w14:paraId="753EE41A">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7.73</w:t>
            </w:r>
          </w:p>
        </w:tc>
        <w:tc>
          <w:tcPr>
            <w:tcW w:w="1463" w:type="dxa"/>
            <w:tcBorders>
              <w:top w:val="nil"/>
              <w:left w:val="nil"/>
              <w:bottom w:val="single" w:color="auto" w:sz="4" w:space="0"/>
              <w:right w:val="single" w:color="auto" w:sz="4" w:space="0"/>
            </w:tcBorders>
            <w:shd w:val="clear" w:color="auto" w:fill="auto"/>
            <w:noWrap/>
            <w:vAlign w:val="center"/>
          </w:tcPr>
          <w:p w14:paraId="25AB3837">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7.73</w:t>
            </w:r>
          </w:p>
        </w:tc>
        <w:tc>
          <w:tcPr>
            <w:tcW w:w="1730" w:type="dxa"/>
            <w:tcBorders>
              <w:top w:val="nil"/>
              <w:left w:val="nil"/>
              <w:bottom w:val="single" w:color="auto" w:sz="4" w:space="0"/>
              <w:right w:val="single" w:color="auto" w:sz="4" w:space="0"/>
            </w:tcBorders>
            <w:shd w:val="clear" w:color="auto" w:fill="auto"/>
            <w:noWrap/>
            <w:vAlign w:val="center"/>
          </w:tcPr>
          <w:p w14:paraId="02305EDF">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7A9013C4">
            <w:pPr>
              <w:keepNext w:val="0"/>
              <w:keepLines w:val="0"/>
              <w:widowControl/>
              <w:suppressLineNumbers w:val="0"/>
              <w:jc w:val="righ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0.00</w:t>
            </w:r>
          </w:p>
        </w:tc>
      </w:tr>
      <w:tr w14:paraId="1FD1493E">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6278146C">
            <w:pPr>
              <w:widowControl/>
              <w:jc w:val="left"/>
              <w:rPr>
                <w:rFonts w:ascii="Times New Roman" w:hAnsi="Times New Roman" w:eastAsia="仿宋_GB2312" w:cs="Times New Roman"/>
                <w:kern w:val="0"/>
                <w:sz w:val="22"/>
              </w:rPr>
            </w:pPr>
          </w:p>
        </w:tc>
        <w:tc>
          <w:tcPr>
            <w:tcW w:w="608" w:type="dxa"/>
            <w:tcBorders>
              <w:top w:val="nil"/>
              <w:left w:val="nil"/>
              <w:bottom w:val="single" w:color="auto" w:sz="4" w:space="0"/>
              <w:right w:val="single" w:color="auto" w:sz="4" w:space="0"/>
            </w:tcBorders>
            <w:shd w:val="clear" w:color="auto" w:fill="auto"/>
            <w:noWrap/>
            <w:vAlign w:val="center"/>
          </w:tcPr>
          <w:p w14:paraId="1063F3A2">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11</w:t>
            </w:r>
          </w:p>
        </w:tc>
        <w:tc>
          <w:tcPr>
            <w:tcW w:w="1050" w:type="dxa"/>
            <w:tcBorders>
              <w:top w:val="nil"/>
              <w:left w:val="nil"/>
              <w:bottom w:val="single" w:color="auto" w:sz="4" w:space="0"/>
              <w:right w:val="single" w:color="auto" w:sz="4" w:space="0"/>
            </w:tcBorders>
            <w:shd w:val="clear" w:color="auto" w:fill="auto"/>
            <w:noWrap/>
            <w:vAlign w:val="center"/>
          </w:tcPr>
          <w:p w14:paraId="47C16082">
            <w:pPr>
              <w:widowControl/>
              <w:jc w:val="left"/>
              <w:rPr>
                <w:rFonts w:hint="eastAsia" w:ascii="仿宋_GB2312" w:hAnsi="仿宋_GB2312" w:eastAsia="仿宋_GB2312" w:cs="仿宋_GB2312"/>
                <w:kern w:val="0"/>
                <w:sz w:val="22"/>
              </w:rPr>
            </w:pPr>
          </w:p>
        </w:tc>
        <w:tc>
          <w:tcPr>
            <w:tcW w:w="2402" w:type="dxa"/>
            <w:tcBorders>
              <w:top w:val="nil"/>
              <w:left w:val="nil"/>
              <w:bottom w:val="single" w:color="auto" w:sz="4" w:space="0"/>
              <w:right w:val="single" w:color="auto" w:sz="4" w:space="0"/>
            </w:tcBorders>
            <w:shd w:val="clear" w:color="auto" w:fill="auto"/>
            <w:noWrap/>
            <w:vAlign w:val="center"/>
          </w:tcPr>
          <w:p w14:paraId="6D2F9974">
            <w:pPr>
              <w:widowControl/>
              <w:jc w:val="left"/>
              <w:rPr>
                <w:rFonts w:hint="eastAsia" w:ascii="仿宋_GB2312" w:hAnsi="仿宋_GB2312" w:eastAsia="仿宋_GB2312" w:cs="仿宋_GB2312"/>
                <w:kern w:val="0"/>
                <w:sz w:val="22"/>
              </w:rPr>
            </w:pPr>
          </w:p>
        </w:tc>
        <w:tc>
          <w:tcPr>
            <w:tcW w:w="608" w:type="dxa"/>
            <w:tcBorders>
              <w:top w:val="nil"/>
              <w:left w:val="nil"/>
              <w:bottom w:val="single" w:color="auto" w:sz="4" w:space="0"/>
              <w:right w:val="single" w:color="auto" w:sz="4" w:space="0"/>
            </w:tcBorders>
            <w:shd w:val="clear" w:color="auto" w:fill="auto"/>
            <w:noWrap/>
            <w:vAlign w:val="center"/>
          </w:tcPr>
          <w:p w14:paraId="5F1211E9">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29</w:t>
            </w:r>
          </w:p>
        </w:tc>
        <w:tc>
          <w:tcPr>
            <w:tcW w:w="1214" w:type="dxa"/>
            <w:tcBorders>
              <w:top w:val="nil"/>
              <w:left w:val="nil"/>
              <w:bottom w:val="single" w:color="auto" w:sz="4" w:space="0"/>
              <w:right w:val="single" w:color="auto" w:sz="4" w:space="0"/>
            </w:tcBorders>
            <w:shd w:val="clear" w:color="auto" w:fill="auto"/>
            <w:noWrap/>
            <w:vAlign w:val="center"/>
          </w:tcPr>
          <w:p w14:paraId="05B8E634">
            <w:pPr>
              <w:widowControl/>
              <w:jc w:val="center"/>
              <w:rPr>
                <w:rFonts w:hint="eastAsia" w:ascii="仿宋_GB2312" w:hAnsi="仿宋_GB2312" w:eastAsia="仿宋_GB2312" w:cs="仿宋_GB2312"/>
                <w:kern w:val="0"/>
                <w:sz w:val="22"/>
              </w:rPr>
            </w:pPr>
          </w:p>
        </w:tc>
        <w:tc>
          <w:tcPr>
            <w:tcW w:w="1463" w:type="dxa"/>
            <w:tcBorders>
              <w:top w:val="nil"/>
              <w:left w:val="nil"/>
              <w:bottom w:val="single" w:color="auto" w:sz="4" w:space="0"/>
              <w:right w:val="single" w:color="auto" w:sz="4" w:space="0"/>
            </w:tcBorders>
            <w:shd w:val="clear" w:color="auto" w:fill="auto"/>
            <w:noWrap/>
            <w:vAlign w:val="center"/>
          </w:tcPr>
          <w:p w14:paraId="5CEB00FE">
            <w:pPr>
              <w:widowControl/>
              <w:jc w:val="center"/>
              <w:rPr>
                <w:rFonts w:hint="eastAsia" w:ascii="仿宋_GB2312" w:hAnsi="仿宋_GB2312" w:eastAsia="仿宋_GB2312" w:cs="仿宋_GB2312"/>
                <w:kern w:val="0"/>
                <w:sz w:val="22"/>
              </w:rPr>
            </w:pPr>
          </w:p>
        </w:tc>
        <w:tc>
          <w:tcPr>
            <w:tcW w:w="1730" w:type="dxa"/>
            <w:tcBorders>
              <w:top w:val="nil"/>
              <w:left w:val="nil"/>
              <w:bottom w:val="single" w:color="auto" w:sz="4" w:space="0"/>
              <w:right w:val="single" w:color="auto" w:sz="4" w:space="0"/>
            </w:tcBorders>
            <w:shd w:val="clear" w:color="auto" w:fill="auto"/>
            <w:noWrap/>
            <w:vAlign w:val="center"/>
          </w:tcPr>
          <w:p w14:paraId="18BE9900">
            <w:pPr>
              <w:widowControl/>
              <w:jc w:val="center"/>
              <w:rPr>
                <w:rFonts w:hint="eastAsia" w:ascii="仿宋_GB2312" w:hAnsi="仿宋_GB2312" w:eastAsia="仿宋_GB2312" w:cs="仿宋_GB2312"/>
                <w:kern w:val="0"/>
                <w:sz w:val="22"/>
              </w:rPr>
            </w:pPr>
          </w:p>
        </w:tc>
        <w:tc>
          <w:tcPr>
            <w:tcW w:w="1859" w:type="dxa"/>
            <w:tcBorders>
              <w:top w:val="nil"/>
              <w:left w:val="nil"/>
              <w:bottom w:val="single" w:color="auto" w:sz="4" w:space="0"/>
              <w:right w:val="single" w:color="auto" w:sz="4" w:space="0"/>
            </w:tcBorders>
            <w:shd w:val="clear" w:color="auto" w:fill="auto"/>
            <w:noWrap/>
            <w:vAlign w:val="center"/>
          </w:tcPr>
          <w:p w14:paraId="5C8C6A16">
            <w:pPr>
              <w:widowControl/>
              <w:jc w:val="center"/>
              <w:rPr>
                <w:rFonts w:hint="eastAsia" w:ascii="仿宋_GB2312" w:hAnsi="仿宋_GB2312" w:eastAsia="仿宋_GB2312" w:cs="仿宋_GB2312"/>
                <w:kern w:val="0"/>
                <w:sz w:val="22"/>
              </w:rPr>
            </w:pPr>
          </w:p>
        </w:tc>
      </w:tr>
      <w:tr w14:paraId="3E1727CF">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504755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08" w:type="dxa"/>
            <w:tcBorders>
              <w:top w:val="nil"/>
              <w:left w:val="nil"/>
              <w:bottom w:val="single" w:color="auto" w:sz="4" w:space="0"/>
              <w:right w:val="single" w:color="auto" w:sz="4" w:space="0"/>
            </w:tcBorders>
            <w:shd w:val="clear" w:color="auto" w:fill="auto"/>
            <w:noWrap/>
            <w:vAlign w:val="center"/>
          </w:tcPr>
          <w:p w14:paraId="49DB4F48">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12</w:t>
            </w:r>
          </w:p>
        </w:tc>
        <w:tc>
          <w:tcPr>
            <w:tcW w:w="1050" w:type="dxa"/>
            <w:tcBorders>
              <w:top w:val="nil"/>
              <w:left w:val="nil"/>
              <w:bottom w:val="single" w:color="auto" w:sz="4" w:space="0"/>
              <w:right w:val="single" w:color="auto" w:sz="4" w:space="0"/>
            </w:tcBorders>
            <w:shd w:val="clear" w:color="auto" w:fill="auto"/>
            <w:noWrap/>
            <w:vAlign w:val="center"/>
          </w:tcPr>
          <w:p w14:paraId="5E9D6F7E">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2402" w:type="dxa"/>
            <w:tcBorders>
              <w:top w:val="nil"/>
              <w:left w:val="nil"/>
              <w:bottom w:val="single" w:color="auto" w:sz="4" w:space="0"/>
              <w:right w:val="single" w:color="auto" w:sz="4" w:space="0"/>
            </w:tcBorders>
            <w:shd w:val="clear" w:color="auto" w:fill="auto"/>
            <w:noWrap/>
            <w:vAlign w:val="center"/>
          </w:tcPr>
          <w:p w14:paraId="6E78CB38">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608" w:type="dxa"/>
            <w:tcBorders>
              <w:top w:val="nil"/>
              <w:left w:val="nil"/>
              <w:bottom w:val="single" w:color="auto" w:sz="4" w:space="0"/>
              <w:right w:val="single" w:color="auto" w:sz="4" w:space="0"/>
            </w:tcBorders>
            <w:shd w:val="clear" w:color="auto" w:fill="auto"/>
            <w:noWrap/>
            <w:vAlign w:val="center"/>
          </w:tcPr>
          <w:p w14:paraId="0E9D201A">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30</w:t>
            </w:r>
          </w:p>
        </w:tc>
        <w:tc>
          <w:tcPr>
            <w:tcW w:w="1214" w:type="dxa"/>
            <w:tcBorders>
              <w:top w:val="nil"/>
              <w:left w:val="nil"/>
              <w:bottom w:val="single" w:color="auto" w:sz="4" w:space="0"/>
              <w:right w:val="single" w:color="auto" w:sz="4" w:space="0"/>
            </w:tcBorders>
            <w:shd w:val="clear" w:color="auto" w:fill="auto"/>
            <w:noWrap/>
            <w:vAlign w:val="center"/>
          </w:tcPr>
          <w:p w14:paraId="4EAAA4C7">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463" w:type="dxa"/>
            <w:tcBorders>
              <w:top w:val="nil"/>
              <w:left w:val="nil"/>
              <w:bottom w:val="single" w:color="auto" w:sz="4" w:space="0"/>
              <w:right w:val="single" w:color="auto" w:sz="4" w:space="0"/>
            </w:tcBorders>
            <w:shd w:val="clear" w:color="auto" w:fill="auto"/>
            <w:noWrap/>
            <w:vAlign w:val="center"/>
          </w:tcPr>
          <w:p w14:paraId="51ABA67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730" w:type="dxa"/>
            <w:tcBorders>
              <w:top w:val="nil"/>
              <w:left w:val="nil"/>
              <w:bottom w:val="single" w:color="auto" w:sz="4" w:space="0"/>
              <w:right w:val="single" w:color="auto" w:sz="4" w:space="0"/>
            </w:tcBorders>
            <w:shd w:val="clear" w:color="auto" w:fill="auto"/>
            <w:noWrap/>
            <w:vAlign w:val="center"/>
          </w:tcPr>
          <w:p w14:paraId="6FCC79CB">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859" w:type="dxa"/>
            <w:tcBorders>
              <w:top w:val="nil"/>
              <w:left w:val="nil"/>
              <w:bottom w:val="single" w:color="auto" w:sz="4" w:space="0"/>
              <w:right w:val="single" w:color="auto" w:sz="4" w:space="0"/>
            </w:tcBorders>
            <w:shd w:val="clear" w:color="auto" w:fill="auto"/>
            <w:noWrap/>
            <w:vAlign w:val="center"/>
          </w:tcPr>
          <w:p w14:paraId="5548B4B3">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7CC3C432">
        <w:trPr>
          <w:trHeight w:val="402" w:hRule="atLeast"/>
          <w:jc w:val="center"/>
        </w:trPr>
        <w:tc>
          <w:tcPr>
            <w:tcW w:w="3446" w:type="dxa"/>
            <w:tcBorders>
              <w:top w:val="nil"/>
              <w:left w:val="single" w:color="auto" w:sz="4" w:space="0"/>
              <w:bottom w:val="single" w:color="auto" w:sz="4" w:space="0"/>
              <w:right w:val="single" w:color="auto" w:sz="4" w:space="0"/>
            </w:tcBorders>
            <w:shd w:val="clear" w:color="auto" w:fill="auto"/>
            <w:noWrap/>
            <w:vAlign w:val="center"/>
          </w:tcPr>
          <w:p w14:paraId="04233BD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08" w:type="dxa"/>
            <w:tcBorders>
              <w:top w:val="nil"/>
              <w:left w:val="nil"/>
              <w:bottom w:val="single" w:color="auto" w:sz="4" w:space="0"/>
              <w:right w:val="single" w:color="auto" w:sz="4" w:space="0"/>
            </w:tcBorders>
            <w:shd w:val="clear" w:color="auto" w:fill="auto"/>
            <w:noWrap/>
            <w:vAlign w:val="center"/>
          </w:tcPr>
          <w:p w14:paraId="4BF44EB3">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13</w:t>
            </w:r>
          </w:p>
        </w:tc>
        <w:tc>
          <w:tcPr>
            <w:tcW w:w="1050" w:type="dxa"/>
            <w:tcBorders>
              <w:top w:val="nil"/>
              <w:left w:val="nil"/>
              <w:bottom w:val="single" w:color="auto" w:sz="4" w:space="0"/>
              <w:right w:val="single" w:color="auto" w:sz="4" w:space="0"/>
            </w:tcBorders>
            <w:shd w:val="clear" w:color="auto" w:fill="auto"/>
            <w:noWrap/>
            <w:vAlign w:val="center"/>
          </w:tcPr>
          <w:p w14:paraId="1C752B94">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3916.33　</w:t>
            </w:r>
          </w:p>
        </w:tc>
        <w:tc>
          <w:tcPr>
            <w:tcW w:w="2402" w:type="dxa"/>
            <w:tcBorders>
              <w:top w:val="nil"/>
              <w:left w:val="nil"/>
              <w:bottom w:val="single" w:color="auto" w:sz="4" w:space="0"/>
              <w:right w:val="single" w:color="auto" w:sz="4" w:space="0"/>
            </w:tcBorders>
            <w:shd w:val="clear" w:color="auto" w:fill="auto"/>
            <w:noWrap/>
            <w:vAlign w:val="center"/>
          </w:tcPr>
          <w:p w14:paraId="753083CD">
            <w:pPr>
              <w:widowControl/>
              <w:jc w:val="center"/>
              <w:rPr>
                <w:rFonts w:hint="eastAsia" w:ascii="仿宋_GB2312" w:hAnsi="仿宋_GB2312" w:eastAsia="仿宋_GB2312" w:cs="仿宋_GB2312"/>
                <w:b/>
                <w:bCs/>
                <w:kern w:val="0"/>
                <w:sz w:val="22"/>
              </w:rPr>
            </w:pPr>
            <w:r>
              <w:rPr>
                <w:rFonts w:hint="eastAsia" w:ascii="仿宋_GB2312" w:hAnsi="仿宋_GB2312" w:eastAsia="仿宋_GB2312" w:cs="仿宋_GB2312"/>
                <w:b/>
                <w:bCs/>
                <w:kern w:val="0"/>
                <w:sz w:val="22"/>
              </w:rPr>
              <w:t>本年支出合计</w:t>
            </w:r>
          </w:p>
        </w:tc>
        <w:tc>
          <w:tcPr>
            <w:tcW w:w="608" w:type="dxa"/>
            <w:tcBorders>
              <w:top w:val="nil"/>
              <w:left w:val="nil"/>
              <w:bottom w:val="single" w:color="auto" w:sz="4" w:space="0"/>
              <w:right w:val="single" w:color="auto" w:sz="4" w:space="0"/>
            </w:tcBorders>
            <w:shd w:val="clear" w:color="auto" w:fill="auto"/>
            <w:noWrap/>
            <w:vAlign w:val="center"/>
          </w:tcPr>
          <w:p w14:paraId="75155C79">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31</w:t>
            </w:r>
          </w:p>
        </w:tc>
        <w:tc>
          <w:tcPr>
            <w:tcW w:w="1214" w:type="dxa"/>
            <w:tcBorders>
              <w:top w:val="nil"/>
              <w:left w:val="nil"/>
              <w:bottom w:val="single" w:color="auto" w:sz="4" w:space="0"/>
              <w:right w:val="single" w:color="auto" w:sz="4" w:space="0"/>
            </w:tcBorders>
            <w:shd w:val="clear" w:color="auto" w:fill="auto"/>
            <w:noWrap/>
            <w:vAlign w:val="center"/>
          </w:tcPr>
          <w:p w14:paraId="47350652">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3916.33</w:t>
            </w:r>
          </w:p>
        </w:tc>
        <w:tc>
          <w:tcPr>
            <w:tcW w:w="1463" w:type="dxa"/>
            <w:tcBorders>
              <w:top w:val="nil"/>
              <w:left w:val="nil"/>
              <w:bottom w:val="single" w:color="auto" w:sz="4" w:space="0"/>
              <w:right w:val="single" w:color="auto" w:sz="4" w:space="0"/>
            </w:tcBorders>
            <w:shd w:val="clear" w:color="auto" w:fill="auto"/>
            <w:noWrap/>
            <w:vAlign w:val="center"/>
          </w:tcPr>
          <w:p w14:paraId="19A13C42">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3916.33</w:t>
            </w:r>
          </w:p>
        </w:tc>
        <w:tc>
          <w:tcPr>
            <w:tcW w:w="1730" w:type="dxa"/>
            <w:tcBorders>
              <w:top w:val="nil"/>
              <w:left w:val="nil"/>
              <w:bottom w:val="single" w:color="auto" w:sz="4" w:space="0"/>
              <w:right w:val="single" w:color="auto" w:sz="4" w:space="0"/>
            </w:tcBorders>
            <w:shd w:val="clear" w:color="auto" w:fill="auto"/>
            <w:noWrap/>
            <w:vAlign w:val="center"/>
          </w:tcPr>
          <w:p w14:paraId="7AA3986D">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nil"/>
              <w:left w:val="nil"/>
              <w:bottom w:val="single" w:color="auto" w:sz="4" w:space="0"/>
              <w:right w:val="single" w:color="auto" w:sz="4" w:space="0"/>
            </w:tcBorders>
            <w:shd w:val="clear" w:color="auto" w:fill="auto"/>
            <w:noWrap/>
            <w:vAlign w:val="center"/>
          </w:tcPr>
          <w:p w14:paraId="2A1494F4">
            <w:pPr>
              <w:keepNext w:val="0"/>
              <w:keepLines w:val="0"/>
              <w:widowControl/>
              <w:suppressLineNumbers w:val="0"/>
              <w:jc w:val="right"/>
              <w:textAlignment w:val="center"/>
              <w:rPr>
                <w:rFonts w:hint="eastAsia" w:ascii="仿宋_GB2312" w:hAnsi="仿宋_GB2312" w:eastAsia="仿宋_GB2312" w:cs="仿宋_GB2312"/>
                <w:b/>
                <w:bCs/>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r>
      <w:tr w14:paraId="7CAA6BFC">
        <w:trPr>
          <w:trHeight w:val="402" w:hRule="atLeast"/>
          <w:jc w:val="center"/>
        </w:trPr>
        <w:tc>
          <w:tcPr>
            <w:tcW w:w="34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4A5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6153B3">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14</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2E7B4">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2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BA40E">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年末财政拨款结转和结余</w:t>
            </w:r>
          </w:p>
        </w:tc>
        <w:tc>
          <w:tcPr>
            <w:tcW w:w="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7E441">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32</w:t>
            </w:r>
          </w:p>
        </w:tc>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4F0F0">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6D7EE6">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1F7B5">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AD85E">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r>
      <w:tr w14:paraId="399D1DF5">
        <w:trPr>
          <w:trHeight w:val="402" w:hRule="atLeast"/>
          <w:jc w:val="center"/>
        </w:trPr>
        <w:tc>
          <w:tcPr>
            <w:tcW w:w="34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5FF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BD0D2">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15</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8FDAB">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2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794EA">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9CE7A">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33</w:t>
            </w:r>
          </w:p>
        </w:tc>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E70AB">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EE0B7">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156B8">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8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A7836">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6A19B2F9">
        <w:trPr>
          <w:trHeight w:val="402" w:hRule="atLeast"/>
          <w:jc w:val="center"/>
        </w:trPr>
        <w:tc>
          <w:tcPr>
            <w:tcW w:w="34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F18F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5BC60">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16</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43E2C">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2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91273">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9A71D">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34</w:t>
            </w:r>
          </w:p>
        </w:tc>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401C77">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A8549">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172DB">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8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3A568">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030F4358">
        <w:trPr>
          <w:trHeight w:val="402" w:hRule="atLeast"/>
          <w:jc w:val="center"/>
        </w:trPr>
        <w:tc>
          <w:tcPr>
            <w:tcW w:w="34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3E2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6AA286">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17</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7026AF">
            <w:pPr>
              <w:keepNext w:val="0"/>
              <w:keepLines w:val="0"/>
              <w:widowControl/>
              <w:suppressLineNumbers w:val="0"/>
              <w:jc w:val="right"/>
              <w:textAlignment w:val="center"/>
              <w:rPr>
                <w:rFonts w:hint="eastAsia" w:ascii="仿宋_GB2312" w:hAnsi="仿宋_GB2312" w:eastAsia="仿宋_GB2312" w:cs="仿宋_GB2312"/>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24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50CCAD">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39AEA">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35</w:t>
            </w:r>
          </w:p>
        </w:tc>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9333B">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4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71027">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A864C">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c>
          <w:tcPr>
            <w:tcW w:w="18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FC085">
            <w:pPr>
              <w:widowControl/>
              <w:jc w:val="lef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　</w:t>
            </w:r>
          </w:p>
        </w:tc>
      </w:tr>
      <w:tr w14:paraId="076CA366">
        <w:trPr>
          <w:trHeight w:val="402" w:hRule="atLeast"/>
          <w:jc w:val="center"/>
        </w:trPr>
        <w:tc>
          <w:tcPr>
            <w:tcW w:w="344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8336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F260E8">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18</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49B04">
            <w:pPr>
              <w:widowControl/>
              <w:jc w:val="right"/>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3916.33　</w:t>
            </w:r>
          </w:p>
        </w:tc>
        <w:tc>
          <w:tcPr>
            <w:tcW w:w="240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FA6D84">
            <w:pPr>
              <w:widowControl/>
              <w:jc w:val="center"/>
              <w:rPr>
                <w:rFonts w:hint="eastAsia" w:ascii="仿宋_GB2312" w:hAnsi="仿宋_GB2312" w:eastAsia="仿宋_GB2312" w:cs="仿宋_GB2312"/>
                <w:b/>
                <w:bCs/>
                <w:kern w:val="0"/>
                <w:sz w:val="22"/>
              </w:rPr>
            </w:pPr>
            <w:r>
              <w:rPr>
                <w:rFonts w:hint="eastAsia" w:ascii="仿宋_GB2312" w:hAnsi="仿宋_GB2312" w:eastAsia="仿宋_GB2312" w:cs="仿宋_GB2312"/>
                <w:b/>
                <w:bCs/>
                <w:kern w:val="0"/>
                <w:sz w:val="22"/>
              </w:rPr>
              <w:t>总计</w:t>
            </w:r>
          </w:p>
        </w:tc>
        <w:tc>
          <w:tcPr>
            <w:tcW w:w="6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37EB22">
            <w:pPr>
              <w:widowControl/>
              <w:jc w:val="center"/>
              <w:rPr>
                <w:rFonts w:hint="default" w:ascii="仿宋_GB2312" w:hAnsi="仿宋_GB2312" w:eastAsia="仿宋_GB2312" w:cs="仿宋_GB2312"/>
                <w:kern w:val="0"/>
                <w:sz w:val="22"/>
              </w:rPr>
            </w:pPr>
            <w:r>
              <w:rPr>
                <w:rFonts w:hint="default" w:ascii="仿宋_GB2312" w:hAnsi="仿宋_GB2312" w:eastAsia="仿宋_GB2312" w:cs="仿宋_GB2312"/>
                <w:kern w:val="0"/>
                <w:sz w:val="22"/>
              </w:rPr>
              <w:t>36</w:t>
            </w:r>
          </w:p>
        </w:tc>
        <w:tc>
          <w:tcPr>
            <w:tcW w:w="121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42B98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3916.33</w:t>
            </w:r>
          </w:p>
        </w:tc>
        <w:tc>
          <w:tcPr>
            <w:tcW w:w="14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F8BAD4">
            <w:pPr>
              <w:widowControl/>
              <w:jc w:val="center"/>
              <w:rPr>
                <w:rFonts w:hint="eastAsia" w:ascii="仿宋_GB2312" w:hAnsi="仿宋_GB2312" w:eastAsia="仿宋_GB2312" w:cs="仿宋_GB2312"/>
                <w:kern w:val="0"/>
                <w:sz w:val="22"/>
              </w:rPr>
            </w:pPr>
            <w:r>
              <w:rPr>
                <w:rFonts w:hint="eastAsia" w:ascii="仿宋_GB2312" w:hAnsi="仿宋_GB2312" w:eastAsia="仿宋_GB2312" w:cs="仿宋_GB2312"/>
                <w:kern w:val="0"/>
                <w:sz w:val="22"/>
              </w:rPr>
              <w:t>3916.33</w:t>
            </w:r>
          </w:p>
        </w:tc>
        <w:tc>
          <w:tcPr>
            <w:tcW w:w="17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97247">
            <w:pPr>
              <w:keepNext w:val="0"/>
              <w:keepLines w:val="0"/>
              <w:widowControl/>
              <w:suppressLineNumbers w:val="0"/>
              <w:jc w:val="right"/>
              <w:textAlignment w:val="center"/>
              <w:rPr>
                <w:rFonts w:hint="eastAsia" w:ascii="仿宋_GB2312" w:hAnsi="仿宋_GB2312" w:eastAsia="仿宋_GB2312" w:cs="仿宋_GB2312"/>
                <w:b/>
                <w:bCs/>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85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91331">
            <w:pPr>
              <w:keepNext w:val="0"/>
              <w:keepLines w:val="0"/>
              <w:widowControl/>
              <w:suppressLineNumbers w:val="0"/>
              <w:jc w:val="right"/>
              <w:textAlignment w:val="center"/>
              <w:rPr>
                <w:rFonts w:hint="eastAsia" w:ascii="仿宋_GB2312" w:hAnsi="仿宋_GB2312" w:eastAsia="仿宋_GB2312" w:cs="仿宋_GB2312"/>
                <w:b/>
                <w:bCs/>
                <w:kern w:val="0"/>
                <w:sz w:val="22"/>
              </w:rPr>
            </w:pPr>
            <w:r>
              <w:rPr>
                <w:rFonts w:hint="eastAsia" w:ascii="仿宋_GB2312" w:hAnsi="仿宋_GB2312" w:eastAsia="仿宋_GB2312" w:cs="仿宋_GB2312"/>
                <w:i w:val="0"/>
                <w:color w:val="000000"/>
                <w:kern w:val="0"/>
                <w:sz w:val="22"/>
                <w:szCs w:val="22"/>
                <w:u w:val="none"/>
                <w:lang w:val="en-US" w:eastAsia="zh-CN" w:bidi="ar"/>
              </w:rPr>
              <w:t>0.00</w:t>
            </w:r>
          </w:p>
        </w:tc>
      </w:tr>
    </w:tbl>
    <w:p w14:paraId="7C34718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3F809A4">
      <w:pPr>
        <w:widowControl/>
        <w:jc w:val="center"/>
        <w:rPr>
          <w:rFonts w:ascii="Times New Roman" w:hAnsi="Times New Roman" w:eastAsia="方正小标宋_GBK" w:cs="Times New Roman"/>
          <w:kern w:val="0"/>
          <w:sz w:val="36"/>
          <w:szCs w:val="36"/>
        </w:rPr>
      </w:pPr>
    </w:p>
    <w:p w14:paraId="4A73A8F1">
      <w:pPr>
        <w:pStyle w:val="2"/>
        <w:rPr>
          <w:rFonts w:ascii="Times New Roman" w:hAnsi="Times New Roman" w:eastAsia="方正小标宋_GBK" w:cs="Times New Roman"/>
          <w:kern w:val="0"/>
          <w:sz w:val="36"/>
          <w:szCs w:val="36"/>
        </w:rPr>
      </w:pPr>
    </w:p>
    <w:p w14:paraId="5A2AB1BE">
      <w:pPr>
        <w:pStyle w:val="3"/>
        <w:rPr>
          <w:rFonts w:ascii="Times New Roman" w:hAnsi="Times New Roman" w:eastAsia="方正小标宋_GBK" w:cs="Times New Roman"/>
          <w:kern w:val="0"/>
          <w:sz w:val="36"/>
          <w:szCs w:val="36"/>
        </w:rPr>
      </w:pPr>
    </w:p>
    <w:p w14:paraId="08BB1E8A">
      <w:pPr>
        <w:rPr>
          <w:rFonts w:ascii="Times New Roman" w:hAnsi="Times New Roman" w:eastAsia="方正小标宋_GBK" w:cs="Times New Roman"/>
          <w:kern w:val="0"/>
          <w:sz w:val="36"/>
          <w:szCs w:val="36"/>
        </w:rPr>
      </w:pPr>
    </w:p>
    <w:p w14:paraId="2D89318F">
      <w:pPr>
        <w:pStyle w:val="2"/>
        <w:rPr>
          <w:rFonts w:ascii="Times New Roman" w:hAnsi="Times New Roman" w:eastAsia="方正小标宋_GBK" w:cs="Times New Roman"/>
          <w:kern w:val="0"/>
          <w:sz w:val="36"/>
          <w:szCs w:val="36"/>
        </w:rPr>
      </w:pPr>
    </w:p>
    <w:p w14:paraId="6B7510B2">
      <w:pPr>
        <w:pStyle w:val="3"/>
        <w:rPr>
          <w:rFonts w:ascii="Times New Roman" w:hAnsi="Times New Roman" w:eastAsia="方正小标宋_GBK" w:cs="Times New Roman"/>
          <w:kern w:val="0"/>
          <w:sz w:val="36"/>
          <w:szCs w:val="36"/>
        </w:rPr>
      </w:pPr>
    </w:p>
    <w:p w14:paraId="096EE389">
      <w:pPr>
        <w:rPr>
          <w:rFonts w:ascii="Times New Roman" w:hAnsi="Times New Roman" w:eastAsia="方正小标宋_GBK" w:cs="Times New Roman"/>
          <w:kern w:val="0"/>
          <w:sz w:val="36"/>
          <w:szCs w:val="36"/>
        </w:rPr>
      </w:pPr>
    </w:p>
    <w:p w14:paraId="2CAC9745">
      <w:pPr>
        <w:pStyle w:val="2"/>
        <w:rPr>
          <w:rFonts w:ascii="Times New Roman" w:hAnsi="Times New Roman" w:eastAsia="方正小标宋_GBK" w:cs="Times New Roman"/>
          <w:kern w:val="0"/>
          <w:sz w:val="36"/>
          <w:szCs w:val="36"/>
        </w:rPr>
      </w:pPr>
    </w:p>
    <w:p w14:paraId="28689135">
      <w:pPr>
        <w:pStyle w:val="3"/>
        <w:rPr>
          <w:rFonts w:ascii="Times New Roman" w:hAnsi="Times New Roman" w:eastAsia="方正小标宋_GBK" w:cs="Times New Roman"/>
          <w:kern w:val="0"/>
          <w:sz w:val="36"/>
          <w:szCs w:val="36"/>
        </w:rPr>
      </w:pPr>
    </w:p>
    <w:p w14:paraId="04F24BD0">
      <w:pPr>
        <w:rPr>
          <w:rFonts w:ascii="Times New Roman" w:hAnsi="Times New Roman" w:eastAsia="方正小标宋_GBK" w:cs="Times New Roman"/>
          <w:kern w:val="0"/>
          <w:sz w:val="36"/>
          <w:szCs w:val="36"/>
        </w:rPr>
      </w:pPr>
    </w:p>
    <w:p w14:paraId="32B4DFCE">
      <w:pPr>
        <w:pStyle w:val="2"/>
        <w:rPr>
          <w:rFonts w:ascii="Times New Roman" w:hAnsi="Times New Roman" w:eastAsia="方正小标宋_GBK" w:cs="Times New Roman"/>
          <w:kern w:val="0"/>
          <w:sz w:val="36"/>
          <w:szCs w:val="36"/>
        </w:rPr>
      </w:pPr>
    </w:p>
    <w:p w14:paraId="60175A69">
      <w:pPr>
        <w:pStyle w:val="2"/>
        <w:keepNext w:val="0"/>
        <w:keepLines w:val="0"/>
        <w:pageBreakBefore w:val="0"/>
        <w:widowControl w:val="0"/>
        <w:kinsoku/>
        <w:wordWrap/>
        <w:overflowPunct/>
        <w:topLinePunct w:val="0"/>
        <w:autoSpaceDE/>
        <w:autoSpaceDN/>
        <w:bidi w:val="0"/>
        <w:adjustRightInd/>
        <w:snapToGrid w:val="0"/>
        <w:spacing w:line="400" w:lineRule="exact"/>
        <w:textAlignment w:val="auto"/>
      </w:pPr>
    </w:p>
    <w:p w14:paraId="48A3818F">
      <w:pPr>
        <w:pStyle w:val="3"/>
        <w:keepNext w:val="0"/>
        <w:keepLines w:val="0"/>
        <w:pageBreakBefore w:val="0"/>
        <w:widowControl/>
        <w:kinsoku/>
        <w:wordWrap/>
        <w:overflowPunct/>
        <w:topLinePunct w:val="0"/>
        <w:autoSpaceDE/>
        <w:autoSpaceDN/>
        <w:bidi w:val="0"/>
        <w:adjustRightInd/>
        <w:snapToGrid/>
        <w:spacing w:line="400" w:lineRule="exact"/>
        <w:textAlignment w:val="auto"/>
      </w:pPr>
    </w:p>
    <w:p w14:paraId="1777E62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6C97976">
      <w:pPr>
        <w:widowControl/>
        <w:spacing w:before="156" w:beforeLines="50"/>
        <w:jc w:val="left"/>
        <w:rPr>
          <w:rFonts w:hint="eastAsia" w:ascii="仿宋_GB2312" w:hAnsi="仿宋_GB2312" w:eastAsia="仿宋_GB2312" w:cs="仿宋_GB2312"/>
          <w:color w:val="000000"/>
          <w:kern w:val="0"/>
          <w:szCs w:val="21"/>
        </w:rPr>
      </w:pPr>
      <w:r>
        <w:rPr>
          <w:rFonts w:ascii="Times New Roman" w:hAnsi="Times New Roman" w:eastAsia="仿宋_GB2312" w:cs="Times New Roman"/>
          <w:color w:val="000000"/>
          <w:kern w:val="0"/>
          <w:szCs w:val="21"/>
        </w:rPr>
        <w:t xml:space="preserve">                                                                                                      </w:t>
      </w:r>
      <w:r>
        <w:rPr>
          <w:rFonts w:hint="default" w:ascii="Times New Roman" w:hAnsi="Times New Roman" w:eastAsia="仿宋_GB2312" w:cs="Times New Roman"/>
          <w:color w:val="000000"/>
          <w:kern w:val="0"/>
          <w:szCs w:val="21"/>
        </w:rPr>
        <w:t xml:space="preserve">           </w:t>
      </w:r>
      <w:r>
        <w:rPr>
          <w:rFonts w:hint="eastAsia" w:ascii="仿宋_GB2312" w:hAnsi="仿宋_GB2312" w:eastAsia="仿宋_GB2312" w:cs="仿宋_GB2312"/>
          <w:color w:val="000000"/>
          <w:kern w:val="0"/>
          <w:szCs w:val="21"/>
        </w:rPr>
        <w:t>公开05表</w:t>
      </w:r>
    </w:p>
    <w:p w14:paraId="6FB1A843">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怀化市机关事务管理局</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9DDAFF2">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0E5BF7D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FE0425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3D8AD43">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A06925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0266139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772CD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E8D4A5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E953C9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485E195">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DF2164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06F4C2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EC7098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753124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922091F">
            <w:pPr>
              <w:widowControl/>
              <w:jc w:val="left"/>
              <w:rPr>
                <w:rFonts w:ascii="Times New Roman" w:hAnsi="Times New Roman" w:eastAsia="仿宋_GB2312" w:cs="Times New Roman"/>
                <w:kern w:val="0"/>
                <w:szCs w:val="21"/>
              </w:rPr>
            </w:pPr>
          </w:p>
        </w:tc>
      </w:tr>
      <w:tr w14:paraId="60E31E7E">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FA8B82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61FCDD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CC71F8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C7F7C5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F589579">
            <w:pPr>
              <w:widowControl/>
              <w:jc w:val="left"/>
              <w:rPr>
                <w:rFonts w:ascii="Times New Roman" w:hAnsi="Times New Roman" w:eastAsia="仿宋_GB2312" w:cs="Times New Roman"/>
                <w:kern w:val="0"/>
                <w:szCs w:val="21"/>
              </w:rPr>
            </w:pPr>
          </w:p>
        </w:tc>
      </w:tr>
      <w:tr w14:paraId="17D85D97">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7FBA0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F0BD4BA">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5584BEF">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5D7D88C">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3</w:t>
            </w:r>
          </w:p>
        </w:tc>
      </w:tr>
      <w:tr w14:paraId="3066D8FF">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06532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B3ADE56">
            <w:pPr>
              <w:widowControl/>
              <w:jc w:val="right"/>
              <w:rPr>
                <w:rFonts w:ascii="Times New Roman" w:hAnsi="Times New Roman" w:eastAsia="仿宋_GB2312" w:cs="Times New Roman"/>
                <w:kern w:val="0"/>
                <w:szCs w:val="21"/>
              </w:rPr>
            </w:pPr>
            <w:r>
              <w:rPr>
                <w:rFonts w:hint="eastAsia" w:ascii="仿宋_GB2312" w:hAnsi="仿宋_GB2312" w:eastAsia="仿宋_GB2312" w:cs="仿宋_GB2312"/>
                <w:i w:val="0"/>
                <w:color w:val="000000"/>
                <w:kern w:val="0"/>
                <w:sz w:val="22"/>
                <w:szCs w:val="22"/>
                <w:u w:val="none"/>
                <w:lang w:val="en-US" w:eastAsia="zh-CN" w:bidi="ar"/>
              </w:rPr>
              <w:t>　3916.33</w:t>
            </w:r>
          </w:p>
        </w:tc>
        <w:tc>
          <w:tcPr>
            <w:tcW w:w="3492" w:type="dxa"/>
            <w:tcBorders>
              <w:top w:val="nil"/>
              <w:left w:val="nil"/>
              <w:bottom w:val="single" w:color="auto" w:sz="4" w:space="0"/>
              <w:right w:val="single" w:color="auto" w:sz="4" w:space="0"/>
            </w:tcBorders>
            <w:shd w:val="clear" w:color="auto" w:fill="auto"/>
            <w:vAlign w:val="center"/>
          </w:tcPr>
          <w:p w14:paraId="6412A0C2">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1790.46</w:t>
            </w:r>
          </w:p>
        </w:tc>
        <w:tc>
          <w:tcPr>
            <w:tcW w:w="3000" w:type="dxa"/>
            <w:tcBorders>
              <w:top w:val="nil"/>
              <w:left w:val="nil"/>
              <w:bottom w:val="single" w:color="auto" w:sz="4" w:space="0"/>
              <w:right w:val="single" w:color="auto" w:sz="8" w:space="0"/>
            </w:tcBorders>
            <w:shd w:val="clear" w:color="auto" w:fill="auto"/>
            <w:vAlign w:val="center"/>
          </w:tcPr>
          <w:p w14:paraId="1287D3FF">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b w:val="0"/>
                <w:bCs/>
                <w:i w:val="0"/>
                <w:color w:val="000000"/>
                <w:kern w:val="0"/>
                <w:sz w:val="22"/>
                <w:szCs w:val="22"/>
                <w:u w:val="none"/>
                <w:lang w:val="en-US" w:eastAsia="zh-CN" w:bidi="ar"/>
              </w:rPr>
              <w:t>2125.88</w:t>
            </w:r>
          </w:p>
        </w:tc>
      </w:tr>
      <w:tr w14:paraId="11446A2C">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E8754D">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688329F1">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59FF05B">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3571.34</w:t>
            </w:r>
          </w:p>
        </w:tc>
        <w:tc>
          <w:tcPr>
            <w:tcW w:w="3492" w:type="dxa"/>
            <w:tcBorders>
              <w:top w:val="nil"/>
              <w:left w:val="nil"/>
              <w:bottom w:val="single" w:color="auto" w:sz="4" w:space="0"/>
              <w:right w:val="single" w:color="auto" w:sz="4" w:space="0"/>
            </w:tcBorders>
            <w:shd w:val="clear" w:color="auto" w:fill="auto"/>
            <w:vAlign w:val="center"/>
          </w:tcPr>
          <w:p w14:paraId="04654C5F">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1505.46</w:t>
            </w:r>
          </w:p>
        </w:tc>
        <w:tc>
          <w:tcPr>
            <w:tcW w:w="3000" w:type="dxa"/>
            <w:tcBorders>
              <w:top w:val="nil"/>
              <w:left w:val="nil"/>
              <w:bottom w:val="single" w:color="auto" w:sz="4" w:space="0"/>
              <w:right w:val="single" w:color="auto" w:sz="8" w:space="0"/>
            </w:tcBorders>
            <w:shd w:val="clear" w:color="auto" w:fill="auto"/>
            <w:vAlign w:val="center"/>
          </w:tcPr>
          <w:p w14:paraId="06277899">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2065.88</w:t>
            </w:r>
          </w:p>
        </w:tc>
      </w:tr>
      <w:tr w14:paraId="11FC7379">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2185FA">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20103</w:t>
            </w:r>
          </w:p>
        </w:tc>
        <w:tc>
          <w:tcPr>
            <w:tcW w:w="3527" w:type="dxa"/>
            <w:tcBorders>
              <w:top w:val="nil"/>
              <w:left w:val="nil"/>
              <w:bottom w:val="single" w:color="auto" w:sz="4" w:space="0"/>
              <w:right w:val="single" w:color="auto" w:sz="4" w:space="0"/>
            </w:tcBorders>
            <w:shd w:val="clear" w:color="auto" w:fill="auto"/>
            <w:vAlign w:val="center"/>
          </w:tcPr>
          <w:p w14:paraId="191249D5">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070FE678">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3017.94</w:t>
            </w:r>
          </w:p>
        </w:tc>
        <w:tc>
          <w:tcPr>
            <w:tcW w:w="3492" w:type="dxa"/>
            <w:tcBorders>
              <w:top w:val="nil"/>
              <w:left w:val="nil"/>
              <w:bottom w:val="single" w:color="auto" w:sz="4" w:space="0"/>
              <w:right w:val="single" w:color="auto" w:sz="4" w:space="0"/>
            </w:tcBorders>
            <w:shd w:val="clear" w:color="auto" w:fill="auto"/>
            <w:vAlign w:val="center"/>
          </w:tcPr>
          <w:p w14:paraId="3FFB7253">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982.92</w:t>
            </w:r>
          </w:p>
        </w:tc>
        <w:tc>
          <w:tcPr>
            <w:tcW w:w="3000" w:type="dxa"/>
            <w:tcBorders>
              <w:top w:val="nil"/>
              <w:left w:val="nil"/>
              <w:bottom w:val="single" w:color="auto" w:sz="4" w:space="0"/>
              <w:right w:val="single" w:color="auto" w:sz="8" w:space="0"/>
            </w:tcBorders>
            <w:shd w:val="clear" w:color="auto" w:fill="auto"/>
            <w:vAlign w:val="center"/>
          </w:tcPr>
          <w:p w14:paraId="6932B714">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2035.02</w:t>
            </w:r>
          </w:p>
        </w:tc>
      </w:tr>
      <w:tr w14:paraId="75343546">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2AD28C6">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14:paraId="4B9E5822">
            <w:pPr>
              <w:keepNext w:val="0"/>
              <w:keepLines w:val="0"/>
              <w:widowControl/>
              <w:suppressLineNumbers w:val="0"/>
              <w:ind w:firstLine="220" w:firstLineChars="10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66DDC31A">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913.48</w:t>
            </w:r>
          </w:p>
        </w:tc>
        <w:tc>
          <w:tcPr>
            <w:tcW w:w="3492" w:type="dxa"/>
            <w:tcBorders>
              <w:top w:val="nil"/>
              <w:left w:val="nil"/>
              <w:bottom w:val="single" w:color="auto" w:sz="4" w:space="0"/>
              <w:right w:val="single" w:color="auto" w:sz="4" w:space="0"/>
            </w:tcBorders>
            <w:shd w:val="clear" w:color="auto" w:fill="auto"/>
            <w:vAlign w:val="center"/>
          </w:tcPr>
          <w:p w14:paraId="6021855B">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913.48</w:t>
            </w:r>
          </w:p>
        </w:tc>
        <w:tc>
          <w:tcPr>
            <w:tcW w:w="3000" w:type="dxa"/>
            <w:tcBorders>
              <w:top w:val="nil"/>
              <w:left w:val="nil"/>
              <w:bottom w:val="single" w:color="auto" w:sz="4" w:space="0"/>
              <w:right w:val="single" w:color="auto" w:sz="8" w:space="0"/>
            </w:tcBorders>
            <w:shd w:val="clear" w:color="auto" w:fill="auto"/>
            <w:vAlign w:val="center"/>
          </w:tcPr>
          <w:p w14:paraId="4AFF1443">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0585E495">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EF28C5D">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2010303</w:t>
            </w:r>
          </w:p>
        </w:tc>
        <w:tc>
          <w:tcPr>
            <w:tcW w:w="3527" w:type="dxa"/>
            <w:tcBorders>
              <w:top w:val="nil"/>
              <w:left w:val="nil"/>
              <w:bottom w:val="single" w:color="auto" w:sz="4" w:space="0"/>
              <w:right w:val="single" w:color="auto" w:sz="4" w:space="0"/>
            </w:tcBorders>
            <w:shd w:val="clear" w:color="auto" w:fill="auto"/>
            <w:vAlign w:val="center"/>
          </w:tcPr>
          <w:p w14:paraId="69C3EF7A">
            <w:pPr>
              <w:keepNext w:val="0"/>
              <w:keepLines w:val="0"/>
              <w:widowControl/>
              <w:suppressLineNumbers w:val="0"/>
              <w:ind w:firstLine="220" w:firstLineChars="10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机关服务</w:t>
            </w:r>
          </w:p>
        </w:tc>
        <w:tc>
          <w:tcPr>
            <w:tcW w:w="3000" w:type="dxa"/>
            <w:tcBorders>
              <w:top w:val="nil"/>
              <w:left w:val="nil"/>
              <w:bottom w:val="single" w:color="auto" w:sz="4" w:space="0"/>
              <w:right w:val="single" w:color="auto" w:sz="4" w:space="0"/>
            </w:tcBorders>
            <w:shd w:val="clear" w:color="auto" w:fill="auto"/>
            <w:vAlign w:val="center"/>
          </w:tcPr>
          <w:p w14:paraId="1C3ABEDA">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2104.46</w:t>
            </w:r>
          </w:p>
        </w:tc>
        <w:tc>
          <w:tcPr>
            <w:tcW w:w="3492" w:type="dxa"/>
            <w:tcBorders>
              <w:top w:val="nil"/>
              <w:left w:val="nil"/>
              <w:bottom w:val="single" w:color="auto" w:sz="4" w:space="0"/>
              <w:right w:val="single" w:color="auto" w:sz="4" w:space="0"/>
            </w:tcBorders>
            <w:shd w:val="clear" w:color="auto" w:fill="auto"/>
            <w:vAlign w:val="center"/>
          </w:tcPr>
          <w:p w14:paraId="5DC61F04">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69.44</w:t>
            </w:r>
          </w:p>
        </w:tc>
        <w:tc>
          <w:tcPr>
            <w:tcW w:w="3000" w:type="dxa"/>
            <w:tcBorders>
              <w:top w:val="nil"/>
              <w:left w:val="nil"/>
              <w:bottom w:val="single" w:color="auto" w:sz="4" w:space="0"/>
              <w:right w:val="single" w:color="auto" w:sz="8" w:space="0"/>
            </w:tcBorders>
            <w:shd w:val="clear" w:color="auto" w:fill="auto"/>
            <w:vAlign w:val="center"/>
          </w:tcPr>
          <w:p w14:paraId="3B5DF8C0">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2035.02</w:t>
            </w:r>
          </w:p>
        </w:tc>
      </w:tr>
      <w:tr w14:paraId="6E8380D2">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531A1D2">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20136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841726A">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其他共产党事务支出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8346CD8">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30.86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AB789F1">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4FEF0EE">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30.86</w:t>
            </w:r>
          </w:p>
        </w:tc>
      </w:tr>
      <w:tr w14:paraId="381E66B9">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A04F1EA">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2013602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086D50F">
            <w:pPr>
              <w:keepNext w:val="0"/>
              <w:keepLines w:val="0"/>
              <w:widowControl/>
              <w:suppressLineNumbers w:val="0"/>
              <w:ind w:firstLine="220" w:firstLineChars="10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一般行政管理事务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16BC477">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30.86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5D257FE">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7D21265">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30.86</w:t>
            </w:r>
          </w:p>
        </w:tc>
      </w:tr>
      <w:tr w14:paraId="5F22FEA7">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7EB9693">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DD09CA0">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其他一般公共服务支出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7E74A51">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522.54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6AF1056">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522.54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801C6B4">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3A9E81ED">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BAB929C">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2019999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6924605">
            <w:pPr>
              <w:keepNext w:val="0"/>
              <w:keepLines w:val="0"/>
              <w:widowControl/>
              <w:suppressLineNumbers w:val="0"/>
              <w:ind w:firstLine="220" w:firstLineChars="10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其他一般公共服务支出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0984C93">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522.54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1C3BB9D">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522.54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895507C">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7E4BA036">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2656662">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207</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7D31D06">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文化旅游体育与传媒支出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EF66674">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60.00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50AF4BF">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F516BF">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60.00</w:t>
            </w:r>
          </w:p>
        </w:tc>
      </w:tr>
      <w:tr w14:paraId="2582879E">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8D3CE2E">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20799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FF86852">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其他文化旅游体育与传媒支出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E523B97">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60.00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12B419D">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B58A736">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60.00</w:t>
            </w:r>
          </w:p>
        </w:tc>
      </w:tr>
      <w:tr w14:paraId="57F6AE83">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D564D18">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2079999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CF48BD1">
            <w:pPr>
              <w:keepNext w:val="0"/>
              <w:keepLines w:val="0"/>
              <w:widowControl/>
              <w:suppressLineNumbers w:val="0"/>
              <w:ind w:firstLine="220" w:firstLineChars="10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其他文化旅游体育与传媒支出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137034C">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60.00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3E90DE4">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BF685A">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60.00</w:t>
            </w:r>
          </w:p>
        </w:tc>
      </w:tr>
      <w:tr w14:paraId="01C85049">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AB31B56">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4270016">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0BD38FF">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235.51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BBCE6C4">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235.51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7BFFA4C">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69A81447">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CED275C">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20805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156F73D">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C2601F9">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235.51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14DCBC2">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235.51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5F50D0C">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0CA6291B">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96AA84B">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2080501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E4A9D2C">
            <w:pPr>
              <w:keepNext w:val="0"/>
              <w:keepLines w:val="0"/>
              <w:widowControl/>
              <w:suppressLineNumbers w:val="0"/>
              <w:ind w:firstLine="220" w:firstLineChars="10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行政单位离退休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977E2F6">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131.08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8A677E6">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131.08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115E5AF">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1E4B43F6">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4CACB62">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9C16B0B">
            <w:pPr>
              <w:keepNext w:val="0"/>
              <w:keepLines w:val="0"/>
              <w:widowControl/>
              <w:suppressLineNumbers w:val="0"/>
              <w:ind w:firstLine="220" w:firstLineChars="10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5E20219">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104.43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CF0B0A7">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104.43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2DB6FFC">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2EED7E28">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103B3BF">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C52B5F7">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BAF0E7F">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41.76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05B1F20">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41.76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2BB70E2">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4B158893">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F4228E0">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51C1B47">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E37AEDA">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41.76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3010314">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41.76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37858F6">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23ED8B18">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0CB9FFC">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7996406">
            <w:pPr>
              <w:keepNext w:val="0"/>
              <w:keepLines w:val="0"/>
              <w:widowControl/>
              <w:suppressLineNumbers w:val="0"/>
              <w:ind w:firstLine="220" w:firstLineChars="10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697208D">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41.76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8DBCF00">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41.76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0C93CB2">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68132460">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70824DB">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58F0D55">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A45CFFF">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7.73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5CB4B0E">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7.73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9FF8D00">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39400FB3">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3684799">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8104DA5">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住房改革支出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7D819FB">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7.73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11B8CB7">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7.73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6F4DDEC">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r w14:paraId="2C61071E">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D193355">
            <w:pPr>
              <w:keepNext w:val="0"/>
              <w:keepLines w:val="0"/>
              <w:widowControl/>
              <w:suppressLineNumbers w:val="0"/>
              <w:jc w:val="lef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D580B8E">
            <w:pPr>
              <w:keepNext w:val="0"/>
              <w:keepLines w:val="0"/>
              <w:widowControl/>
              <w:suppressLineNumbers w:val="0"/>
              <w:ind w:firstLine="220" w:firstLineChars="10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FD21BF3">
            <w:pPr>
              <w:keepNext w:val="0"/>
              <w:keepLines w:val="0"/>
              <w:widowControl/>
              <w:suppressLineNumbers w:val="0"/>
              <w:jc w:val="righ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color w:val="000000"/>
                <w:kern w:val="0"/>
                <w:sz w:val="22"/>
                <w:szCs w:val="22"/>
                <w:u w:val="none"/>
                <w:lang w:val="en-US" w:eastAsia="zh-CN" w:bidi="ar"/>
              </w:rPr>
              <w:t>7.73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30AFDC9">
            <w:pPr>
              <w:keepNext w:val="0"/>
              <w:keepLines w:val="0"/>
              <w:widowControl/>
              <w:suppressLineNumbers w:val="0"/>
              <w:jc w:val="right"/>
              <w:textAlignment w:val="center"/>
              <w:rPr>
                <w:rFonts w:hint="eastAsia" w:ascii="仿宋_GB2312" w:hAnsi="仿宋_GB2312" w:eastAsia="仿宋_GB2312" w:cs="仿宋_GB2312"/>
                <w:b w:val="0"/>
                <w:bCs/>
                <w:kern w:val="0"/>
                <w:sz w:val="22"/>
                <w:szCs w:val="22"/>
              </w:rPr>
            </w:pPr>
            <w:r>
              <w:rPr>
                <w:rFonts w:hint="eastAsia" w:ascii="仿宋_GB2312" w:hAnsi="仿宋_GB2312" w:eastAsia="仿宋_GB2312" w:cs="仿宋_GB2312"/>
                <w:b w:val="0"/>
                <w:bCs/>
                <w:i w:val="0"/>
                <w:color w:val="000000"/>
                <w:kern w:val="0"/>
                <w:sz w:val="22"/>
                <w:szCs w:val="22"/>
                <w:u w:val="none"/>
                <w:lang w:val="en-US" w:eastAsia="zh-CN" w:bidi="ar"/>
              </w:rPr>
              <w:t>7.73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6C168BA">
            <w:pPr>
              <w:keepNext w:val="0"/>
              <w:keepLines w:val="0"/>
              <w:widowControl/>
              <w:suppressLineNumbers w:val="0"/>
              <w:jc w:val="right"/>
              <w:textAlignment w:val="center"/>
              <w:rPr>
                <w:rFonts w:hint="eastAsia" w:ascii="仿宋_GB2312" w:hAnsi="仿宋_GB2312" w:eastAsia="仿宋_GB2312" w:cs="仿宋_GB2312"/>
                <w:kern w:val="0"/>
                <w:szCs w:val="21"/>
              </w:rPr>
            </w:pPr>
            <w:r>
              <w:rPr>
                <w:rFonts w:hint="eastAsia" w:ascii="仿宋_GB2312" w:hAnsi="仿宋_GB2312" w:eastAsia="仿宋_GB2312" w:cs="仿宋_GB2312"/>
                <w:i w:val="0"/>
                <w:color w:val="000000"/>
                <w:kern w:val="0"/>
                <w:sz w:val="22"/>
                <w:szCs w:val="22"/>
                <w:u w:val="none"/>
                <w:lang w:val="en-US" w:eastAsia="zh-CN" w:bidi="ar"/>
              </w:rPr>
              <w:t>0.00</w:t>
            </w:r>
          </w:p>
        </w:tc>
      </w:tr>
    </w:tbl>
    <w:p w14:paraId="095EA938">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ABE76C3">
      <w:pPr>
        <w:widowControl/>
        <w:jc w:val="left"/>
        <w:rPr>
          <w:rFonts w:ascii="Times New Roman" w:hAnsi="Times New Roman" w:eastAsia="仿宋_GB2312" w:cs="Times New Roman"/>
          <w:bCs/>
          <w:kern w:val="0"/>
          <w:szCs w:val="21"/>
        </w:rPr>
      </w:pPr>
    </w:p>
    <w:p w14:paraId="5A1B3AB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0FB4AEC">
      <w:pPr>
        <w:keepNext w:val="0"/>
        <w:keepLines w:val="0"/>
        <w:pageBreakBefore w:val="0"/>
        <w:widowControl/>
        <w:kinsoku/>
        <w:wordWrap/>
        <w:overflowPunct/>
        <w:topLinePunct w:val="0"/>
        <w:autoSpaceDE/>
        <w:autoSpaceDN/>
        <w:bidi w:val="0"/>
        <w:adjustRightInd/>
        <w:snapToGrid/>
        <w:spacing w:after="120" w:line="400" w:lineRule="exact"/>
        <w:jc w:val="center"/>
        <w:textAlignment w:val="center"/>
        <w:rPr>
          <w:rFonts w:ascii="Times New Roman" w:hAnsi="Times New Roman" w:eastAsia="黑体" w:cs="Times New Roman"/>
          <w:color w:val="000000"/>
          <w:kern w:val="0"/>
          <w:sz w:val="36"/>
          <w:szCs w:val="36"/>
          <w:lang w:bidi="ar"/>
        </w:rPr>
      </w:pPr>
      <w:bookmarkStart w:id="2" w:name="RANGE!A1:I34"/>
    </w:p>
    <w:p w14:paraId="1F89DC7B">
      <w:pPr>
        <w:widowControl/>
        <w:spacing w:after="12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一般公共预算财政拨款基本支出决算明细表</w:t>
      </w:r>
      <w:bookmarkEnd w:id="2"/>
    </w:p>
    <w:p w14:paraId="7C6E5506">
      <w:pPr>
        <w:widowControl/>
        <w:wordWrap w:val="0"/>
        <w:spacing w:line="240" w:lineRule="exact"/>
        <w:jc w:val="right"/>
        <w:rPr>
          <w:rFonts w:hint="eastAsia" w:ascii="仿宋_GB2312" w:hAnsi="仿宋_GB2312" w:eastAsia="仿宋_GB2312" w:cs="仿宋_GB2312"/>
          <w:color w:val="000000"/>
          <w:kern w:val="0"/>
          <w:szCs w:val="21"/>
        </w:rPr>
      </w:pPr>
      <w:r>
        <w:rPr>
          <w:rFonts w:ascii="Times New Roman" w:hAnsi="Times New Roman" w:eastAsia="仿宋_GB2312" w:cs="Times New Roman"/>
          <w:color w:val="000000"/>
          <w:kern w:val="0"/>
          <w:szCs w:val="21"/>
        </w:rPr>
        <w:t xml:space="preserve">                                                                                                              </w:t>
      </w:r>
      <w:r>
        <w:rPr>
          <w:rFonts w:hint="eastAsia" w:ascii="仿宋_GB2312" w:hAnsi="仿宋_GB2312" w:eastAsia="仿宋_GB2312" w:cs="仿宋_GB2312"/>
          <w:color w:val="000000"/>
          <w:kern w:val="0"/>
          <w:szCs w:val="21"/>
        </w:rPr>
        <w:t>公开06表</w:t>
      </w:r>
    </w:p>
    <w:p w14:paraId="66781874">
      <w:pPr>
        <w:widowControl/>
        <w:spacing w:line="240" w:lineRule="exact"/>
        <w:jc w:val="righ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21"/>
        </w:rPr>
        <w:t xml:space="preserve">     部门：怀化市机关事务管理局                                                                                             单位：万元</w:t>
      </w:r>
    </w:p>
    <w:tbl>
      <w:tblPr>
        <w:tblStyle w:val="8"/>
        <w:tblW w:w="14627" w:type="dxa"/>
        <w:jc w:val="center"/>
        <w:tblLayout w:type="fixed"/>
        <w:tblCellMar>
          <w:top w:w="0" w:type="dxa"/>
          <w:left w:w="108" w:type="dxa"/>
          <w:bottom w:w="0" w:type="dxa"/>
          <w:right w:w="108" w:type="dxa"/>
        </w:tblCellMar>
      </w:tblPr>
      <w:tblGrid>
        <w:gridCol w:w="1081"/>
        <w:gridCol w:w="2647"/>
        <w:gridCol w:w="1150"/>
        <w:gridCol w:w="1135"/>
        <w:gridCol w:w="2018"/>
        <w:gridCol w:w="933"/>
        <w:gridCol w:w="1217"/>
        <w:gridCol w:w="3517"/>
        <w:gridCol w:w="929"/>
      </w:tblGrid>
      <w:tr w14:paraId="7D4EC492">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CA9D86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47" w:type="dxa"/>
            <w:tcBorders>
              <w:top w:val="single" w:color="auto" w:sz="4" w:space="0"/>
              <w:left w:val="nil"/>
              <w:bottom w:val="single" w:color="auto" w:sz="4" w:space="0"/>
              <w:right w:val="single" w:color="auto" w:sz="4" w:space="0"/>
            </w:tcBorders>
            <w:shd w:val="clear" w:color="auto" w:fill="auto"/>
            <w:vAlign w:val="center"/>
          </w:tcPr>
          <w:p w14:paraId="30E0044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50" w:type="dxa"/>
            <w:tcBorders>
              <w:top w:val="single" w:color="auto" w:sz="4" w:space="0"/>
              <w:left w:val="nil"/>
              <w:bottom w:val="single" w:color="auto" w:sz="4" w:space="0"/>
              <w:right w:val="single" w:color="auto" w:sz="4" w:space="0"/>
            </w:tcBorders>
            <w:shd w:val="clear" w:color="auto" w:fill="auto"/>
            <w:vAlign w:val="center"/>
          </w:tcPr>
          <w:p w14:paraId="6121FCB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35" w:type="dxa"/>
            <w:tcBorders>
              <w:top w:val="single" w:color="auto" w:sz="4" w:space="0"/>
              <w:left w:val="nil"/>
              <w:bottom w:val="single" w:color="auto" w:sz="4" w:space="0"/>
              <w:right w:val="single" w:color="auto" w:sz="4" w:space="0"/>
            </w:tcBorders>
            <w:shd w:val="clear" w:color="auto" w:fill="auto"/>
            <w:vAlign w:val="center"/>
          </w:tcPr>
          <w:p w14:paraId="4F35C66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5C672E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0EE3750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1E57D6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0E35E3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B5132D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99698D8">
        <w:trPr>
          <w:trHeight w:val="33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39F59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w:t>
            </w:r>
          </w:p>
        </w:tc>
        <w:tc>
          <w:tcPr>
            <w:tcW w:w="2647" w:type="dxa"/>
            <w:tcBorders>
              <w:top w:val="nil"/>
              <w:left w:val="nil"/>
              <w:bottom w:val="single" w:color="auto" w:sz="4" w:space="0"/>
              <w:right w:val="single" w:color="auto" w:sz="4" w:space="0"/>
            </w:tcBorders>
            <w:shd w:val="clear" w:color="auto" w:fill="auto"/>
            <w:noWrap/>
            <w:vAlign w:val="center"/>
          </w:tcPr>
          <w:p w14:paraId="4D9CBF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50" w:type="dxa"/>
            <w:tcBorders>
              <w:top w:val="nil"/>
              <w:left w:val="nil"/>
              <w:bottom w:val="single" w:color="auto" w:sz="4" w:space="0"/>
              <w:right w:val="single" w:color="auto" w:sz="4" w:space="0"/>
            </w:tcBorders>
            <w:shd w:val="clear" w:color="auto" w:fill="auto"/>
            <w:noWrap/>
            <w:vAlign w:val="center"/>
          </w:tcPr>
          <w:p w14:paraId="4C6F3695">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1078.31</w:t>
            </w:r>
          </w:p>
        </w:tc>
        <w:tc>
          <w:tcPr>
            <w:tcW w:w="1135" w:type="dxa"/>
            <w:tcBorders>
              <w:top w:val="nil"/>
              <w:left w:val="nil"/>
              <w:bottom w:val="single" w:color="auto" w:sz="4" w:space="0"/>
              <w:right w:val="single" w:color="auto" w:sz="4" w:space="0"/>
            </w:tcBorders>
            <w:shd w:val="clear" w:color="auto" w:fill="auto"/>
            <w:noWrap/>
            <w:vAlign w:val="center"/>
          </w:tcPr>
          <w:p w14:paraId="14D429A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5A3042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9F98103">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584.86</w:t>
            </w:r>
          </w:p>
        </w:tc>
        <w:tc>
          <w:tcPr>
            <w:tcW w:w="1217" w:type="dxa"/>
            <w:tcBorders>
              <w:top w:val="nil"/>
              <w:left w:val="nil"/>
              <w:bottom w:val="single" w:color="auto" w:sz="4" w:space="0"/>
              <w:right w:val="single" w:color="auto" w:sz="4" w:space="0"/>
            </w:tcBorders>
            <w:shd w:val="clear" w:color="auto" w:fill="auto"/>
            <w:noWrap/>
            <w:vAlign w:val="center"/>
          </w:tcPr>
          <w:p w14:paraId="3C223E3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5448D1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68A67F6">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09692C6C">
        <w:trPr>
          <w:trHeight w:val="383"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FDFE6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30101</w:t>
            </w:r>
          </w:p>
        </w:tc>
        <w:tc>
          <w:tcPr>
            <w:tcW w:w="2647" w:type="dxa"/>
            <w:tcBorders>
              <w:top w:val="nil"/>
              <w:left w:val="nil"/>
              <w:bottom w:val="single" w:color="auto" w:sz="4" w:space="0"/>
              <w:right w:val="single" w:color="auto" w:sz="4" w:space="0"/>
            </w:tcBorders>
            <w:shd w:val="clear" w:color="auto" w:fill="auto"/>
            <w:noWrap/>
            <w:vAlign w:val="center"/>
          </w:tcPr>
          <w:p w14:paraId="105CE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50" w:type="dxa"/>
            <w:tcBorders>
              <w:top w:val="nil"/>
              <w:left w:val="nil"/>
              <w:bottom w:val="single" w:color="auto" w:sz="4" w:space="0"/>
              <w:right w:val="single" w:color="auto" w:sz="4" w:space="0"/>
            </w:tcBorders>
            <w:shd w:val="clear" w:color="auto" w:fill="auto"/>
            <w:noWrap/>
            <w:vAlign w:val="center"/>
          </w:tcPr>
          <w:p w14:paraId="1A6715DB">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234.65</w:t>
            </w:r>
          </w:p>
        </w:tc>
        <w:tc>
          <w:tcPr>
            <w:tcW w:w="1135" w:type="dxa"/>
            <w:tcBorders>
              <w:top w:val="nil"/>
              <w:left w:val="nil"/>
              <w:bottom w:val="single" w:color="auto" w:sz="4" w:space="0"/>
              <w:right w:val="single" w:color="auto" w:sz="4" w:space="0"/>
            </w:tcBorders>
            <w:shd w:val="clear" w:color="auto" w:fill="auto"/>
            <w:noWrap/>
            <w:vAlign w:val="center"/>
          </w:tcPr>
          <w:p w14:paraId="7051390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4C77B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FD635BE">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7.42</w:t>
            </w:r>
          </w:p>
        </w:tc>
        <w:tc>
          <w:tcPr>
            <w:tcW w:w="1217" w:type="dxa"/>
            <w:tcBorders>
              <w:top w:val="nil"/>
              <w:left w:val="nil"/>
              <w:bottom w:val="single" w:color="auto" w:sz="4" w:space="0"/>
              <w:right w:val="single" w:color="auto" w:sz="4" w:space="0"/>
            </w:tcBorders>
            <w:shd w:val="clear" w:color="auto" w:fill="auto"/>
            <w:noWrap/>
            <w:vAlign w:val="center"/>
          </w:tcPr>
          <w:p w14:paraId="2464A92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9E299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A9452FC">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4696B5AF">
        <w:trPr>
          <w:trHeight w:val="33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B501B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30102</w:t>
            </w:r>
          </w:p>
        </w:tc>
        <w:tc>
          <w:tcPr>
            <w:tcW w:w="2647" w:type="dxa"/>
            <w:tcBorders>
              <w:top w:val="nil"/>
              <w:left w:val="nil"/>
              <w:bottom w:val="single" w:color="auto" w:sz="4" w:space="0"/>
              <w:right w:val="single" w:color="auto" w:sz="4" w:space="0"/>
            </w:tcBorders>
            <w:shd w:val="clear" w:color="auto" w:fill="auto"/>
            <w:noWrap/>
            <w:vAlign w:val="center"/>
          </w:tcPr>
          <w:p w14:paraId="660663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50" w:type="dxa"/>
            <w:tcBorders>
              <w:top w:val="nil"/>
              <w:left w:val="nil"/>
              <w:bottom w:val="single" w:color="auto" w:sz="4" w:space="0"/>
              <w:right w:val="single" w:color="auto" w:sz="4" w:space="0"/>
            </w:tcBorders>
            <w:shd w:val="clear" w:color="auto" w:fill="auto"/>
            <w:noWrap/>
            <w:vAlign w:val="center"/>
          </w:tcPr>
          <w:p w14:paraId="0A7AC377">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68.88</w:t>
            </w:r>
          </w:p>
        </w:tc>
        <w:tc>
          <w:tcPr>
            <w:tcW w:w="1135" w:type="dxa"/>
            <w:tcBorders>
              <w:top w:val="nil"/>
              <w:left w:val="nil"/>
              <w:bottom w:val="single" w:color="auto" w:sz="4" w:space="0"/>
              <w:right w:val="single" w:color="auto" w:sz="4" w:space="0"/>
            </w:tcBorders>
            <w:shd w:val="clear" w:color="auto" w:fill="auto"/>
            <w:noWrap/>
            <w:vAlign w:val="center"/>
          </w:tcPr>
          <w:p w14:paraId="6C02138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5D1D42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5FA0FEE">
            <w:pPr>
              <w:keepNext w:val="0"/>
              <w:keepLines w:val="0"/>
              <w:widowControl/>
              <w:suppressLineNumbers w:val="0"/>
              <w:jc w:val="righ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 xml:space="preserve">0.26 </w:t>
            </w:r>
          </w:p>
          <w:p w14:paraId="1CE15650">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p>
        </w:tc>
        <w:tc>
          <w:tcPr>
            <w:tcW w:w="1217" w:type="dxa"/>
            <w:tcBorders>
              <w:top w:val="nil"/>
              <w:left w:val="nil"/>
              <w:bottom w:val="single" w:color="auto" w:sz="4" w:space="0"/>
              <w:right w:val="single" w:color="auto" w:sz="4" w:space="0"/>
            </w:tcBorders>
            <w:shd w:val="clear" w:color="auto" w:fill="auto"/>
            <w:noWrap/>
            <w:vAlign w:val="center"/>
          </w:tcPr>
          <w:p w14:paraId="4A8B8DB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66FFB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106B001">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2FD95904">
        <w:trPr>
          <w:trHeight w:val="32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56E7F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30103</w:t>
            </w:r>
          </w:p>
        </w:tc>
        <w:tc>
          <w:tcPr>
            <w:tcW w:w="2647" w:type="dxa"/>
            <w:tcBorders>
              <w:top w:val="nil"/>
              <w:left w:val="nil"/>
              <w:bottom w:val="single" w:color="auto" w:sz="4" w:space="0"/>
              <w:right w:val="single" w:color="auto" w:sz="4" w:space="0"/>
            </w:tcBorders>
            <w:shd w:val="clear" w:color="auto" w:fill="auto"/>
            <w:noWrap/>
            <w:vAlign w:val="center"/>
          </w:tcPr>
          <w:p w14:paraId="1EE98E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50" w:type="dxa"/>
            <w:tcBorders>
              <w:top w:val="nil"/>
              <w:left w:val="nil"/>
              <w:bottom w:val="single" w:color="auto" w:sz="4" w:space="0"/>
              <w:right w:val="single" w:color="auto" w:sz="4" w:space="0"/>
            </w:tcBorders>
            <w:shd w:val="clear" w:color="auto" w:fill="auto"/>
            <w:noWrap/>
            <w:vAlign w:val="center"/>
          </w:tcPr>
          <w:p w14:paraId="3403288D">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245.80</w:t>
            </w:r>
          </w:p>
        </w:tc>
        <w:tc>
          <w:tcPr>
            <w:tcW w:w="1135" w:type="dxa"/>
            <w:tcBorders>
              <w:top w:val="nil"/>
              <w:left w:val="nil"/>
              <w:bottom w:val="single" w:color="auto" w:sz="4" w:space="0"/>
              <w:right w:val="single" w:color="auto" w:sz="4" w:space="0"/>
            </w:tcBorders>
            <w:shd w:val="clear" w:color="auto" w:fill="auto"/>
            <w:noWrap/>
            <w:vAlign w:val="center"/>
          </w:tcPr>
          <w:p w14:paraId="7EF9981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65B67C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4CB8DFA">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51AF7A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673003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2B4C233">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2748CAA9">
        <w:trPr>
          <w:trHeight w:val="34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EE5BE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30106</w:t>
            </w:r>
          </w:p>
        </w:tc>
        <w:tc>
          <w:tcPr>
            <w:tcW w:w="2647" w:type="dxa"/>
            <w:tcBorders>
              <w:top w:val="nil"/>
              <w:left w:val="nil"/>
              <w:bottom w:val="single" w:color="auto" w:sz="4" w:space="0"/>
              <w:right w:val="single" w:color="auto" w:sz="4" w:space="0"/>
            </w:tcBorders>
            <w:shd w:val="clear" w:color="auto" w:fill="auto"/>
            <w:noWrap/>
            <w:vAlign w:val="center"/>
          </w:tcPr>
          <w:p w14:paraId="444A3D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50" w:type="dxa"/>
            <w:tcBorders>
              <w:top w:val="nil"/>
              <w:left w:val="nil"/>
              <w:bottom w:val="single" w:color="auto" w:sz="4" w:space="0"/>
              <w:right w:val="single" w:color="auto" w:sz="4" w:space="0"/>
            </w:tcBorders>
            <w:shd w:val="clear" w:color="auto" w:fill="auto"/>
            <w:noWrap/>
            <w:vAlign w:val="center"/>
          </w:tcPr>
          <w:p w14:paraId="72344A88">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nil"/>
              <w:left w:val="nil"/>
              <w:bottom w:val="single" w:color="auto" w:sz="4" w:space="0"/>
              <w:right w:val="single" w:color="auto" w:sz="4" w:space="0"/>
            </w:tcBorders>
            <w:shd w:val="clear" w:color="auto" w:fill="auto"/>
            <w:noWrap/>
            <w:vAlign w:val="center"/>
          </w:tcPr>
          <w:p w14:paraId="15F0D49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189B3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E28ACDB">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D7E3E1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FFDF4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43B43C2">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7BB66D10">
        <w:trPr>
          <w:trHeight w:val="29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0894B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30107</w:t>
            </w:r>
          </w:p>
        </w:tc>
        <w:tc>
          <w:tcPr>
            <w:tcW w:w="2647" w:type="dxa"/>
            <w:tcBorders>
              <w:top w:val="nil"/>
              <w:left w:val="nil"/>
              <w:bottom w:val="single" w:color="auto" w:sz="4" w:space="0"/>
              <w:right w:val="single" w:color="auto" w:sz="4" w:space="0"/>
            </w:tcBorders>
            <w:shd w:val="clear" w:color="auto" w:fill="auto"/>
            <w:noWrap/>
            <w:vAlign w:val="center"/>
          </w:tcPr>
          <w:p w14:paraId="48C822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50" w:type="dxa"/>
            <w:tcBorders>
              <w:top w:val="nil"/>
              <w:left w:val="nil"/>
              <w:bottom w:val="single" w:color="auto" w:sz="4" w:space="0"/>
              <w:right w:val="single" w:color="auto" w:sz="4" w:space="0"/>
            </w:tcBorders>
            <w:shd w:val="clear" w:color="auto" w:fill="auto"/>
            <w:noWrap/>
            <w:vAlign w:val="center"/>
          </w:tcPr>
          <w:p w14:paraId="40C60EA5">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91.13</w:t>
            </w:r>
          </w:p>
        </w:tc>
        <w:tc>
          <w:tcPr>
            <w:tcW w:w="1135" w:type="dxa"/>
            <w:tcBorders>
              <w:top w:val="nil"/>
              <w:left w:val="nil"/>
              <w:bottom w:val="single" w:color="auto" w:sz="4" w:space="0"/>
              <w:right w:val="single" w:color="auto" w:sz="4" w:space="0"/>
            </w:tcBorders>
            <w:shd w:val="clear" w:color="auto" w:fill="auto"/>
            <w:noWrap/>
            <w:vAlign w:val="center"/>
          </w:tcPr>
          <w:p w14:paraId="53B81B5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456CE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6AFE2443">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26.95</w:t>
            </w:r>
          </w:p>
        </w:tc>
        <w:tc>
          <w:tcPr>
            <w:tcW w:w="1217" w:type="dxa"/>
            <w:tcBorders>
              <w:top w:val="nil"/>
              <w:left w:val="nil"/>
              <w:bottom w:val="single" w:color="auto" w:sz="4" w:space="0"/>
              <w:right w:val="single" w:color="auto" w:sz="4" w:space="0"/>
            </w:tcBorders>
            <w:shd w:val="clear" w:color="auto" w:fill="auto"/>
            <w:noWrap/>
            <w:vAlign w:val="center"/>
          </w:tcPr>
          <w:p w14:paraId="76DA32E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1A51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EEFF92A">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61A9AD45">
        <w:trPr>
          <w:trHeight w:val="60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E3065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30108</w:t>
            </w:r>
          </w:p>
        </w:tc>
        <w:tc>
          <w:tcPr>
            <w:tcW w:w="2647" w:type="dxa"/>
            <w:tcBorders>
              <w:top w:val="nil"/>
              <w:left w:val="nil"/>
              <w:bottom w:val="single" w:color="auto" w:sz="4" w:space="0"/>
              <w:right w:val="single" w:color="auto" w:sz="4" w:space="0"/>
            </w:tcBorders>
            <w:shd w:val="clear" w:color="auto" w:fill="auto"/>
            <w:noWrap/>
            <w:vAlign w:val="center"/>
          </w:tcPr>
          <w:p w14:paraId="3C4A2E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50" w:type="dxa"/>
            <w:tcBorders>
              <w:top w:val="nil"/>
              <w:left w:val="nil"/>
              <w:bottom w:val="single" w:color="auto" w:sz="4" w:space="0"/>
              <w:right w:val="single" w:color="auto" w:sz="4" w:space="0"/>
            </w:tcBorders>
            <w:shd w:val="clear" w:color="auto" w:fill="auto"/>
            <w:noWrap/>
            <w:vAlign w:val="center"/>
          </w:tcPr>
          <w:p w14:paraId="76C4DE50">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160.62</w:t>
            </w:r>
          </w:p>
        </w:tc>
        <w:tc>
          <w:tcPr>
            <w:tcW w:w="1135" w:type="dxa"/>
            <w:tcBorders>
              <w:top w:val="nil"/>
              <w:left w:val="nil"/>
              <w:bottom w:val="single" w:color="auto" w:sz="4" w:space="0"/>
              <w:right w:val="single" w:color="auto" w:sz="4" w:space="0"/>
            </w:tcBorders>
            <w:shd w:val="clear" w:color="auto" w:fill="auto"/>
            <w:noWrap/>
            <w:vAlign w:val="center"/>
          </w:tcPr>
          <w:p w14:paraId="6471F28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BE0E3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D8F0FE">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432.80</w:t>
            </w:r>
          </w:p>
        </w:tc>
        <w:tc>
          <w:tcPr>
            <w:tcW w:w="1217" w:type="dxa"/>
            <w:tcBorders>
              <w:top w:val="nil"/>
              <w:left w:val="nil"/>
              <w:bottom w:val="single" w:color="auto" w:sz="4" w:space="0"/>
              <w:right w:val="single" w:color="auto" w:sz="4" w:space="0"/>
            </w:tcBorders>
            <w:shd w:val="clear" w:color="auto" w:fill="auto"/>
            <w:noWrap/>
            <w:vAlign w:val="center"/>
          </w:tcPr>
          <w:p w14:paraId="583880A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19AF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F246CD4">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32635F68">
        <w:trPr>
          <w:trHeight w:val="32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1F961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30109</w:t>
            </w:r>
          </w:p>
        </w:tc>
        <w:tc>
          <w:tcPr>
            <w:tcW w:w="2647" w:type="dxa"/>
            <w:tcBorders>
              <w:top w:val="nil"/>
              <w:left w:val="nil"/>
              <w:bottom w:val="single" w:color="auto" w:sz="4" w:space="0"/>
              <w:right w:val="single" w:color="auto" w:sz="4" w:space="0"/>
            </w:tcBorders>
            <w:shd w:val="clear" w:color="auto" w:fill="auto"/>
            <w:noWrap/>
            <w:vAlign w:val="center"/>
          </w:tcPr>
          <w:p w14:paraId="0DBEC5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50" w:type="dxa"/>
            <w:tcBorders>
              <w:top w:val="nil"/>
              <w:left w:val="nil"/>
              <w:bottom w:val="single" w:color="auto" w:sz="4" w:space="0"/>
              <w:right w:val="single" w:color="auto" w:sz="4" w:space="0"/>
            </w:tcBorders>
            <w:shd w:val="clear" w:color="auto" w:fill="auto"/>
            <w:noWrap/>
            <w:vAlign w:val="center"/>
          </w:tcPr>
          <w:p w14:paraId="12A7058B">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26.68</w:t>
            </w:r>
          </w:p>
        </w:tc>
        <w:tc>
          <w:tcPr>
            <w:tcW w:w="1135" w:type="dxa"/>
            <w:tcBorders>
              <w:top w:val="nil"/>
              <w:left w:val="nil"/>
              <w:bottom w:val="single" w:color="auto" w:sz="4" w:space="0"/>
              <w:right w:val="single" w:color="auto" w:sz="4" w:space="0"/>
            </w:tcBorders>
            <w:shd w:val="clear" w:color="auto" w:fill="auto"/>
            <w:noWrap/>
            <w:vAlign w:val="center"/>
          </w:tcPr>
          <w:p w14:paraId="1C50267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68ABC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58A8892">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1.39</w:t>
            </w:r>
          </w:p>
        </w:tc>
        <w:tc>
          <w:tcPr>
            <w:tcW w:w="1217" w:type="dxa"/>
            <w:tcBorders>
              <w:top w:val="nil"/>
              <w:left w:val="nil"/>
              <w:bottom w:val="single" w:color="auto" w:sz="4" w:space="0"/>
              <w:right w:val="single" w:color="auto" w:sz="4" w:space="0"/>
            </w:tcBorders>
            <w:shd w:val="clear" w:color="auto" w:fill="auto"/>
            <w:noWrap/>
            <w:vAlign w:val="center"/>
          </w:tcPr>
          <w:p w14:paraId="7C5FDC0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1E9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14A1789A">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0EEDB5B6">
        <w:trPr>
          <w:trHeight w:val="2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A2B7A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30110</w:t>
            </w:r>
          </w:p>
        </w:tc>
        <w:tc>
          <w:tcPr>
            <w:tcW w:w="2647" w:type="dxa"/>
            <w:tcBorders>
              <w:top w:val="nil"/>
              <w:left w:val="nil"/>
              <w:bottom w:val="single" w:color="auto" w:sz="4" w:space="0"/>
              <w:right w:val="single" w:color="auto" w:sz="4" w:space="0"/>
            </w:tcBorders>
            <w:shd w:val="clear" w:color="auto" w:fill="auto"/>
            <w:noWrap/>
            <w:vAlign w:val="center"/>
          </w:tcPr>
          <w:p w14:paraId="218103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50" w:type="dxa"/>
            <w:tcBorders>
              <w:top w:val="nil"/>
              <w:left w:val="nil"/>
              <w:bottom w:val="single" w:color="auto" w:sz="4" w:space="0"/>
              <w:right w:val="single" w:color="auto" w:sz="4" w:space="0"/>
            </w:tcBorders>
            <w:shd w:val="clear" w:color="auto" w:fill="auto"/>
            <w:noWrap/>
            <w:vAlign w:val="center"/>
          </w:tcPr>
          <w:p w14:paraId="0C6F49B8">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57.50</w:t>
            </w:r>
          </w:p>
        </w:tc>
        <w:tc>
          <w:tcPr>
            <w:tcW w:w="1135" w:type="dxa"/>
            <w:tcBorders>
              <w:top w:val="nil"/>
              <w:left w:val="nil"/>
              <w:bottom w:val="single" w:color="auto" w:sz="4" w:space="0"/>
              <w:right w:val="single" w:color="auto" w:sz="4" w:space="0"/>
            </w:tcBorders>
            <w:shd w:val="clear" w:color="auto" w:fill="auto"/>
            <w:noWrap/>
            <w:vAlign w:val="center"/>
          </w:tcPr>
          <w:p w14:paraId="7AC0783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4B16A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DE8A7E4">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65333F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D5DF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42F239B">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484517F3">
        <w:trPr>
          <w:trHeight w:val="32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D5FE6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30111</w:t>
            </w:r>
          </w:p>
        </w:tc>
        <w:tc>
          <w:tcPr>
            <w:tcW w:w="2647" w:type="dxa"/>
            <w:tcBorders>
              <w:top w:val="nil"/>
              <w:left w:val="nil"/>
              <w:bottom w:val="single" w:color="auto" w:sz="4" w:space="0"/>
              <w:right w:val="single" w:color="auto" w:sz="4" w:space="0"/>
            </w:tcBorders>
            <w:shd w:val="clear" w:color="auto" w:fill="auto"/>
            <w:noWrap/>
            <w:vAlign w:val="center"/>
          </w:tcPr>
          <w:p w14:paraId="0C548B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50" w:type="dxa"/>
            <w:tcBorders>
              <w:top w:val="nil"/>
              <w:left w:val="nil"/>
              <w:bottom w:val="single" w:color="auto" w:sz="4" w:space="0"/>
              <w:right w:val="single" w:color="auto" w:sz="4" w:space="0"/>
            </w:tcBorders>
            <w:shd w:val="clear" w:color="auto" w:fill="auto"/>
            <w:noWrap/>
            <w:vAlign w:val="center"/>
          </w:tcPr>
          <w:p w14:paraId="73383730">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1.08</w:t>
            </w:r>
          </w:p>
        </w:tc>
        <w:tc>
          <w:tcPr>
            <w:tcW w:w="1135" w:type="dxa"/>
            <w:tcBorders>
              <w:top w:val="nil"/>
              <w:left w:val="nil"/>
              <w:bottom w:val="single" w:color="auto" w:sz="4" w:space="0"/>
              <w:right w:val="single" w:color="auto" w:sz="4" w:space="0"/>
            </w:tcBorders>
            <w:shd w:val="clear" w:color="auto" w:fill="auto"/>
            <w:noWrap/>
            <w:vAlign w:val="center"/>
          </w:tcPr>
          <w:p w14:paraId="38A44AF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36075F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1687B01">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BB7DF1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72CEB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ED39148">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04961097">
        <w:trPr>
          <w:trHeight w:val="32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205D4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30112</w:t>
            </w:r>
          </w:p>
        </w:tc>
        <w:tc>
          <w:tcPr>
            <w:tcW w:w="2647" w:type="dxa"/>
            <w:tcBorders>
              <w:top w:val="nil"/>
              <w:left w:val="nil"/>
              <w:bottom w:val="single" w:color="auto" w:sz="4" w:space="0"/>
              <w:right w:val="single" w:color="auto" w:sz="4" w:space="0"/>
            </w:tcBorders>
            <w:shd w:val="clear" w:color="auto" w:fill="auto"/>
            <w:noWrap/>
            <w:vAlign w:val="center"/>
          </w:tcPr>
          <w:p w14:paraId="658016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50" w:type="dxa"/>
            <w:tcBorders>
              <w:top w:val="nil"/>
              <w:left w:val="nil"/>
              <w:bottom w:val="single" w:color="auto" w:sz="4" w:space="0"/>
              <w:right w:val="single" w:color="auto" w:sz="4" w:space="0"/>
            </w:tcBorders>
            <w:shd w:val="clear" w:color="auto" w:fill="auto"/>
            <w:noWrap/>
            <w:vAlign w:val="center"/>
          </w:tcPr>
          <w:p w14:paraId="248B91B8">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8.73</w:t>
            </w:r>
          </w:p>
        </w:tc>
        <w:tc>
          <w:tcPr>
            <w:tcW w:w="1135" w:type="dxa"/>
            <w:tcBorders>
              <w:top w:val="nil"/>
              <w:left w:val="nil"/>
              <w:bottom w:val="single" w:color="auto" w:sz="4" w:space="0"/>
              <w:right w:val="single" w:color="auto" w:sz="4" w:space="0"/>
            </w:tcBorders>
            <w:shd w:val="clear" w:color="auto" w:fill="auto"/>
            <w:noWrap/>
            <w:vAlign w:val="center"/>
          </w:tcPr>
          <w:p w14:paraId="48A775B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4FEB81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2724168">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9.31</w:t>
            </w:r>
          </w:p>
        </w:tc>
        <w:tc>
          <w:tcPr>
            <w:tcW w:w="1217" w:type="dxa"/>
            <w:tcBorders>
              <w:top w:val="nil"/>
              <w:left w:val="nil"/>
              <w:bottom w:val="single" w:color="auto" w:sz="4" w:space="0"/>
              <w:right w:val="single" w:color="auto" w:sz="4" w:space="0"/>
            </w:tcBorders>
            <w:shd w:val="clear" w:color="auto" w:fill="auto"/>
            <w:noWrap/>
            <w:vAlign w:val="center"/>
          </w:tcPr>
          <w:p w14:paraId="50BA60E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104AB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16E1AC4">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2CD610F1">
        <w:trPr>
          <w:trHeight w:val="35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16AF73">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30113</w:t>
            </w:r>
          </w:p>
        </w:tc>
        <w:tc>
          <w:tcPr>
            <w:tcW w:w="2647" w:type="dxa"/>
            <w:tcBorders>
              <w:top w:val="nil"/>
              <w:left w:val="nil"/>
              <w:bottom w:val="single" w:color="auto" w:sz="4" w:space="0"/>
              <w:right w:val="single" w:color="auto" w:sz="4" w:space="0"/>
            </w:tcBorders>
            <w:shd w:val="clear" w:color="auto" w:fill="auto"/>
            <w:noWrap/>
            <w:vAlign w:val="center"/>
          </w:tcPr>
          <w:p w14:paraId="5A86E6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50" w:type="dxa"/>
            <w:tcBorders>
              <w:top w:val="nil"/>
              <w:left w:val="nil"/>
              <w:bottom w:val="single" w:color="auto" w:sz="4" w:space="0"/>
              <w:right w:val="single" w:color="auto" w:sz="4" w:space="0"/>
            </w:tcBorders>
            <w:shd w:val="clear" w:color="auto" w:fill="auto"/>
            <w:noWrap/>
            <w:vAlign w:val="center"/>
          </w:tcPr>
          <w:p w14:paraId="218C7A9A">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183.24</w:t>
            </w:r>
          </w:p>
        </w:tc>
        <w:tc>
          <w:tcPr>
            <w:tcW w:w="1135" w:type="dxa"/>
            <w:tcBorders>
              <w:top w:val="nil"/>
              <w:left w:val="nil"/>
              <w:bottom w:val="single" w:color="auto" w:sz="4" w:space="0"/>
              <w:right w:val="single" w:color="auto" w:sz="4" w:space="0"/>
            </w:tcBorders>
            <w:shd w:val="clear" w:color="auto" w:fill="auto"/>
            <w:noWrap/>
            <w:vAlign w:val="center"/>
          </w:tcPr>
          <w:p w14:paraId="26443A7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457B7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96B9229">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DC5139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45261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BF152A3">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5952F1B3">
        <w:trPr>
          <w:trHeight w:val="34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07475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30114</w:t>
            </w:r>
          </w:p>
        </w:tc>
        <w:tc>
          <w:tcPr>
            <w:tcW w:w="2647" w:type="dxa"/>
            <w:tcBorders>
              <w:top w:val="nil"/>
              <w:left w:val="nil"/>
              <w:bottom w:val="single" w:color="auto" w:sz="4" w:space="0"/>
              <w:right w:val="single" w:color="auto" w:sz="4" w:space="0"/>
            </w:tcBorders>
            <w:shd w:val="clear" w:color="auto" w:fill="auto"/>
            <w:noWrap/>
            <w:vAlign w:val="center"/>
          </w:tcPr>
          <w:p w14:paraId="42422B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50" w:type="dxa"/>
            <w:tcBorders>
              <w:top w:val="nil"/>
              <w:left w:val="nil"/>
              <w:bottom w:val="single" w:color="auto" w:sz="4" w:space="0"/>
              <w:right w:val="single" w:color="auto" w:sz="4" w:space="0"/>
            </w:tcBorders>
            <w:shd w:val="clear" w:color="auto" w:fill="auto"/>
            <w:noWrap/>
            <w:vAlign w:val="center"/>
          </w:tcPr>
          <w:p w14:paraId="39AB0285">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nil"/>
              <w:left w:val="nil"/>
              <w:bottom w:val="single" w:color="auto" w:sz="4" w:space="0"/>
              <w:right w:val="single" w:color="auto" w:sz="4" w:space="0"/>
            </w:tcBorders>
            <w:shd w:val="clear" w:color="auto" w:fill="auto"/>
            <w:noWrap/>
            <w:vAlign w:val="center"/>
          </w:tcPr>
          <w:p w14:paraId="4EF95D7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440E9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3365C100">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0.82</w:t>
            </w:r>
          </w:p>
        </w:tc>
        <w:tc>
          <w:tcPr>
            <w:tcW w:w="1217" w:type="dxa"/>
            <w:tcBorders>
              <w:top w:val="nil"/>
              <w:left w:val="nil"/>
              <w:bottom w:val="single" w:color="auto" w:sz="4" w:space="0"/>
              <w:right w:val="single" w:color="auto" w:sz="4" w:space="0"/>
            </w:tcBorders>
            <w:shd w:val="clear" w:color="auto" w:fill="auto"/>
            <w:noWrap/>
            <w:vAlign w:val="center"/>
          </w:tcPr>
          <w:p w14:paraId="08C4FE7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C0728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472C5DD">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6A7B1825">
        <w:trPr>
          <w:trHeight w:val="34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B4E15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30199</w:t>
            </w:r>
          </w:p>
        </w:tc>
        <w:tc>
          <w:tcPr>
            <w:tcW w:w="2647" w:type="dxa"/>
            <w:tcBorders>
              <w:top w:val="nil"/>
              <w:left w:val="nil"/>
              <w:bottom w:val="single" w:color="auto" w:sz="4" w:space="0"/>
              <w:right w:val="single" w:color="auto" w:sz="4" w:space="0"/>
            </w:tcBorders>
            <w:shd w:val="clear" w:color="auto" w:fill="auto"/>
            <w:noWrap/>
            <w:vAlign w:val="center"/>
          </w:tcPr>
          <w:p w14:paraId="2D15C6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50" w:type="dxa"/>
            <w:tcBorders>
              <w:top w:val="nil"/>
              <w:left w:val="nil"/>
              <w:bottom w:val="single" w:color="auto" w:sz="4" w:space="0"/>
              <w:right w:val="single" w:color="auto" w:sz="4" w:space="0"/>
            </w:tcBorders>
            <w:shd w:val="clear" w:color="auto" w:fill="auto"/>
            <w:noWrap/>
            <w:vAlign w:val="center"/>
          </w:tcPr>
          <w:p w14:paraId="5FA3336F">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nil"/>
              <w:left w:val="nil"/>
              <w:bottom w:val="single" w:color="auto" w:sz="4" w:space="0"/>
              <w:right w:val="single" w:color="auto" w:sz="4" w:space="0"/>
            </w:tcBorders>
            <w:shd w:val="clear" w:color="auto" w:fill="auto"/>
            <w:noWrap/>
            <w:vAlign w:val="center"/>
          </w:tcPr>
          <w:p w14:paraId="7F847689">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20165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A4484F2">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E5D445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812A4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7839BB3">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45B7C040">
        <w:trPr>
          <w:trHeight w:val="38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72C63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w:t>
            </w:r>
          </w:p>
        </w:tc>
        <w:tc>
          <w:tcPr>
            <w:tcW w:w="2647" w:type="dxa"/>
            <w:tcBorders>
              <w:top w:val="nil"/>
              <w:left w:val="nil"/>
              <w:bottom w:val="single" w:color="auto" w:sz="4" w:space="0"/>
              <w:right w:val="single" w:color="auto" w:sz="4" w:space="0"/>
            </w:tcBorders>
            <w:shd w:val="clear" w:color="auto" w:fill="auto"/>
            <w:noWrap/>
            <w:vAlign w:val="center"/>
          </w:tcPr>
          <w:p w14:paraId="395C70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50" w:type="dxa"/>
            <w:tcBorders>
              <w:top w:val="nil"/>
              <w:left w:val="nil"/>
              <w:bottom w:val="single" w:color="auto" w:sz="4" w:space="0"/>
              <w:right w:val="single" w:color="auto" w:sz="4" w:space="0"/>
            </w:tcBorders>
            <w:shd w:val="clear" w:color="auto" w:fill="auto"/>
            <w:noWrap/>
            <w:vAlign w:val="center"/>
          </w:tcPr>
          <w:p w14:paraId="143868F6">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127.28</w:t>
            </w:r>
          </w:p>
        </w:tc>
        <w:tc>
          <w:tcPr>
            <w:tcW w:w="1135" w:type="dxa"/>
            <w:tcBorders>
              <w:top w:val="nil"/>
              <w:left w:val="nil"/>
              <w:bottom w:val="single" w:color="auto" w:sz="4" w:space="0"/>
              <w:right w:val="single" w:color="auto" w:sz="4" w:space="0"/>
            </w:tcBorders>
            <w:shd w:val="clear" w:color="auto" w:fill="auto"/>
            <w:noWrap/>
            <w:vAlign w:val="center"/>
          </w:tcPr>
          <w:p w14:paraId="75886E9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D0C2B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801DD22">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0.31</w:t>
            </w:r>
          </w:p>
        </w:tc>
        <w:tc>
          <w:tcPr>
            <w:tcW w:w="1217" w:type="dxa"/>
            <w:tcBorders>
              <w:top w:val="nil"/>
              <w:left w:val="nil"/>
              <w:bottom w:val="single" w:color="auto" w:sz="4" w:space="0"/>
              <w:right w:val="single" w:color="auto" w:sz="4" w:space="0"/>
            </w:tcBorders>
            <w:shd w:val="clear" w:color="auto" w:fill="auto"/>
            <w:noWrap/>
            <w:vAlign w:val="center"/>
          </w:tcPr>
          <w:p w14:paraId="520E94C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1A6FD7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2FFDA73">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2A5868F4">
        <w:trPr>
          <w:trHeight w:val="33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1D643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30301</w:t>
            </w:r>
          </w:p>
        </w:tc>
        <w:tc>
          <w:tcPr>
            <w:tcW w:w="2647" w:type="dxa"/>
            <w:tcBorders>
              <w:top w:val="nil"/>
              <w:left w:val="nil"/>
              <w:bottom w:val="single" w:color="auto" w:sz="4" w:space="0"/>
              <w:right w:val="single" w:color="auto" w:sz="4" w:space="0"/>
            </w:tcBorders>
            <w:shd w:val="clear" w:color="auto" w:fill="auto"/>
            <w:noWrap/>
            <w:vAlign w:val="center"/>
          </w:tcPr>
          <w:p w14:paraId="01B4CE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50" w:type="dxa"/>
            <w:tcBorders>
              <w:top w:val="nil"/>
              <w:left w:val="nil"/>
              <w:bottom w:val="single" w:color="auto" w:sz="4" w:space="0"/>
              <w:right w:val="single" w:color="auto" w:sz="4" w:space="0"/>
            </w:tcBorders>
            <w:shd w:val="clear" w:color="auto" w:fill="auto"/>
            <w:noWrap/>
            <w:vAlign w:val="center"/>
          </w:tcPr>
          <w:p w14:paraId="01C72BD0">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nil"/>
              <w:left w:val="nil"/>
              <w:bottom w:val="single" w:color="auto" w:sz="4" w:space="0"/>
              <w:right w:val="single" w:color="auto" w:sz="4" w:space="0"/>
            </w:tcBorders>
            <w:shd w:val="clear" w:color="auto" w:fill="auto"/>
            <w:noWrap/>
            <w:vAlign w:val="center"/>
          </w:tcPr>
          <w:p w14:paraId="6735491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4BC6DD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A1749C0">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B31A43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B4B99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050318C">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2754EAB6">
        <w:trPr>
          <w:trHeight w:val="34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AFCFC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30302</w:t>
            </w:r>
          </w:p>
        </w:tc>
        <w:tc>
          <w:tcPr>
            <w:tcW w:w="2647" w:type="dxa"/>
            <w:tcBorders>
              <w:top w:val="nil"/>
              <w:left w:val="nil"/>
              <w:bottom w:val="single" w:color="auto" w:sz="4" w:space="0"/>
              <w:right w:val="single" w:color="auto" w:sz="4" w:space="0"/>
            </w:tcBorders>
            <w:shd w:val="clear" w:color="auto" w:fill="auto"/>
            <w:noWrap/>
            <w:vAlign w:val="center"/>
          </w:tcPr>
          <w:p w14:paraId="0D62D7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50" w:type="dxa"/>
            <w:tcBorders>
              <w:top w:val="nil"/>
              <w:left w:val="nil"/>
              <w:bottom w:val="single" w:color="auto" w:sz="4" w:space="0"/>
              <w:right w:val="single" w:color="auto" w:sz="4" w:space="0"/>
            </w:tcBorders>
            <w:shd w:val="clear" w:color="auto" w:fill="auto"/>
            <w:noWrap/>
            <w:vAlign w:val="center"/>
          </w:tcPr>
          <w:p w14:paraId="23174FF1">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122.18</w:t>
            </w:r>
          </w:p>
        </w:tc>
        <w:tc>
          <w:tcPr>
            <w:tcW w:w="1135" w:type="dxa"/>
            <w:tcBorders>
              <w:top w:val="nil"/>
              <w:left w:val="nil"/>
              <w:bottom w:val="single" w:color="auto" w:sz="4" w:space="0"/>
              <w:right w:val="single" w:color="auto" w:sz="4" w:space="0"/>
            </w:tcBorders>
            <w:shd w:val="clear" w:color="auto" w:fill="auto"/>
            <w:noWrap/>
            <w:vAlign w:val="center"/>
          </w:tcPr>
          <w:p w14:paraId="29F3A9D1">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55D73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0085E1A9">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0.10</w:t>
            </w:r>
          </w:p>
        </w:tc>
        <w:tc>
          <w:tcPr>
            <w:tcW w:w="1217" w:type="dxa"/>
            <w:tcBorders>
              <w:top w:val="nil"/>
              <w:left w:val="nil"/>
              <w:bottom w:val="single" w:color="auto" w:sz="4" w:space="0"/>
              <w:right w:val="single" w:color="auto" w:sz="4" w:space="0"/>
            </w:tcBorders>
            <w:shd w:val="clear" w:color="auto" w:fill="auto"/>
            <w:noWrap/>
            <w:vAlign w:val="center"/>
          </w:tcPr>
          <w:p w14:paraId="155D074D">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62D71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90A03F6">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3452F918">
        <w:trPr>
          <w:trHeight w:val="32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A8A54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30303</w:t>
            </w:r>
          </w:p>
        </w:tc>
        <w:tc>
          <w:tcPr>
            <w:tcW w:w="2647" w:type="dxa"/>
            <w:tcBorders>
              <w:top w:val="nil"/>
              <w:left w:val="nil"/>
              <w:bottom w:val="single" w:color="auto" w:sz="4" w:space="0"/>
              <w:right w:val="single" w:color="auto" w:sz="4" w:space="0"/>
            </w:tcBorders>
            <w:shd w:val="clear" w:color="auto" w:fill="auto"/>
            <w:noWrap/>
            <w:vAlign w:val="center"/>
          </w:tcPr>
          <w:p w14:paraId="434B55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50" w:type="dxa"/>
            <w:tcBorders>
              <w:top w:val="nil"/>
              <w:left w:val="nil"/>
              <w:bottom w:val="single" w:color="auto" w:sz="4" w:space="0"/>
              <w:right w:val="single" w:color="auto" w:sz="4" w:space="0"/>
            </w:tcBorders>
            <w:shd w:val="clear" w:color="auto" w:fill="auto"/>
            <w:noWrap/>
            <w:vAlign w:val="center"/>
          </w:tcPr>
          <w:p w14:paraId="45C2D531">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nil"/>
              <w:left w:val="nil"/>
              <w:bottom w:val="single" w:color="auto" w:sz="4" w:space="0"/>
              <w:right w:val="single" w:color="auto" w:sz="4" w:space="0"/>
            </w:tcBorders>
            <w:shd w:val="clear" w:color="auto" w:fill="auto"/>
            <w:noWrap/>
            <w:vAlign w:val="center"/>
          </w:tcPr>
          <w:p w14:paraId="6BE9BCE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0F8D44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115EA99">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5C2183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608D5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A9F42C7">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08951E49">
        <w:trPr>
          <w:trHeight w:val="32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B809F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30304</w:t>
            </w:r>
          </w:p>
        </w:tc>
        <w:tc>
          <w:tcPr>
            <w:tcW w:w="2647" w:type="dxa"/>
            <w:tcBorders>
              <w:top w:val="nil"/>
              <w:left w:val="nil"/>
              <w:bottom w:val="single" w:color="auto" w:sz="4" w:space="0"/>
              <w:right w:val="single" w:color="auto" w:sz="4" w:space="0"/>
            </w:tcBorders>
            <w:shd w:val="clear" w:color="auto" w:fill="auto"/>
            <w:noWrap/>
            <w:vAlign w:val="center"/>
          </w:tcPr>
          <w:p w14:paraId="363CD7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50" w:type="dxa"/>
            <w:tcBorders>
              <w:top w:val="nil"/>
              <w:left w:val="nil"/>
              <w:bottom w:val="single" w:color="auto" w:sz="4" w:space="0"/>
              <w:right w:val="single" w:color="auto" w:sz="4" w:space="0"/>
            </w:tcBorders>
            <w:shd w:val="clear" w:color="auto" w:fill="auto"/>
            <w:noWrap/>
            <w:vAlign w:val="center"/>
          </w:tcPr>
          <w:p w14:paraId="31893E7E">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nil"/>
              <w:left w:val="nil"/>
              <w:bottom w:val="single" w:color="auto" w:sz="4" w:space="0"/>
              <w:right w:val="single" w:color="auto" w:sz="4" w:space="0"/>
            </w:tcBorders>
            <w:shd w:val="clear" w:color="auto" w:fill="auto"/>
            <w:noWrap/>
            <w:vAlign w:val="center"/>
          </w:tcPr>
          <w:p w14:paraId="67A217A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A7641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3CE8FA">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2DE3853F">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440B37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1196FF7F">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0911F304">
        <w:trPr>
          <w:trHeight w:val="320"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17F25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30305</w:t>
            </w:r>
          </w:p>
        </w:tc>
        <w:tc>
          <w:tcPr>
            <w:tcW w:w="2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9D2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D4276">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3.28</w:t>
            </w:r>
          </w:p>
        </w:tc>
        <w:tc>
          <w:tcPr>
            <w:tcW w:w="11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C9519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30225</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C54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7B7AC1">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13809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31099</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E62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0D32D">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20BCE937">
        <w:trPr>
          <w:trHeight w:val="308"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E33A6">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30306</w:t>
            </w:r>
          </w:p>
        </w:tc>
        <w:tc>
          <w:tcPr>
            <w:tcW w:w="2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D34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09868">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66EE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30226</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24F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45833">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082DC">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AE9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2C519">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234CCCA3">
        <w:trPr>
          <w:trHeight w:val="307"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8CAA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30307</w:t>
            </w:r>
          </w:p>
        </w:tc>
        <w:tc>
          <w:tcPr>
            <w:tcW w:w="2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C65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65516">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F18F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30227</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E7AC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6A9C77">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0.20</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0D42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39907</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8FF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4F212">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63958910">
        <w:trPr>
          <w:trHeight w:val="642"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AE0D8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30308</w:t>
            </w:r>
          </w:p>
        </w:tc>
        <w:tc>
          <w:tcPr>
            <w:tcW w:w="2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E588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62479">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0F4B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30228</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8EE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4CD6A">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25.80</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C271E">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39908</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5B0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C16F8">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60AD1A21">
        <w:trPr>
          <w:trHeight w:val="372"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2E4AA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30309</w:t>
            </w:r>
          </w:p>
        </w:tc>
        <w:tc>
          <w:tcPr>
            <w:tcW w:w="2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0C9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F02D1">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1.82</w:t>
            </w:r>
          </w:p>
        </w:tc>
        <w:tc>
          <w:tcPr>
            <w:tcW w:w="11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89A1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30229</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292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65C41">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0.22</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CB8F70">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39909</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4BB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BB282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5CD1F5B">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0F0A95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B7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750D15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7DE2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A03584F">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8912BB0">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B40C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6CE47C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5E49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AB16CED">
            <w:pPr>
              <w:widowControl/>
              <w:jc w:val="left"/>
              <w:rPr>
                <w:rFonts w:ascii="Times New Roman" w:hAnsi="Times New Roman" w:eastAsia="仿宋_GB2312" w:cs="Times New Roman"/>
                <w:color w:val="000000"/>
                <w:kern w:val="0"/>
                <w:szCs w:val="20"/>
              </w:rPr>
            </w:pP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8A53A">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0BBAA417">
        <w:tblPrEx>
          <w:tblCellMar>
            <w:top w:w="0" w:type="dxa"/>
            <w:left w:w="108" w:type="dxa"/>
            <w:bottom w:w="0" w:type="dxa"/>
            <w:right w:w="108" w:type="dxa"/>
          </w:tblCellMar>
        </w:tblPrEx>
        <w:trPr>
          <w:trHeight w:val="652"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AE925">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30310</w:t>
            </w:r>
          </w:p>
        </w:tc>
        <w:tc>
          <w:tcPr>
            <w:tcW w:w="2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90A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80EF5">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92337">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30231</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3F92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A858A">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2.00</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31E9F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39910</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4B28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61859">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01B97A0E">
        <w:trPr>
          <w:trHeight w:val="534"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45822">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30311</w:t>
            </w:r>
          </w:p>
        </w:tc>
        <w:tc>
          <w:tcPr>
            <w:tcW w:w="2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368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F5031">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7134B">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30239</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000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3E688">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43.94</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5855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39999</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282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13C8D">
            <w:pPr>
              <w:widowControl/>
              <w:jc w:val="righ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　0.00</w:t>
            </w:r>
          </w:p>
        </w:tc>
      </w:tr>
      <w:tr w14:paraId="565B0D73">
        <w:tblPrEx>
          <w:tblCellMar>
            <w:top w:w="0" w:type="dxa"/>
            <w:left w:w="108" w:type="dxa"/>
            <w:bottom w:w="0" w:type="dxa"/>
            <w:right w:w="108" w:type="dxa"/>
          </w:tblCellMar>
        </w:tblPrEx>
        <w:trPr>
          <w:trHeight w:val="313"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5FC48">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30399</w:t>
            </w:r>
          </w:p>
        </w:tc>
        <w:tc>
          <w:tcPr>
            <w:tcW w:w="2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E29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F7867">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1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EF1DEA">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30240</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EF7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C63FC">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0.00</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871E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EB89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875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CCE79D">
        <w:trPr>
          <w:trHeight w:val="340"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5D9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6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547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C5E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C74F54">
            <w:pPr>
              <w:widowControl/>
              <w:jc w:val="left"/>
              <w:rPr>
                <w:rFonts w:hint="eastAsia" w:ascii="仿宋_GB2312" w:hAnsi="仿宋_GB2312" w:eastAsia="仿宋_GB2312" w:cs="仿宋_GB2312"/>
                <w:color w:val="000000"/>
                <w:kern w:val="0"/>
                <w:szCs w:val="20"/>
              </w:rPr>
            </w:pPr>
            <w:r>
              <w:rPr>
                <w:rFonts w:hint="eastAsia" w:ascii="仿宋_GB2312" w:hAnsi="仿宋_GB2312" w:eastAsia="仿宋_GB2312" w:cs="仿宋_GB2312"/>
                <w:color w:val="000000"/>
                <w:kern w:val="0"/>
                <w:szCs w:val="20"/>
              </w:rPr>
              <w:t>30299</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DA5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8AE96">
            <w:pPr>
              <w:keepNext w:val="0"/>
              <w:keepLines w:val="0"/>
              <w:widowControl/>
              <w:suppressLineNumbers w:val="0"/>
              <w:jc w:val="right"/>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i w:val="0"/>
                <w:color w:val="000000"/>
                <w:kern w:val="0"/>
                <w:sz w:val="21"/>
                <w:szCs w:val="21"/>
                <w:u w:val="none"/>
                <w:lang w:val="en-US" w:eastAsia="zh-CN" w:bidi="ar"/>
              </w:rPr>
              <w:t>33.34</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5874B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036C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D6D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AB2746">
        <w:trPr>
          <w:trHeight w:val="482" w:hRule="exact"/>
          <w:jc w:val="center"/>
        </w:trPr>
        <w:tc>
          <w:tcPr>
            <w:tcW w:w="372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B2B4E6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045F0">
            <w:pPr>
              <w:keepNext w:val="0"/>
              <w:keepLines w:val="0"/>
              <w:widowControl/>
              <w:suppressLineNumbers w:val="0"/>
              <w:jc w:val="right"/>
              <w:textAlignment w:val="center"/>
              <w:rPr>
                <w:rFonts w:hint="default" w:ascii="仿宋_GB2312" w:hAnsi="仿宋_GB2312" w:eastAsia="仿宋_GB2312" w:cs="仿宋_GB2312"/>
                <w:i w:val="0"/>
                <w:color w:val="000000"/>
                <w:kern w:val="0"/>
                <w:sz w:val="21"/>
                <w:szCs w:val="21"/>
                <w:u w:val="none"/>
                <w:lang w:eastAsia="zh-CN" w:bidi="ar"/>
              </w:rPr>
            </w:pPr>
            <w:r>
              <w:rPr>
                <w:rFonts w:hint="eastAsia" w:ascii="仿宋_GB2312" w:hAnsi="仿宋_GB2312" w:eastAsia="仿宋_GB2312" w:cs="仿宋_GB2312"/>
                <w:i w:val="0"/>
                <w:color w:val="000000"/>
                <w:kern w:val="0"/>
                <w:sz w:val="21"/>
                <w:szCs w:val="21"/>
                <w:u w:val="none"/>
                <w:lang w:eastAsia="zh-CN" w:bidi="ar"/>
              </w:rPr>
              <w:t>1205.59</w:t>
            </w:r>
          </w:p>
        </w:tc>
        <w:tc>
          <w:tcPr>
            <w:tcW w:w="88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13B83859">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Times New Roman" w:hAnsi="Times New Roman" w:eastAsia="仿宋_GB2312" w:cs="Times New Roman"/>
                <w:color w:val="000000"/>
                <w:kern w:val="0"/>
                <w:szCs w:val="20"/>
                <w:lang w:val="en-US" w:eastAsia="zh-CN"/>
              </w:rPr>
              <w:t>公用经费合计</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553844">
            <w:pPr>
              <w:widowControl/>
              <w:jc w:val="right"/>
              <w:rPr>
                <w:rFonts w:ascii="Times New Roman" w:hAnsi="Times New Roman" w:eastAsia="仿宋_GB2312" w:cs="Times New Roman"/>
                <w:color w:val="000000"/>
                <w:kern w:val="0"/>
                <w:szCs w:val="18"/>
              </w:rPr>
            </w:pPr>
            <w:r>
              <w:rPr>
                <w:rFonts w:hint="eastAsia" w:ascii="仿宋_GB2312" w:hAnsi="仿宋_GB2312" w:eastAsia="仿宋_GB2312" w:cs="仿宋_GB2312"/>
                <w:i w:val="0"/>
                <w:color w:val="000000"/>
                <w:kern w:val="0"/>
                <w:sz w:val="21"/>
                <w:szCs w:val="21"/>
                <w:u w:val="none"/>
                <w:lang w:eastAsia="zh-CN" w:bidi="ar"/>
              </w:rPr>
              <w:t>584.86</w:t>
            </w:r>
          </w:p>
        </w:tc>
      </w:tr>
    </w:tbl>
    <w:p w14:paraId="5141A77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6F9CEFD">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152E26D">
      <w:pPr>
        <w:pStyle w:val="2"/>
        <w:rPr>
          <w:rFonts w:ascii="Times New Roman" w:hAnsi="Times New Roman" w:eastAsia="仿宋_GB2312" w:cs="Times New Roman"/>
          <w:color w:val="000000"/>
          <w:kern w:val="0"/>
          <w:sz w:val="32"/>
          <w:szCs w:val="32"/>
          <w:lang w:bidi="ar"/>
        </w:rPr>
      </w:pPr>
    </w:p>
    <w:p w14:paraId="76B3C10E">
      <w:pPr>
        <w:pStyle w:val="3"/>
        <w:rPr>
          <w:rFonts w:ascii="Times New Roman" w:hAnsi="Times New Roman" w:eastAsia="仿宋_GB2312" w:cs="Times New Roman"/>
          <w:color w:val="000000"/>
          <w:kern w:val="0"/>
          <w:sz w:val="32"/>
          <w:szCs w:val="32"/>
          <w:lang w:bidi="ar"/>
        </w:rPr>
      </w:pPr>
    </w:p>
    <w:p w14:paraId="32A236BE">
      <w:pPr>
        <w:rPr>
          <w:rFonts w:ascii="Times New Roman" w:hAnsi="Times New Roman" w:eastAsia="仿宋_GB2312" w:cs="Times New Roman"/>
          <w:color w:val="000000"/>
          <w:kern w:val="0"/>
          <w:sz w:val="32"/>
          <w:szCs w:val="32"/>
          <w:lang w:bidi="ar"/>
        </w:rPr>
      </w:pPr>
    </w:p>
    <w:p w14:paraId="4D962B44">
      <w:pPr>
        <w:pStyle w:val="2"/>
        <w:rPr>
          <w:rFonts w:ascii="Times New Roman" w:hAnsi="Times New Roman" w:eastAsia="仿宋_GB2312" w:cs="Times New Roman"/>
          <w:color w:val="000000"/>
          <w:kern w:val="0"/>
          <w:sz w:val="32"/>
          <w:szCs w:val="32"/>
          <w:lang w:bidi="ar"/>
        </w:rPr>
      </w:pPr>
    </w:p>
    <w:p w14:paraId="40B9D4C6">
      <w:pPr>
        <w:pStyle w:val="3"/>
        <w:rPr>
          <w:rFonts w:ascii="Times New Roman" w:hAnsi="Times New Roman" w:eastAsia="仿宋_GB2312" w:cs="Times New Roman"/>
          <w:color w:val="000000"/>
          <w:kern w:val="0"/>
          <w:sz w:val="32"/>
          <w:szCs w:val="32"/>
          <w:lang w:bidi="ar"/>
        </w:rPr>
      </w:pPr>
    </w:p>
    <w:p w14:paraId="658563D8">
      <w:pPr>
        <w:rPr>
          <w:rFonts w:ascii="Times New Roman" w:hAnsi="Times New Roman" w:eastAsia="仿宋_GB2312" w:cs="Times New Roman"/>
          <w:color w:val="000000"/>
          <w:kern w:val="0"/>
          <w:sz w:val="32"/>
          <w:szCs w:val="32"/>
          <w:lang w:bidi="ar"/>
        </w:rPr>
      </w:pPr>
    </w:p>
    <w:p w14:paraId="0D35F422">
      <w:pPr>
        <w:pStyle w:val="2"/>
        <w:rPr>
          <w:rFonts w:ascii="Times New Roman" w:hAnsi="Times New Roman" w:eastAsia="仿宋_GB2312" w:cs="Times New Roman"/>
          <w:color w:val="000000"/>
          <w:kern w:val="0"/>
          <w:sz w:val="32"/>
          <w:szCs w:val="32"/>
          <w:lang w:bidi="ar"/>
        </w:rPr>
      </w:pPr>
    </w:p>
    <w:p w14:paraId="399E59EE">
      <w:pPr>
        <w:pStyle w:val="3"/>
        <w:rPr>
          <w:rFonts w:ascii="Times New Roman" w:hAnsi="Times New Roman" w:eastAsia="仿宋_GB2312" w:cs="Times New Roman"/>
          <w:color w:val="000000"/>
          <w:kern w:val="0"/>
          <w:sz w:val="32"/>
          <w:szCs w:val="32"/>
          <w:lang w:bidi="ar"/>
        </w:rPr>
      </w:pPr>
    </w:p>
    <w:p w14:paraId="0E62B72D">
      <w:pPr>
        <w:pStyle w:val="3"/>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pPr>
    </w:p>
    <w:p w14:paraId="6BCD8AF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512A66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仿宋_GB2312" w:hAnsi="仿宋_GB2312" w:eastAsia="仿宋_GB2312" w:cs="仿宋_GB2312"/>
          <w:color w:val="000000"/>
          <w:kern w:val="0"/>
          <w:sz w:val="20"/>
          <w:szCs w:val="20"/>
          <w:lang w:bidi="ar"/>
        </w:rPr>
        <w:t>公开07表</w:t>
      </w:r>
    </w:p>
    <w:p w14:paraId="28CF7F6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20"/>
          <w:szCs w:val="20"/>
          <w:lang w:bidi="ar"/>
        </w:rPr>
        <w:t>部门：怀化市机关事务管理局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87C81B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52D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5504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E78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37A8B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BA80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BA81F6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033B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3E3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6C99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2E381">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2C9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AA694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9F0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B30C1">
            <w:pPr>
              <w:widowControl/>
              <w:jc w:val="center"/>
              <w:rPr>
                <w:rFonts w:ascii="Times New Roman" w:hAnsi="Times New Roman" w:eastAsia="仿宋_GB2312" w:cs="Times New Roman"/>
                <w:color w:val="000000"/>
                <w:sz w:val="24"/>
                <w:szCs w:val="24"/>
              </w:rPr>
            </w:pPr>
          </w:p>
        </w:tc>
      </w:tr>
      <w:tr w14:paraId="6D281F1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DAB6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F92B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C64B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4530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5935C">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150F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7BF0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BCE87">
            <w:pPr>
              <w:jc w:val="center"/>
              <w:rPr>
                <w:rFonts w:ascii="Times New Roman" w:hAnsi="Times New Roman" w:eastAsia="仿宋_GB2312" w:cs="Times New Roman"/>
                <w:color w:val="000000"/>
                <w:sz w:val="24"/>
                <w:szCs w:val="24"/>
              </w:rPr>
            </w:pPr>
          </w:p>
        </w:tc>
      </w:tr>
      <w:tr w14:paraId="6214BDA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F15C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27F2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4F29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922C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CE08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79E2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69F2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D77B4">
            <w:pPr>
              <w:jc w:val="center"/>
              <w:rPr>
                <w:rFonts w:ascii="Times New Roman" w:hAnsi="Times New Roman" w:eastAsia="仿宋_GB2312" w:cs="Times New Roman"/>
                <w:color w:val="000000"/>
                <w:sz w:val="24"/>
                <w:szCs w:val="24"/>
              </w:rPr>
            </w:pPr>
          </w:p>
        </w:tc>
      </w:tr>
      <w:tr w14:paraId="5B817E2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745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C6BC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A7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CF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AA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C4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6E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AA40C1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D47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FFFD">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AE5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FDD6">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7DF8">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3C6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39665">
            <w:pPr>
              <w:jc w:val="center"/>
              <w:rPr>
                <w:rFonts w:ascii="Times New Roman" w:hAnsi="Times New Roman" w:eastAsia="仿宋_GB2312" w:cs="Times New Roman"/>
                <w:color w:val="000000"/>
                <w:sz w:val="24"/>
                <w:szCs w:val="24"/>
              </w:rPr>
            </w:pPr>
          </w:p>
        </w:tc>
      </w:tr>
      <w:tr w14:paraId="55C2C44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67A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91D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D6AD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258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1C4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76B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C68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DB3B">
            <w:pPr>
              <w:rPr>
                <w:rFonts w:ascii="Times New Roman" w:hAnsi="Times New Roman" w:eastAsia="仿宋_GB2312" w:cs="Times New Roman"/>
                <w:color w:val="000000"/>
                <w:sz w:val="24"/>
                <w:szCs w:val="24"/>
              </w:rPr>
            </w:pPr>
          </w:p>
        </w:tc>
      </w:tr>
      <w:tr w14:paraId="318681E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590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EE1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9C0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4A5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1F6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51C5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29B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465F">
            <w:pPr>
              <w:rPr>
                <w:rFonts w:ascii="Times New Roman" w:hAnsi="Times New Roman" w:eastAsia="仿宋_GB2312" w:cs="Times New Roman"/>
                <w:color w:val="000000"/>
                <w:sz w:val="24"/>
                <w:szCs w:val="24"/>
              </w:rPr>
            </w:pPr>
          </w:p>
        </w:tc>
      </w:tr>
      <w:tr w14:paraId="00F89B7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AA3E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F0E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AEC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E58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955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36E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84D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7974">
            <w:pPr>
              <w:rPr>
                <w:rFonts w:ascii="Times New Roman" w:hAnsi="Times New Roman" w:eastAsia="仿宋_GB2312" w:cs="Times New Roman"/>
                <w:color w:val="000000"/>
                <w:sz w:val="24"/>
                <w:szCs w:val="24"/>
              </w:rPr>
            </w:pPr>
          </w:p>
        </w:tc>
      </w:tr>
      <w:tr w14:paraId="2AB034F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37F4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1AA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2BF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7D0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51CF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730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A3D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B939">
            <w:pPr>
              <w:rPr>
                <w:rFonts w:ascii="Times New Roman" w:hAnsi="Times New Roman" w:eastAsia="仿宋_GB2312" w:cs="Times New Roman"/>
                <w:color w:val="000000"/>
                <w:sz w:val="24"/>
                <w:szCs w:val="24"/>
              </w:rPr>
            </w:pPr>
          </w:p>
        </w:tc>
      </w:tr>
      <w:tr w14:paraId="601BCD3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684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CE4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5C9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35A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A667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BCB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DC0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0C1A">
            <w:pPr>
              <w:rPr>
                <w:rFonts w:ascii="Times New Roman" w:hAnsi="Times New Roman" w:eastAsia="仿宋_GB2312" w:cs="Times New Roman"/>
                <w:color w:val="000000"/>
                <w:sz w:val="24"/>
                <w:szCs w:val="24"/>
              </w:rPr>
            </w:pPr>
          </w:p>
        </w:tc>
      </w:tr>
      <w:tr w14:paraId="50A220D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963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3E2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532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B2A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BB0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1F6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378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284D">
            <w:pPr>
              <w:rPr>
                <w:rFonts w:ascii="Times New Roman" w:hAnsi="Times New Roman" w:eastAsia="仿宋_GB2312" w:cs="Times New Roman"/>
                <w:color w:val="000000"/>
                <w:sz w:val="24"/>
                <w:szCs w:val="24"/>
              </w:rPr>
            </w:pPr>
          </w:p>
        </w:tc>
      </w:tr>
    </w:tbl>
    <w:p w14:paraId="11B139A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2EC3A3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58FAF577">
      <w:pPr>
        <w:widowControl/>
        <w:jc w:val="center"/>
        <w:rPr>
          <w:rFonts w:ascii="Times New Roman" w:hAnsi="Times New Roman" w:eastAsia="方正小标宋_GBK" w:cs="Times New Roman"/>
          <w:color w:val="000000"/>
          <w:kern w:val="0"/>
          <w:sz w:val="36"/>
          <w:szCs w:val="36"/>
        </w:rPr>
      </w:pPr>
    </w:p>
    <w:p w14:paraId="566A7C1C">
      <w:pPr>
        <w:keepNext w:val="0"/>
        <w:keepLines w:val="0"/>
        <w:pageBreakBefore w:val="0"/>
        <w:widowControl/>
        <w:kinsoku/>
        <w:wordWrap/>
        <w:overflowPunct/>
        <w:topLinePunct w:val="0"/>
        <w:autoSpaceDE/>
        <w:autoSpaceDN/>
        <w:bidi w:val="0"/>
        <w:adjustRightInd/>
        <w:snapToGrid/>
        <w:spacing w:line="400" w:lineRule="exact"/>
        <w:textAlignment w:val="center"/>
        <w:rPr>
          <w:rFonts w:ascii="Times New Roman" w:hAnsi="Times New Roman" w:eastAsia="黑体" w:cs="Times New Roman"/>
          <w:color w:val="000000"/>
          <w:kern w:val="0"/>
          <w:sz w:val="36"/>
          <w:szCs w:val="36"/>
          <w:lang w:bidi="ar"/>
        </w:rPr>
      </w:pPr>
    </w:p>
    <w:p w14:paraId="347590A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7CBE702">
      <w:pPr>
        <w:widowControl/>
        <w:tabs>
          <w:tab w:val="left" w:pos="1326"/>
          <w:tab w:val="left" w:pos="2027"/>
          <w:tab w:val="left" w:pos="4319"/>
          <w:tab w:val="left" w:pos="7634"/>
          <w:tab w:val="left" w:pos="10949"/>
        </w:tabs>
        <w:jc w:val="center"/>
        <w:textAlignment w:val="center"/>
        <w:rPr>
          <w:rFonts w:hint="eastAsia" w:ascii="仿宋_GB2312" w:hAnsi="仿宋_GB2312" w:eastAsia="仿宋_GB2312" w:cs="仿宋_GB2312"/>
          <w:color w:val="000000"/>
          <w:sz w:val="20"/>
          <w:szCs w:val="20"/>
        </w:rPr>
      </w:pPr>
      <w:r>
        <w:rPr>
          <w:rFonts w:ascii="Times New Roman" w:hAnsi="Times New Roman" w:eastAsia="仿宋_GB2312" w:cs="Times New Roman"/>
          <w:color w:val="000000"/>
          <w:kern w:val="0"/>
          <w:sz w:val="20"/>
          <w:szCs w:val="20"/>
          <w:lang w:bidi="ar"/>
        </w:rPr>
        <w:t xml:space="preserve">                                                                                                            </w:t>
      </w:r>
      <w:r>
        <w:rPr>
          <w:rFonts w:hint="default" w:ascii="Times New Roman" w:hAnsi="Times New Roman" w:eastAsia="仿宋_GB2312" w:cs="Times New Roman"/>
          <w:color w:val="000000"/>
          <w:kern w:val="0"/>
          <w:sz w:val="20"/>
          <w:szCs w:val="20"/>
          <w:lang w:bidi="ar"/>
        </w:rPr>
        <w:t xml:space="preserve"> </w:t>
      </w:r>
      <w:r>
        <w:rPr>
          <w:rFonts w:hint="eastAsia" w:ascii="仿宋_GB2312" w:hAnsi="仿宋_GB2312" w:eastAsia="仿宋_GB2312" w:cs="仿宋_GB2312"/>
          <w:color w:val="000000"/>
          <w:kern w:val="0"/>
          <w:sz w:val="20"/>
          <w:szCs w:val="20"/>
          <w:lang w:bidi="ar"/>
        </w:rPr>
        <w:t>公开08表</w:t>
      </w:r>
    </w:p>
    <w:p w14:paraId="7C1F09D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部门：怀化市机关事务管理局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AAAA787">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1B7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00EF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A4691BF">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581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ECA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3645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765D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DFD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1A96C60">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4D00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D3D7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0860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E2EA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BEF46">
            <w:pPr>
              <w:jc w:val="center"/>
              <w:rPr>
                <w:rFonts w:ascii="Times New Roman" w:hAnsi="Times New Roman" w:eastAsia="仿宋_GB2312" w:cs="Times New Roman"/>
                <w:color w:val="000000"/>
                <w:sz w:val="24"/>
                <w:szCs w:val="24"/>
              </w:rPr>
            </w:pPr>
          </w:p>
        </w:tc>
      </w:tr>
      <w:tr w14:paraId="0D400522">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BB95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91A4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BB22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EC25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92BD3">
            <w:pPr>
              <w:jc w:val="center"/>
              <w:rPr>
                <w:rFonts w:ascii="Times New Roman" w:hAnsi="Times New Roman" w:eastAsia="仿宋_GB2312" w:cs="Times New Roman"/>
                <w:color w:val="000000"/>
                <w:sz w:val="24"/>
                <w:szCs w:val="24"/>
              </w:rPr>
            </w:pPr>
          </w:p>
        </w:tc>
      </w:tr>
      <w:tr w14:paraId="25309A29">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CE4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C682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AC14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DEE4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3</w:t>
            </w:r>
          </w:p>
        </w:tc>
      </w:tr>
      <w:tr w14:paraId="2C94D39A">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52A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4030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93A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C07F3">
            <w:pPr>
              <w:jc w:val="center"/>
              <w:rPr>
                <w:rFonts w:ascii="Times New Roman" w:hAnsi="Times New Roman" w:eastAsia="仿宋_GB2312" w:cs="Times New Roman"/>
                <w:color w:val="000000"/>
                <w:sz w:val="24"/>
                <w:szCs w:val="24"/>
              </w:rPr>
            </w:pPr>
          </w:p>
        </w:tc>
      </w:tr>
      <w:tr w14:paraId="3FBFCFC9">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AED8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B70E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73C1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A275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A53CC">
            <w:pPr>
              <w:rPr>
                <w:rFonts w:ascii="Times New Roman" w:hAnsi="Times New Roman" w:eastAsia="仿宋_GB2312" w:cs="Times New Roman"/>
                <w:color w:val="000000"/>
                <w:sz w:val="24"/>
                <w:szCs w:val="24"/>
              </w:rPr>
            </w:pPr>
          </w:p>
        </w:tc>
      </w:tr>
      <w:tr w14:paraId="1980382D">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6A50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A4A68">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670D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ADC0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2432D">
            <w:pPr>
              <w:rPr>
                <w:rFonts w:ascii="Times New Roman" w:hAnsi="Times New Roman" w:eastAsia="仿宋_GB2312" w:cs="Times New Roman"/>
                <w:color w:val="000000"/>
                <w:sz w:val="24"/>
                <w:szCs w:val="24"/>
              </w:rPr>
            </w:pPr>
          </w:p>
        </w:tc>
      </w:tr>
      <w:tr w14:paraId="4AD560DF">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2F1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879E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AF02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8147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45092">
            <w:pPr>
              <w:rPr>
                <w:rFonts w:ascii="Times New Roman" w:hAnsi="Times New Roman" w:eastAsia="宋体" w:cs="Times New Roman"/>
                <w:color w:val="000000"/>
                <w:sz w:val="24"/>
                <w:szCs w:val="24"/>
              </w:rPr>
            </w:pPr>
          </w:p>
        </w:tc>
      </w:tr>
      <w:tr w14:paraId="5DC59061">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F52E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0247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84EC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D43D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9E6C6">
            <w:pPr>
              <w:rPr>
                <w:rFonts w:ascii="Times New Roman" w:hAnsi="Times New Roman" w:eastAsia="宋体" w:cs="Times New Roman"/>
                <w:color w:val="000000"/>
                <w:sz w:val="24"/>
                <w:szCs w:val="24"/>
              </w:rPr>
            </w:pPr>
          </w:p>
        </w:tc>
      </w:tr>
      <w:tr w14:paraId="35DD8648">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8C2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C8D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DF1C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288D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9808C">
            <w:pPr>
              <w:rPr>
                <w:rFonts w:ascii="Times New Roman" w:hAnsi="Times New Roman" w:eastAsia="宋体" w:cs="Times New Roman"/>
                <w:color w:val="000000"/>
                <w:sz w:val="24"/>
                <w:szCs w:val="24"/>
              </w:rPr>
            </w:pPr>
          </w:p>
        </w:tc>
      </w:tr>
      <w:tr w14:paraId="4A725A4B">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55F2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41C9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E83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CD31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0453B">
            <w:pPr>
              <w:rPr>
                <w:rFonts w:ascii="Times New Roman" w:hAnsi="Times New Roman" w:eastAsia="宋体" w:cs="Times New Roman"/>
                <w:color w:val="000000"/>
                <w:sz w:val="24"/>
                <w:szCs w:val="24"/>
              </w:rPr>
            </w:pPr>
          </w:p>
        </w:tc>
      </w:tr>
    </w:tbl>
    <w:p w14:paraId="7F10F893">
      <w:pPr>
        <w:widowControl/>
        <w:spacing w:before="120"/>
        <w:jc w:val="left"/>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B9838D8">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0F5CF59">
      <w:pPr>
        <w:widowControl/>
        <w:jc w:val="center"/>
        <w:rPr>
          <w:rFonts w:ascii="Times New Roman" w:hAnsi="Times New Roman" w:eastAsia="方正小标宋_GBK" w:cs="Times New Roman"/>
          <w:color w:val="000000"/>
          <w:kern w:val="0"/>
          <w:sz w:val="36"/>
          <w:szCs w:val="36"/>
        </w:rPr>
      </w:pPr>
    </w:p>
    <w:p w14:paraId="73619998">
      <w:pPr>
        <w:pStyle w:val="2"/>
        <w:spacing w:line="400" w:lineRule="exact"/>
        <w:rPr>
          <w:rFonts w:ascii="Times New Roman" w:hAnsi="Times New Roman" w:eastAsia="华文中宋" w:cs="Times New Roman"/>
          <w:color w:val="000000"/>
          <w:kern w:val="0"/>
          <w:sz w:val="32"/>
          <w:szCs w:val="32"/>
          <w:lang w:bidi="ar"/>
        </w:rPr>
      </w:pPr>
    </w:p>
    <w:p w14:paraId="022125DF">
      <w:pPr>
        <w:widowControl/>
        <w:spacing w:after="156" w:afterLines="50"/>
        <w:jc w:val="center"/>
        <w:textAlignment w:val="center"/>
        <w:rPr>
          <w:rFonts w:hint="eastAsia" w:ascii="黑体" w:hAnsi="黑体" w:eastAsia="黑体" w:cs="黑体"/>
          <w:color w:val="000000"/>
          <w:kern w:val="0"/>
          <w:sz w:val="36"/>
          <w:szCs w:val="36"/>
          <w:lang w:bidi="ar"/>
        </w:rPr>
      </w:pPr>
      <w:r>
        <w:rPr>
          <w:rFonts w:hint="eastAsia" w:ascii="黑体" w:hAnsi="黑体" w:eastAsia="黑体" w:cs="黑体"/>
          <w:color w:val="000000"/>
          <w:kern w:val="0"/>
          <w:sz w:val="36"/>
          <w:szCs w:val="36"/>
          <w:lang w:bidi="ar"/>
        </w:rPr>
        <w:t>财政拨款“三公”经费支出决算表</w:t>
      </w:r>
    </w:p>
    <w:p w14:paraId="12F11C4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hint="eastAsia" w:ascii="仿宋_GB2312" w:hAnsi="仿宋_GB2312" w:eastAsia="仿宋_GB2312" w:cs="仿宋_GB2312"/>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hint="eastAsia" w:ascii="仿宋_GB2312" w:hAnsi="仿宋_GB2312" w:eastAsia="仿宋_GB2312" w:cs="仿宋_GB2312"/>
          <w:color w:val="000000"/>
          <w:kern w:val="0"/>
          <w:sz w:val="20"/>
          <w:szCs w:val="20"/>
          <w:lang w:bidi="ar"/>
        </w:rPr>
        <w:t>公开09表</w:t>
      </w:r>
    </w:p>
    <w:p w14:paraId="46AF2F6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hint="eastAsia" w:ascii="仿宋_GB2312" w:hAnsi="仿宋_GB2312" w:eastAsia="仿宋_GB2312" w:cs="仿宋_GB2312"/>
          <w:color w:val="000000"/>
          <w:kern w:val="0"/>
          <w:sz w:val="20"/>
          <w:szCs w:val="20"/>
          <w:lang w:bidi="ar"/>
        </w:rPr>
        <w:t>部门：</w:t>
      </w:r>
      <w:r>
        <w:rPr>
          <w:rFonts w:hint="default" w:ascii="仿宋_GB2312" w:hAnsi="仿宋_GB2312" w:eastAsia="仿宋_GB2312" w:cs="仿宋_GB2312"/>
          <w:color w:val="000000"/>
          <w:kern w:val="0"/>
          <w:sz w:val="20"/>
          <w:szCs w:val="20"/>
          <w:lang w:bidi="ar"/>
        </w:rPr>
        <w:t>怀化市机关事务管理局</w:t>
      </w:r>
      <w:r>
        <w:rPr>
          <w:rFonts w:hint="eastAsia" w:ascii="仿宋_GB2312" w:hAnsi="仿宋_GB2312" w:eastAsia="仿宋_GB2312" w:cs="仿宋_GB2312"/>
          <w:color w:val="000000"/>
          <w:sz w:val="20"/>
          <w:szCs w:val="20"/>
        </w:rPr>
        <w:tab/>
      </w:r>
      <w:r>
        <w:rPr>
          <w:rFonts w:hint="eastAsia" w:ascii="仿宋_GB2312" w:hAnsi="仿宋_GB2312" w:eastAsia="仿宋_GB2312" w:cs="仿宋_GB2312"/>
          <w:color w:val="000000"/>
          <w:sz w:val="20"/>
          <w:szCs w:val="20"/>
        </w:rPr>
        <w:tab/>
      </w:r>
      <w:r>
        <w:rPr>
          <w:rFonts w:hint="eastAsia" w:ascii="仿宋_GB2312" w:hAnsi="仿宋_GB2312" w:eastAsia="仿宋_GB2312" w:cs="仿宋_GB2312"/>
          <w:color w:val="000000"/>
          <w:sz w:val="20"/>
          <w:szCs w:val="20"/>
        </w:rPr>
        <w:tab/>
      </w:r>
      <w:r>
        <w:rPr>
          <w:rFonts w:hint="eastAsia" w:ascii="仿宋_GB2312" w:hAnsi="仿宋_GB2312" w:eastAsia="仿宋_GB2312" w:cs="仿宋_GB2312"/>
          <w:color w:val="000000"/>
          <w:sz w:val="20"/>
          <w:szCs w:val="20"/>
        </w:rPr>
        <w:tab/>
      </w:r>
      <w:r>
        <w:rPr>
          <w:rFonts w:hint="eastAsia" w:ascii="仿宋_GB2312" w:hAnsi="仿宋_GB2312" w:eastAsia="仿宋_GB2312" w:cs="仿宋_GB2312"/>
          <w:color w:val="000000"/>
          <w:sz w:val="20"/>
          <w:szCs w:val="20"/>
        </w:rPr>
        <w:tab/>
      </w:r>
      <w:r>
        <w:rPr>
          <w:rFonts w:hint="eastAsia" w:ascii="仿宋_GB2312" w:hAnsi="仿宋_GB2312" w:eastAsia="仿宋_GB2312" w:cs="仿宋_GB2312"/>
          <w:color w:val="000000"/>
          <w:sz w:val="20"/>
          <w:szCs w:val="20"/>
        </w:rPr>
        <w:tab/>
      </w:r>
      <w:r>
        <w:rPr>
          <w:rFonts w:hint="eastAsia" w:ascii="仿宋_GB2312" w:hAnsi="仿宋_GB2312" w:eastAsia="仿宋_GB2312" w:cs="仿宋_GB2312"/>
          <w:color w:val="000000"/>
          <w:sz w:val="20"/>
          <w:szCs w:val="20"/>
        </w:rPr>
        <w:tab/>
      </w:r>
      <w:r>
        <w:rPr>
          <w:rFonts w:hint="eastAsia" w:ascii="仿宋_GB2312" w:hAnsi="仿宋_GB2312" w:eastAsia="仿宋_GB2312" w:cs="仿宋_GB2312"/>
          <w:color w:val="000000"/>
          <w:sz w:val="20"/>
          <w:szCs w:val="20"/>
        </w:rPr>
        <w:tab/>
      </w:r>
      <w:r>
        <w:rPr>
          <w:rFonts w:hint="eastAsia" w:ascii="仿宋_GB2312" w:hAnsi="仿宋_GB2312" w:eastAsia="仿宋_GB2312" w:cs="仿宋_GB2312"/>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424EB15">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BF7C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BC42C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98EF29B">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DFA5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356D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AB6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B606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59D6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1F62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9DFB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1CD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50D7D633">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56352">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B1BE3">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77A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0F4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7675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B1C1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502E4">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65F99">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1E3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1A6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81D5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187E6">
            <w:pPr>
              <w:jc w:val="center"/>
              <w:rPr>
                <w:rFonts w:ascii="Times New Roman" w:hAnsi="Times New Roman" w:eastAsia="仿宋_GB2312" w:cs="Times New Roman"/>
                <w:color w:val="000000"/>
                <w:sz w:val="22"/>
              </w:rPr>
            </w:pPr>
          </w:p>
        </w:tc>
      </w:tr>
      <w:tr w14:paraId="2D282E52">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85D7">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75B6F">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12C8">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9502F">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6A5E9">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1D5AD">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610FB">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D0F89">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35561">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18EEF">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C3A3F">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88231">
            <w:pPr>
              <w:widowControl/>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color w:val="000000"/>
                <w:kern w:val="0"/>
                <w:sz w:val="22"/>
                <w:lang w:bidi="ar"/>
              </w:rPr>
              <w:t>12</w:t>
            </w:r>
          </w:p>
        </w:tc>
      </w:tr>
      <w:tr w14:paraId="5BFBCBD2">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C016">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54.67</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710C">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A384">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52.67</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10095">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77DB1">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52.67</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C433">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2.00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510C">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50.46</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D3F9">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B574">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50.36</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9CEA">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AC4B">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50.36</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E630">
            <w:pPr>
              <w:keepNext w:val="0"/>
              <w:keepLines w:val="0"/>
              <w:widowControl/>
              <w:suppressLineNumbers w:val="0"/>
              <w:jc w:val="center"/>
              <w:textAlignment w:val="center"/>
              <w:rPr>
                <w:rFonts w:hint="eastAsia" w:ascii="仿宋_GB2312" w:hAnsi="仿宋_GB2312" w:eastAsia="仿宋_GB2312" w:cs="仿宋_GB2312"/>
                <w:color w:val="000000"/>
                <w:sz w:val="22"/>
              </w:rPr>
            </w:pPr>
            <w:r>
              <w:rPr>
                <w:rFonts w:hint="eastAsia" w:ascii="仿宋_GB2312" w:hAnsi="仿宋_GB2312" w:eastAsia="仿宋_GB2312" w:cs="仿宋_GB2312"/>
                <w:i w:val="0"/>
                <w:color w:val="000000"/>
                <w:kern w:val="0"/>
                <w:sz w:val="22"/>
                <w:szCs w:val="22"/>
                <w:u w:val="none"/>
                <w:lang w:val="en-US" w:eastAsia="zh-CN" w:bidi="ar"/>
              </w:rPr>
              <w:t>0.10</w:t>
            </w:r>
          </w:p>
        </w:tc>
      </w:tr>
    </w:tbl>
    <w:p w14:paraId="52F92592">
      <w:pPr>
        <w:widowControl/>
        <w:spacing w:before="12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5CFBEAE">
      <w:pPr>
        <w:autoSpaceDE w:val="0"/>
        <w:autoSpaceDN w:val="0"/>
        <w:adjustRightInd w:val="0"/>
        <w:ind w:left="315" w:leftChars="150"/>
        <w:jc w:val="left"/>
        <w:rPr>
          <w:rFonts w:ascii="Times New Roman" w:hAnsi="Times New Roman" w:eastAsia="宋体" w:cs="Times New Roman"/>
          <w:kern w:val="0"/>
          <w:sz w:val="24"/>
          <w:szCs w:val="24"/>
        </w:rPr>
      </w:pPr>
    </w:p>
    <w:p w14:paraId="61C3CF2A">
      <w:pPr>
        <w:autoSpaceDE w:val="0"/>
        <w:autoSpaceDN w:val="0"/>
        <w:adjustRightInd w:val="0"/>
        <w:ind w:left="315" w:leftChars="150"/>
        <w:jc w:val="left"/>
        <w:rPr>
          <w:rFonts w:ascii="Times New Roman" w:hAnsi="Times New Roman" w:eastAsia="宋体" w:cs="Times New Roman"/>
          <w:kern w:val="0"/>
          <w:sz w:val="24"/>
          <w:szCs w:val="24"/>
        </w:rPr>
      </w:pPr>
    </w:p>
    <w:p w14:paraId="742581B6">
      <w:pPr>
        <w:autoSpaceDE w:val="0"/>
        <w:autoSpaceDN w:val="0"/>
        <w:adjustRightInd w:val="0"/>
        <w:ind w:left="315" w:leftChars="150"/>
        <w:jc w:val="left"/>
        <w:rPr>
          <w:rFonts w:ascii="Times New Roman" w:hAnsi="Times New Roman" w:eastAsia="宋体" w:cs="Times New Roman"/>
          <w:kern w:val="0"/>
          <w:sz w:val="24"/>
          <w:szCs w:val="24"/>
        </w:rPr>
      </w:pPr>
    </w:p>
    <w:p w14:paraId="6134E7A6">
      <w:pPr>
        <w:autoSpaceDE w:val="0"/>
        <w:autoSpaceDN w:val="0"/>
        <w:adjustRightInd w:val="0"/>
        <w:ind w:left="315" w:leftChars="150"/>
        <w:jc w:val="left"/>
        <w:rPr>
          <w:rFonts w:ascii="Times New Roman" w:hAnsi="Times New Roman" w:eastAsia="宋体" w:cs="Times New Roman"/>
          <w:kern w:val="0"/>
          <w:sz w:val="24"/>
          <w:szCs w:val="24"/>
        </w:rPr>
      </w:pPr>
    </w:p>
    <w:p w14:paraId="0E5A3B26">
      <w:pPr>
        <w:autoSpaceDE w:val="0"/>
        <w:autoSpaceDN w:val="0"/>
        <w:adjustRightInd w:val="0"/>
        <w:ind w:left="315" w:leftChars="150"/>
        <w:jc w:val="left"/>
        <w:rPr>
          <w:rFonts w:ascii="Times New Roman" w:hAnsi="Times New Roman" w:eastAsia="宋体" w:cs="Times New Roman"/>
          <w:kern w:val="0"/>
          <w:sz w:val="24"/>
          <w:szCs w:val="24"/>
        </w:rPr>
      </w:pPr>
    </w:p>
    <w:p w14:paraId="7730B2FD">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158B95F">
      <w:pPr>
        <w:pStyle w:val="12"/>
        <w:rPr>
          <w:rFonts w:ascii="Times New Roman" w:hAnsi="Times New Roman" w:cs="Times New Roman"/>
          <w:sz w:val="72"/>
          <w:szCs w:val="72"/>
        </w:rPr>
      </w:pPr>
    </w:p>
    <w:p w14:paraId="7D97436A">
      <w:pPr>
        <w:pStyle w:val="12"/>
        <w:rPr>
          <w:rFonts w:ascii="Times New Roman" w:hAnsi="Times New Roman" w:cs="Times New Roman"/>
          <w:sz w:val="72"/>
          <w:szCs w:val="72"/>
        </w:rPr>
      </w:pPr>
    </w:p>
    <w:p w14:paraId="23420817">
      <w:pPr>
        <w:pStyle w:val="12"/>
        <w:rPr>
          <w:rFonts w:ascii="Times New Roman" w:hAnsi="Times New Roman" w:cs="Times New Roman"/>
          <w:sz w:val="72"/>
          <w:szCs w:val="72"/>
        </w:rPr>
      </w:pPr>
    </w:p>
    <w:p w14:paraId="0731977D">
      <w:pPr>
        <w:pStyle w:val="12"/>
        <w:jc w:val="center"/>
        <w:rPr>
          <w:rFonts w:ascii="Times New Roman" w:hAnsi="Times New Roman" w:cs="Times New Roman"/>
          <w:sz w:val="72"/>
          <w:szCs w:val="72"/>
        </w:rPr>
      </w:pPr>
    </w:p>
    <w:p w14:paraId="4AF2A09F">
      <w:pPr>
        <w:pStyle w:val="12"/>
        <w:jc w:val="center"/>
        <w:rPr>
          <w:rFonts w:ascii="Times New Roman" w:hAnsi="Times New Roman" w:eastAsia="方正小标宋_GBK" w:cs="Times New Roman"/>
          <w:sz w:val="72"/>
          <w:szCs w:val="72"/>
        </w:rPr>
      </w:pPr>
    </w:p>
    <w:p w14:paraId="584E03F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293E962">
      <w:pPr>
        <w:pStyle w:val="12"/>
        <w:spacing w:line="360" w:lineRule="auto"/>
        <w:jc w:val="center"/>
        <w:rPr>
          <w:rFonts w:ascii="Times New Roman" w:hAnsi="Times New Roman" w:eastAsia="方正小标宋_GBK" w:cs="Times New Roman"/>
          <w:sz w:val="52"/>
          <w:szCs w:val="52"/>
        </w:rPr>
      </w:pPr>
      <w:r>
        <w:rPr>
          <w:rFonts w:hint="eastAsia" w:ascii="方正小标宋_GBK" w:hAnsi="方正小标宋_GBK" w:eastAsia="方正小标宋_GBK" w:cs="方正小标宋_GBK"/>
          <w:sz w:val="52"/>
          <w:szCs w:val="52"/>
        </w:rPr>
        <w:t>202</w:t>
      </w:r>
      <w:r>
        <w:rPr>
          <w:rFonts w:hint="eastAsia" w:ascii="方正小标宋_GBK" w:hAnsi="方正小标宋_GBK" w:eastAsia="方正小标宋_GBK" w:cs="方正小标宋_GBK"/>
          <w:sz w:val="52"/>
          <w:szCs w:val="52"/>
          <w:lang w:val="en-US" w:eastAsia="zh-CN"/>
        </w:rPr>
        <w:t>5</w:t>
      </w:r>
      <w:r>
        <w:rPr>
          <w:rFonts w:hint="eastAsia" w:ascii="方正小标宋_GBK" w:hAnsi="方正小标宋_GBK" w:eastAsia="方正小标宋_GBK" w:cs="方正小标宋_GBK"/>
          <w:sz w:val="52"/>
          <w:szCs w:val="52"/>
        </w:rPr>
        <w:t>年</w:t>
      </w:r>
      <w:r>
        <w:rPr>
          <w:rFonts w:ascii="Times New Roman" w:hAnsi="Times New Roman" w:eastAsia="方正小标宋_GBK" w:cs="Times New Roman"/>
          <w:sz w:val="52"/>
          <w:szCs w:val="52"/>
        </w:rPr>
        <w:t>度部门决算情况说明</w:t>
      </w:r>
    </w:p>
    <w:p w14:paraId="1E60833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FA78AB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6B1C4C4">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年度收、支总计4117.02万元。与上年相比，减少233.08万元，降低5.36%，</w:t>
      </w:r>
      <w:r>
        <w:rPr>
          <w:rFonts w:hint="eastAsia" w:ascii="仿宋_GB2312" w:hAnsi="仿宋_GB2312" w:eastAsia="仿宋_GB2312" w:cs="仿宋_GB2312"/>
          <w:sz w:val="32"/>
          <w:szCs w:val="32"/>
          <w:highlight w:val="none"/>
        </w:rPr>
        <w:t>主要是因为</w:t>
      </w:r>
      <w:r>
        <w:rPr>
          <w:rFonts w:hint="eastAsia" w:ascii="仿宋_GB2312" w:hAnsi="仿宋_GB2312" w:eastAsia="仿宋_GB2312" w:cs="仿宋_GB2312"/>
          <w:sz w:val="32"/>
          <w:szCs w:val="32"/>
          <w:highlight w:val="none"/>
          <w:lang w:eastAsia="zh-CN"/>
        </w:rPr>
        <w:t>财政资金紧张，2025年市直单位办公用房及市级领导周转房日常维修费项目收入减少，</w:t>
      </w:r>
      <w:r>
        <w:rPr>
          <w:rFonts w:hint="eastAsia" w:ascii="仿宋_GB2312" w:hAnsi="仿宋_GB2312" w:eastAsia="仿宋_GB2312" w:cs="仿宋_GB2312"/>
          <w:sz w:val="32"/>
          <w:szCs w:val="32"/>
          <w:highlight w:val="none"/>
          <w:lang w:val="en-US" w:eastAsia="zh-CN"/>
        </w:rPr>
        <w:t>2025年</w:t>
      </w:r>
      <w:r>
        <w:rPr>
          <w:rFonts w:hint="eastAsia" w:ascii="仿宋_GB2312" w:hAnsi="仿宋_GB2312" w:eastAsia="仿宋_GB2312" w:cs="仿宋_GB2312"/>
          <w:sz w:val="32"/>
          <w:szCs w:val="32"/>
          <w:highlight w:val="none"/>
          <w:lang w:eastAsia="zh-CN"/>
        </w:rPr>
        <w:t>人大办公区域物业管理费、市政协物业费、两院物业管理费、军分区营院管理经费等项目支出中未包含当年</w:t>
      </w:r>
      <w:r>
        <w:rPr>
          <w:rFonts w:hint="eastAsia" w:ascii="仿宋_GB2312" w:hAnsi="仿宋_GB2312" w:eastAsia="仿宋_GB2312" w:cs="仿宋_GB2312"/>
          <w:sz w:val="32"/>
          <w:szCs w:val="32"/>
          <w:highlight w:val="none"/>
          <w:lang w:val="en-US" w:eastAsia="zh-CN"/>
        </w:rPr>
        <w:t>11月份及12月份的物业管理费。</w:t>
      </w:r>
    </w:p>
    <w:p w14:paraId="19D17E52">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highlight w:val="yellow"/>
          <w:lang w:eastAsia="zh-CN"/>
        </w:rPr>
      </w:pPr>
      <w:r>
        <w:rPr>
          <w:rFonts w:hint="eastAsia" w:ascii="仿宋_GB2312" w:hAnsi="仿宋_GB2312" w:eastAsia="仿宋_GB2312" w:cs="仿宋_GB2312"/>
          <w:sz w:val="32"/>
          <w:szCs w:val="32"/>
          <w:highlight w:val="none"/>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市直单位办公用房及市级领导周转房日常维修费、公车改革经费和公车管理办运行经费、公用水电费等重点支出，体现在有关支出科目中。</w:t>
      </w:r>
    </w:p>
    <w:p w14:paraId="3583D80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633DC4A">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年度收入合计4102.77万元，其中：财政拨款收入3916.33万元，占95.46%；其他收入186.44万元，占4.54%。</w:t>
      </w:r>
    </w:p>
    <w:p w14:paraId="7827E9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27CDBCE">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年度支出合计4084.35万元，其中：基本支出1958.48</w:t>
      </w:r>
    </w:p>
    <w:p w14:paraId="26139344">
      <w:pPr>
        <w:pStyle w:val="12"/>
        <w:overflowPunct w:val="0"/>
        <w:autoSpaceDE/>
        <w:autoSpaceDN/>
        <w:spacing w:line="60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万元，占47.95%；项目支出2125.88万元，占52.05%。</w:t>
      </w:r>
    </w:p>
    <w:p w14:paraId="1109908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A615F4B">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年度财政拨款收、支总计3916.33万元，与上年相比，减少230.13万元,降低5.55%，</w:t>
      </w:r>
      <w:r>
        <w:rPr>
          <w:rFonts w:hint="eastAsia" w:ascii="仿宋_GB2312" w:hAnsi="仿宋_GB2312" w:eastAsia="仿宋_GB2312" w:cs="仿宋_GB2312"/>
          <w:sz w:val="32"/>
          <w:szCs w:val="32"/>
          <w:highlight w:val="none"/>
        </w:rPr>
        <w:t>主要是因为</w:t>
      </w:r>
      <w:r>
        <w:rPr>
          <w:rFonts w:hint="eastAsia" w:ascii="仿宋_GB2312" w:hAnsi="仿宋_GB2312" w:eastAsia="仿宋_GB2312" w:cs="仿宋_GB2312"/>
          <w:sz w:val="32"/>
          <w:szCs w:val="32"/>
          <w:highlight w:val="none"/>
          <w:lang w:eastAsia="zh-CN"/>
        </w:rPr>
        <w:t>财政资金紧张，2025年市直单位办公用房及市级领导周转房日常维修费项目收入减少，</w:t>
      </w:r>
      <w:r>
        <w:rPr>
          <w:rFonts w:hint="eastAsia" w:ascii="仿宋_GB2312" w:hAnsi="仿宋_GB2312" w:eastAsia="仿宋_GB2312" w:cs="仿宋_GB2312"/>
          <w:sz w:val="32"/>
          <w:szCs w:val="32"/>
          <w:highlight w:val="none"/>
          <w:lang w:val="en-US" w:eastAsia="zh-CN"/>
        </w:rPr>
        <w:t>2025年</w:t>
      </w:r>
      <w:r>
        <w:rPr>
          <w:rFonts w:hint="eastAsia" w:ascii="仿宋_GB2312" w:hAnsi="仿宋_GB2312" w:eastAsia="仿宋_GB2312" w:cs="仿宋_GB2312"/>
          <w:sz w:val="32"/>
          <w:szCs w:val="32"/>
          <w:highlight w:val="none"/>
          <w:lang w:eastAsia="zh-CN"/>
        </w:rPr>
        <w:t>人大办公区域物业管理费、市政协物业费、两院物业管理费、军分区营院管理经费等项目支出中未包含当年</w:t>
      </w:r>
      <w:r>
        <w:rPr>
          <w:rFonts w:hint="eastAsia" w:ascii="仿宋_GB2312" w:hAnsi="仿宋_GB2312" w:eastAsia="仿宋_GB2312" w:cs="仿宋_GB2312"/>
          <w:sz w:val="32"/>
          <w:szCs w:val="32"/>
          <w:highlight w:val="none"/>
          <w:lang w:val="en-US" w:eastAsia="zh-CN"/>
        </w:rPr>
        <w:t>11月份及12月份的物业管理费。</w:t>
      </w:r>
    </w:p>
    <w:p w14:paraId="1797A4A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504001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6E8C98C">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年度财政拨款支出3916.33万元，占本年支出合计的95.89%，与上年相比，财政拨款支出减少230.13万元，降低5.55%，</w:t>
      </w:r>
      <w:r>
        <w:rPr>
          <w:rFonts w:hint="eastAsia" w:ascii="仿宋_GB2312" w:hAnsi="仿宋_GB2312" w:eastAsia="仿宋_GB2312" w:cs="仿宋_GB2312"/>
          <w:sz w:val="32"/>
          <w:szCs w:val="32"/>
          <w:highlight w:val="none"/>
        </w:rPr>
        <w:t>主要是因为</w:t>
      </w:r>
      <w:r>
        <w:rPr>
          <w:rFonts w:hint="eastAsia" w:ascii="仿宋_GB2312" w:hAnsi="仿宋_GB2312" w:eastAsia="仿宋_GB2312" w:cs="仿宋_GB2312"/>
          <w:sz w:val="32"/>
          <w:szCs w:val="32"/>
          <w:highlight w:val="none"/>
          <w:lang w:eastAsia="zh-CN"/>
        </w:rPr>
        <w:t>财政资金紧张，2025年市直单位办公用房及市级领导周转房日常维修费项目收入减少，</w:t>
      </w:r>
      <w:r>
        <w:rPr>
          <w:rFonts w:hint="eastAsia" w:ascii="仿宋_GB2312" w:hAnsi="仿宋_GB2312" w:eastAsia="仿宋_GB2312" w:cs="仿宋_GB2312"/>
          <w:sz w:val="32"/>
          <w:szCs w:val="32"/>
          <w:highlight w:val="none"/>
          <w:lang w:val="en-US" w:eastAsia="zh-CN"/>
        </w:rPr>
        <w:t>2025年</w:t>
      </w:r>
      <w:r>
        <w:rPr>
          <w:rFonts w:hint="eastAsia" w:ascii="仿宋_GB2312" w:hAnsi="仿宋_GB2312" w:eastAsia="仿宋_GB2312" w:cs="仿宋_GB2312"/>
          <w:sz w:val="32"/>
          <w:szCs w:val="32"/>
          <w:highlight w:val="none"/>
          <w:lang w:eastAsia="zh-CN"/>
        </w:rPr>
        <w:t>人大办公区域物业管理费、市政协物业费、两院物业管理费、军分区营院管理经费等项目支出中未包含当年</w:t>
      </w:r>
      <w:r>
        <w:rPr>
          <w:rFonts w:hint="eastAsia" w:ascii="仿宋_GB2312" w:hAnsi="仿宋_GB2312" w:eastAsia="仿宋_GB2312" w:cs="仿宋_GB2312"/>
          <w:sz w:val="32"/>
          <w:szCs w:val="32"/>
          <w:highlight w:val="none"/>
          <w:lang w:val="en-US" w:eastAsia="zh-CN"/>
        </w:rPr>
        <w:t>11月份及12月份的物业管理费。</w:t>
      </w:r>
    </w:p>
    <w:p w14:paraId="184759E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67DEF7C">
      <w:pPr>
        <w:pStyle w:val="12"/>
        <w:overflowPunct w:val="0"/>
        <w:autoSpaceDE/>
        <w:autoSpaceDN/>
        <w:spacing w:line="600" w:lineRule="exact"/>
        <w:ind w:firstLine="640" w:firstLineChars="20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度财政拨款支出3916.33万元，主要用于以下方面：一般公共服务（类）支出3571.34万元，占91.19%；文化旅游体育与传媒支出（类）支出60.00万元，占1.53%</w:t>
      </w:r>
      <w:r>
        <w:rPr>
          <w:rFonts w:hint="default" w:ascii="仿宋_GB2312" w:hAnsi="仿宋_GB2312" w:eastAsia="仿宋_GB2312" w:cs="仿宋_GB2312"/>
          <w:sz w:val="32"/>
          <w:szCs w:val="32"/>
        </w:rPr>
        <w:t>；社会保障和就业支出（类）支出235.51万元，占6.01%；卫生健康（类）支出41.76万元，占1.07%；住房保障（类）支出7.73万元，占0.20%。</w:t>
      </w:r>
    </w:p>
    <w:p w14:paraId="43B8B31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17E6B5B">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年度财政拨款支出年初预算数为2759.23万元，支出决算数为3916.33万元，完成年初预算的141.94%，其中：</w:t>
      </w:r>
    </w:p>
    <w:p w14:paraId="67114BA9">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1、一般公共服务支出（类）政府办公厅（室）及相关机构事务（款）行政运行（项）。</w:t>
      </w:r>
    </w:p>
    <w:p w14:paraId="03ED4E8F">
      <w:pPr>
        <w:pStyle w:val="12"/>
        <w:overflowPunct w:val="0"/>
        <w:autoSpaceDE/>
        <w:autoSpaceDN/>
        <w:spacing w:line="600" w:lineRule="exact"/>
        <w:ind w:firstLine="640" w:firstLineChars="200"/>
        <w:jc w:val="both"/>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年初预算为852.16万元，</w:t>
      </w:r>
      <w:r>
        <w:rPr>
          <w:rFonts w:hint="eastAsia" w:ascii="仿宋_GB2312" w:hAnsi="仿宋_GB2312" w:eastAsia="仿宋_GB2312" w:cs="仿宋_GB2312"/>
          <w:sz w:val="32"/>
          <w:szCs w:val="32"/>
        </w:rPr>
        <w:t>支出决算为913.48万元，完成年初预算的107.20%，</w:t>
      </w:r>
      <w:r>
        <w:rPr>
          <w:rFonts w:hint="eastAsia" w:ascii="仿宋_GB2312" w:hAnsi="仿宋_GB2312" w:eastAsia="仿宋_GB2312" w:cs="仿宋_GB2312"/>
          <w:sz w:val="32"/>
          <w:szCs w:val="32"/>
          <w:highlight w:val="none"/>
        </w:rPr>
        <w:t>决算数大于年初预算数的主要原因是：</w:t>
      </w:r>
      <w:r>
        <w:rPr>
          <w:rFonts w:hint="eastAsia" w:ascii="仿宋_GB2312" w:hAnsi="仿宋_GB2312" w:eastAsia="仿宋_GB2312" w:cs="仿宋_GB2312"/>
          <w:sz w:val="32"/>
          <w:szCs w:val="32"/>
          <w:highlight w:val="none"/>
          <w:lang w:val="en-US" w:eastAsia="zh-CN"/>
        </w:rPr>
        <w:t>2025年工资普调，相应支出增加。</w:t>
      </w:r>
    </w:p>
    <w:p w14:paraId="24133ED6">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2、一般公共服务支出（类）政府办公厅（室）及相关机构事务（款）机关服务（项）。</w:t>
      </w:r>
    </w:p>
    <w:p w14:paraId="02228856">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年初预算为1624.17万元，</w:t>
      </w:r>
      <w:r>
        <w:rPr>
          <w:rFonts w:hint="eastAsia" w:ascii="仿宋_GB2312" w:hAnsi="仿宋_GB2312" w:eastAsia="仿宋_GB2312" w:cs="仿宋_GB2312"/>
          <w:sz w:val="32"/>
          <w:szCs w:val="32"/>
        </w:rPr>
        <w:t>支出决算为2104.46万元，完成年初预算的129.57%，</w:t>
      </w:r>
      <w:r>
        <w:rPr>
          <w:rFonts w:hint="eastAsia" w:ascii="仿宋_GB2312" w:hAnsi="仿宋_GB2312" w:eastAsia="仿宋_GB2312" w:cs="仿宋_GB2312"/>
          <w:sz w:val="32"/>
          <w:szCs w:val="32"/>
          <w:highlight w:val="none"/>
        </w:rPr>
        <w:t>决算数大于年初预算数的主要原因是：市直单位办公用房及市级领导周转房日常维修费</w:t>
      </w:r>
      <w:r>
        <w:rPr>
          <w:rFonts w:hint="eastAsia" w:ascii="仿宋_GB2312" w:hAnsi="仿宋_GB2312" w:eastAsia="仿宋_GB2312" w:cs="仿宋_GB2312"/>
          <w:sz w:val="32"/>
          <w:szCs w:val="32"/>
          <w:highlight w:val="none"/>
          <w:lang w:eastAsia="zh-CN"/>
        </w:rPr>
        <w:t>、市委市政府集中办公运行经费</w:t>
      </w:r>
      <w:r>
        <w:rPr>
          <w:rFonts w:hint="eastAsia" w:ascii="仿宋_GB2312" w:hAnsi="仿宋_GB2312" w:eastAsia="仿宋_GB2312" w:cs="仿宋_GB2312"/>
          <w:sz w:val="32"/>
          <w:szCs w:val="32"/>
          <w:highlight w:val="none"/>
        </w:rPr>
        <w:t>等</w:t>
      </w:r>
      <w:r>
        <w:rPr>
          <w:rFonts w:hint="eastAsia" w:ascii="仿宋_GB2312" w:hAnsi="仿宋_GB2312" w:eastAsia="仿宋_GB2312" w:cs="仿宋_GB2312"/>
          <w:sz w:val="32"/>
          <w:szCs w:val="32"/>
          <w:highlight w:val="none"/>
          <w:lang w:eastAsia="zh-CN"/>
        </w:rPr>
        <w:t>项目</w:t>
      </w:r>
      <w:r>
        <w:rPr>
          <w:rFonts w:hint="eastAsia" w:ascii="仿宋_GB2312" w:hAnsi="仿宋_GB2312" w:eastAsia="仿宋_GB2312" w:cs="仿宋_GB2312"/>
          <w:sz w:val="32"/>
          <w:szCs w:val="32"/>
          <w:highlight w:val="none"/>
        </w:rPr>
        <w:t>无年初预算，由财政局资产</w:t>
      </w:r>
      <w:r>
        <w:rPr>
          <w:rFonts w:hint="eastAsia" w:ascii="仿宋_GB2312" w:hAnsi="仿宋_GB2312" w:eastAsia="仿宋_GB2312" w:cs="仿宋_GB2312"/>
          <w:sz w:val="32"/>
          <w:szCs w:val="32"/>
          <w:highlight w:val="none"/>
          <w:lang w:eastAsia="zh-CN"/>
        </w:rPr>
        <w:t>管理</w:t>
      </w:r>
      <w:r>
        <w:rPr>
          <w:rFonts w:hint="eastAsia" w:ascii="仿宋_GB2312" w:hAnsi="仿宋_GB2312" w:eastAsia="仿宋_GB2312" w:cs="仿宋_GB2312"/>
          <w:sz w:val="32"/>
          <w:szCs w:val="32"/>
          <w:highlight w:val="none"/>
        </w:rPr>
        <w:t>科拨付指标至我局。</w:t>
      </w:r>
    </w:p>
    <w:p w14:paraId="33C325B2">
      <w:pPr>
        <w:pStyle w:val="12"/>
        <w:numPr>
          <w:ilvl w:val="0"/>
          <w:numId w:val="1"/>
        </w:numPr>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一般公共服务</w:t>
      </w:r>
      <w:r>
        <w:rPr>
          <w:rFonts w:hint="default" w:ascii="仿宋_GB2312" w:hAnsi="仿宋_GB2312" w:eastAsia="仿宋_GB2312" w:cs="仿宋_GB2312"/>
          <w:sz w:val="32"/>
          <w:szCs w:val="32"/>
        </w:rPr>
        <w:t>支出</w:t>
      </w:r>
      <w:r>
        <w:rPr>
          <w:rFonts w:hint="eastAsia" w:ascii="仿宋_GB2312" w:hAnsi="仿宋_GB2312" w:eastAsia="仿宋_GB2312" w:cs="仿宋_GB2312"/>
          <w:sz w:val="32"/>
          <w:szCs w:val="32"/>
        </w:rPr>
        <w:t>（类）其他共产党事务支出（款）一般行政管理事务（项）。</w:t>
      </w:r>
    </w:p>
    <w:p w14:paraId="6148F4C0">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rPr>
        <w:t>支出决算为30.86万元，</w:t>
      </w:r>
      <w:r>
        <w:rPr>
          <w:rFonts w:hint="eastAsia" w:ascii="仿宋_GB2312" w:hAnsi="仿宋_GB2312" w:eastAsia="仿宋_GB2312" w:cs="仿宋_GB2312"/>
          <w:sz w:val="32"/>
          <w:szCs w:val="32"/>
          <w:highlight w:val="none"/>
        </w:rPr>
        <w:t>决算数大于年初预算数的主要原因是：市委常委会议室空调系统加装改造经费</w:t>
      </w:r>
      <w:r>
        <w:rPr>
          <w:rFonts w:hint="eastAsia" w:ascii="仿宋_GB2312" w:hAnsi="仿宋_GB2312" w:eastAsia="仿宋_GB2312" w:cs="仿宋_GB2312"/>
          <w:sz w:val="32"/>
          <w:szCs w:val="32"/>
          <w:highlight w:val="none"/>
          <w:lang w:eastAsia="zh-CN"/>
        </w:rPr>
        <w:t>支出。</w:t>
      </w:r>
    </w:p>
    <w:p w14:paraId="23EC0BFB">
      <w:pPr>
        <w:pStyle w:val="12"/>
        <w:numPr>
          <w:ilvl w:val="0"/>
          <w:numId w:val="1"/>
        </w:numPr>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一般公共服务</w:t>
      </w:r>
      <w:r>
        <w:rPr>
          <w:rFonts w:hint="default" w:ascii="仿宋_GB2312" w:hAnsi="仿宋_GB2312" w:eastAsia="仿宋_GB2312" w:cs="仿宋_GB2312"/>
          <w:sz w:val="32"/>
          <w:szCs w:val="32"/>
        </w:rPr>
        <w:t>支出</w:t>
      </w:r>
      <w:r>
        <w:rPr>
          <w:rFonts w:hint="eastAsia" w:ascii="仿宋_GB2312" w:hAnsi="仿宋_GB2312" w:eastAsia="仿宋_GB2312" w:cs="仿宋_GB2312"/>
          <w:sz w:val="32"/>
          <w:szCs w:val="32"/>
        </w:rPr>
        <w:t>（类）其他一般公共服务</w:t>
      </w:r>
      <w:r>
        <w:rPr>
          <w:rFonts w:hint="default" w:ascii="仿宋_GB2312" w:hAnsi="仿宋_GB2312" w:eastAsia="仿宋_GB2312" w:cs="仿宋_GB2312"/>
          <w:sz w:val="32"/>
          <w:szCs w:val="32"/>
        </w:rPr>
        <w:t>支出</w:t>
      </w:r>
      <w:r>
        <w:rPr>
          <w:rFonts w:hint="eastAsia" w:ascii="仿宋_GB2312" w:hAnsi="仿宋_GB2312" w:eastAsia="仿宋_GB2312" w:cs="仿宋_GB2312"/>
          <w:sz w:val="32"/>
          <w:szCs w:val="32"/>
        </w:rPr>
        <w:t>（款）其他一般公共服务</w:t>
      </w:r>
      <w:r>
        <w:rPr>
          <w:rFonts w:hint="default" w:ascii="仿宋_GB2312" w:hAnsi="仿宋_GB2312" w:eastAsia="仿宋_GB2312" w:cs="仿宋_GB2312"/>
          <w:sz w:val="32"/>
          <w:szCs w:val="32"/>
        </w:rPr>
        <w:t>支出</w:t>
      </w:r>
      <w:r>
        <w:rPr>
          <w:rFonts w:hint="eastAsia" w:ascii="仿宋_GB2312" w:hAnsi="仿宋_GB2312" w:eastAsia="仿宋_GB2312" w:cs="仿宋_GB2312"/>
          <w:sz w:val="32"/>
          <w:szCs w:val="32"/>
        </w:rPr>
        <w:t>（项）。</w:t>
      </w:r>
    </w:p>
    <w:p w14:paraId="23E294D3">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highlight w:val="yellow"/>
          <w:lang w:eastAsia="zh-CN"/>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10.00</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rPr>
        <w:t>支出决算为522.54万元，完成年初预算的5225.40%，</w:t>
      </w:r>
      <w:r>
        <w:rPr>
          <w:rFonts w:hint="eastAsia" w:ascii="仿宋_GB2312" w:hAnsi="仿宋_GB2312" w:eastAsia="仿宋_GB2312" w:cs="仿宋_GB2312"/>
          <w:sz w:val="32"/>
          <w:szCs w:val="32"/>
          <w:highlight w:val="none"/>
        </w:rPr>
        <w:t>决算数大于年初预算数的主要原因是：市委机关和市政府大楼公用水电费（扣减市直单位）</w:t>
      </w:r>
      <w:r>
        <w:rPr>
          <w:rFonts w:hint="eastAsia" w:ascii="仿宋_GB2312" w:hAnsi="仿宋_GB2312" w:eastAsia="仿宋_GB2312" w:cs="仿宋_GB2312"/>
          <w:sz w:val="32"/>
          <w:szCs w:val="32"/>
          <w:highlight w:val="none"/>
          <w:lang w:eastAsia="zh-CN"/>
        </w:rPr>
        <w:t>经费支出。</w:t>
      </w:r>
    </w:p>
    <w:p w14:paraId="4436E37B">
      <w:pPr>
        <w:pStyle w:val="12"/>
        <w:numPr>
          <w:ilvl w:val="0"/>
          <w:numId w:val="1"/>
        </w:numPr>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文化旅游体育与传媒支出（类）其他文化旅游体育与传媒</w:t>
      </w:r>
      <w:r>
        <w:rPr>
          <w:rFonts w:hint="default" w:ascii="仿宋_GB2312" w:hAnsi="仿宋_GB2312" w:eastAsia="仿宋_GB2312" w:cs="仿宋_GB2312"/>
          <w:sz w:val="32"/>
          <w:szCs w:val="32"/>
        </w:rPr>
        <w:t>支出</w:t>
      </w:r>
      <w:r>
        <w:rPr>
          <w:rFonts w:hint="eastAsia" w:ascii="仿宋_GB2312" w:hAnsi="仿宋_GB2312" w:eastAsia="仿宋_GB2312" w:cs="仿宋_GB2312"/>
          <w:sz w:val="32"/>
          <w:szCs w:val="32"/>
        </w:rPr>
        <w:t>（款）其他文化旅游体育与传媒</w:t>
      </w:r>
      <w:r>
        <w:rPr>
          <w:rFonts w:hint="default" w:ascii="仿宋_GB2312" w:hAnsi="仿宋_GB2312" w:eastAsia="仿宋_GB2312" w:cs="仿宋_GB2312"/>
          <w:sz w:val="32"/>
          <w:szCs w:val="32"/>
        </w:rPr>
        <w:t>支出</w:t>
      </w:r>
      <w:r>
        <w:rPr>
          <w:rFonts w:hint="eastAsia" w:ascii="仿宋_GB2312" w:hAnsi="仿宋_GB2312" w:eastAsia="仿宋_GB2312" w:cs="仿宋_GB2312"/>
          <w:sz w:val="32"/>
          <w:szCs w:val="32"/>
        </w:rPr>
        <w:t>（项）。</w:t>
      </w:r>
    </w:p>
    <w:p w14:paraId="610E5CD7">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highlight w:val="yellow"/>
          <w:lang w:eastAsia="zh-CN"/>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rPr>
        <w:t>支出决算为60.00万元，</w:t>
      </w:r>
      <w:r>
        <w:rPr>
          <w:rFonts w:hint="eastAsia" w:ascii="仿宋_GB2312" w:hAnsi="仿宋_GB2312" w:eastAsia="仿宋_GB2312" w:cs="仿宋_GB2312"/>
          <w:sz w:val="32"/>
          <w:szCs w:val="32"/>
          <w:highlight w:val="none"/>
        </w:rPr>
        <w:t>决算数大于年初预算数的主要原因是：文化和旅游专项资金</w:t>
      </w:r>
      <w:r>
        <w:rPr>
          <w:rFonts w:hint="eastAsia" w:ascii="仿宋_GB2312" w:hAnsi="仿宋_GB2312" w:eastAsia="仿宋_GB2312" w:cs="仿宋_GB2312"/>
          <w:sz w:val="32"/>
          <w:szCs w:val="32"/>
          <w:highlight w:val="none"/>
          <w:lang w:eastAsia="zh-CN"/>
        </w:rPr>
        <w:t>支出，具体为第五届湖南旅游发展大会车辆保障服务支出。</w:t>
      </w:r>
    </w:p>
    <w:p w14:paraId="2A3FD4FA">
      <w:pPr>
        <w:pStyle w:val="12"/>
        <w:numPr>
          <w:ilvl w:val="0"/>
          <w:numId w:val="1"/>
        </w:numPr>
        <w:overflowPunct w:val="0"/>
        <w:autoSpaceDE/>
        <w:autoSpaceDN/>
        <w:spacing w:line="600" w:lineRule="exact"/>
        <w:ind w:firstLine="640" w:firstLineChars="200"/>
        <w:jc w:val="both"/>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社会保障和就业支出</w:t>
      </w:r>
      <w:r>
        <w:rPr>
          <w:rFonts w:hint="eastAsia" w:ascii="仿宋_GB2312" w:hAnsi="仿宋_GB2312" w:eastAsia="仿宋_GB2312" w:cs="仿宋_GB2312"/>
          <w:sz w:val="32"/>
          <w:szCs w:val="32"/>
        </w:rPr>
        <w:t>（类）行政事业单位养老</w:t>
      </w:r>
      <w:r>
        <w:rPr>
          <w:rFonts w:hint="default" w:ascii="仿宋_GB2312" w:hAnsi="仿宋_GB2312" w:eastAsia="仿宋_GB2312" w:cs="仿宋_GB2312"/>
          <w:sz w:val="32"/>
          <w:szCs w:val="32"/>
        </w:rPr>
        <w:t>支出</w:t>
      </w:r>
      <w:r>
        <w:rPr>
          <w:rFonts w:hint="eastAsia" w:ascii="仿宋_GB2312" w:hAnsi="仿宋_GB2312" w:eastAsia="仿宋_GB2312" w:cs="仿宋_GB2312"/>
          <w:sz w:val="32"/>
          <w:szCs w:val="32"/>
        </w:rPr>
        <w:t>（款）行政单位离退休（项）。</w:t>
      </w:r>
    </w:p>
    <w:p w14:paraId="1133CCD4">
      <w:pPr>
        <w:pStyle w:val="12"/>
        <w:overflowPunct w:val="0"/>
        <w:autoSpaceDE/>
        <w:autoSpaceDN/>
        <w:spacing w:line="600" w:lineRule="exact"/>
        <w:ind w:firstLine="640" w:firstLineChars="20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highlight w:val="none"/>
        </w:rPr>
        <w:t>年初预算为131.90万元，</w:t>
      </w:r>
      <w:r>
        <w:rPr>
          <w:rFonts w:hint="eastAsia" w:ascii="仿宋_GB2312" w:hAnsi="仿宋_GB2312" w:eastAsia="仿宋_GB2312" w:cs="仿宋_GB2312"/>
          <w:sz w:val="32"/>
          <w:szCs w:val="32"/>
        </w:rPr>
        <w:t>支出决算为131.08万元，完成年初预算的99.38%，决算数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相差不大。</w:t>
      </w:r>
    </w:p>
    <w:p w14:paraId="5BF091D7">
      <w:pPr>
        <w:pStyle w:val="12"/>
        <w:numPr>
          <w:ilvl w:val="0"/>
          <w:numId w:val="1"/>
        </w:numPr>
        <w:overflowPunct w:val="0"/>
        <w:autoSpaceDE/>
        <w:autoSpaceDN/>
        <w:spacing w:line="600" w:lineRule="exact"/>
        <w:ind w:firstLine="640" w:firstLineChars="200"/>
        <w:jc w:val="both"/>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社会保障和就业支出</w:t>
      </w:r>
      <w:r>
        <w:rPr>
          <w:rFonts w:hint="eastAsia" w:ascii="仿宋_GB2312" w:hAnsi="仿宋_GB2312" w:eastAsia="仿宋_GB2312" w:cs="仿宋_GB2312"/>
          <w:sz w:val="32"/>
          <w:szCs w:val="32"/>
        </w:rPr>
        <w:t>（类）行政事业单位养老</w:t>
      </w:r>
      <w:r>
        <w:rPr>
          <w:rFonts w:hint="default" w:ascii="仿宋_GB2312" w:hAnsi="仿宋_GB2312" w:eastAsia="仿宋_GB2312" w:cs="仿宋_GB2312"/>
          <w:sz w:val="32"/>
          <w:szCs w:val="32"/>
        </w:rPr>
        <w:t>支出</w:t>
      </w:r>
      <w:r>
        <w:rPr>
          <w:rFonts w:hint="eastAsia" w:ascii="仿宋_GB2312" w:hAnsi="仿宋_GB2312" w:eastAsia="仿宋_GB2312" w:cs="仿宋_GB2312"/>
          <w:sz w:val="32"/>
          <w:szCs w:val="32"/>
        </w:rPr>
        <w:t>（款）机关事业单位基本养老保险缴费</w:t>
      </w:r>
      <w:r>
        <w:rPr>
          <w:rFonts w:hint="default" w:ascii="仿宋_GB2312" w:hAnsi="仿宋_GB2312" w:eastAsia="仿宋_GB2312" w:cs="仿宋_GB2312"/>
          <w:sz w:val="32"/>
          <w:szCs w:val="32"/>
        </w:rPr>
        <w:t>支出</w:t>
      </w:r>
      <w:r>
        <w:rPr>
          <w:rFonts w:hint="eastAsia" w:ascii="仿宋_GB2312" w:hAnsi="仿宋_GB2312" w:eastAsia="仿宋_GB2312" w:cs="仿宋_GB2312"/>
          <w:sz w:val="32"/>
          <w:szCs w:val="32"/>
        </w:rPr>
        <w:t>（项）。</w:t>
      </w:r>
    </w:p>
    <w:p w14:paraId="4D75B58B">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rPr>
        <w:t>年初预算为100.97万元，</w:t>
      </w:r>
      <w:r>
        <w:rPr>
          <w:rFonts w:hint="eastAsia" w:ascii="仿宋_GB2312" w:hAnsi="仿宋_GB2312" w:eastAsia="仿宋_GB2312" w:cs="仿宋_GB2312"/>
          <w:sz w:val="32"/>
          <w:szCs w:val="32"/>
        </w:rPr>
        <w:t>支出决算为104.43万元，完成年初预算的103.43%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大于</w:t>
      </w:r>
      <w:r>
        <w:rPr>
          <w:rFonts w:hint="eastAsia" w:ascii="仿宋_GB2312" w:hAnsi="仿宋_GB2312" w:eastAsia="仿宋_GB2312" w:cs="仿宋_GB2312"/>
          <w:sz w:val="32"/>
          <w:szCs w:val="32"/>
        </w:rPr>
        <w:t>年初预算数的主要原因是：基本养老保险缴费</w:t>
      </w:r>
      <w:r>
        <w:rPr>
          <w:rFonts w:hint="eastAsia" w:ascii="仿宋_GB2312" w:hAnsi="仿宋_GB2312" w:eastAsia="仿宋_GB2312" w:cs="仿宋_GB2312"/>
          <w:sz w:val="32"/>
          <w:szCs w:val="32"/>
          <w:lang w:eastAsia="zh-CN"/>
        </w:rPr>
        <w:t>基数调整。</w:t>
      </w:r>
    </w:p>
    <w:p w14:paraId="67BDFECE">
      <w:pPr>
        <w:pStyle w:val="12"/>
        <w:numPr>
          <w:ilvl w:val="0"/>
          <w:numId w:val="1"/>
        </w:numPr>
        <w:overflowPunct w:val="0"/>
        <w:autoSpaceDE/>
        <w:autoSpaceDN/>
        <w:spacing w:line="600" w:lineRule="exact"/>
        <w:ind w:firstLine="640" w:firstLineChars="200"/>
        <w:jc w:val="both"/>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卫生健康支出</w:t>
      </w:r>
      <w:r>
        <w:rPr>
          <w:rFonts w:hint="eastAsia" w:ascii="仿宋_GB2312" w:hAnsi="仿宋_GB2312" w:eastAsia="仿宋_GB2312" w:cs="仿宋_GB2312"/>
          <w:sz w:val="32"/>
          <w:szCs w:val="32"/>
        </w:rPr>
        <w:t>（类）行政事业单位医疗（款）行政单位医疗（项）。</w:t>
      </w:r>
    </w:p>
    <w:p w14:paraId="7AE2EBDC">
      <w:pPr>
        <w:pStyle w:val="12"/>
        <w:overflowPunct w:val="0"/>
        <w:autoSpaceDE/>
        <w:autoSpaceDN/>
        <w:spacing w:line="600" w:lineRule="exact"/>
        <w:ind w:firstLine="640" w:firstLineChars="20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highlight w:val="none"/>
        </w:rPr>
        <w:t>年初预算为40.03万元，</w:t>
      </w:r>
      <w:r>
        <w:rPr>
          <w:rFonts w:hint="eastAsia" w:ascii="仿宋_GB2312" w:hAnsi="仿宋_GB2312" w:eastAsia="仿宋_GB2312" w:cs="仿宋_GB2312"/>
          <w:sz w:val="32"/>
          <w:szCs w:val="32"/>
        </w:rPr>
        <w:t>支出决算为41.76万元，完成年初预算的104.32%，决算数</w:t>
      </w:r>
      <w:r>
        <w:rPr>
          <w:rFonts w:hint="eastAsia" w:ascii="仿宋_GB2312" w:hAnsi="仿宋_GB2312" w:eastAsia="仿宋_GB2312" w:cs="仿宋_GB2312"/>
          <w:sz w:val="32"/>
          <w:szCs w:val="32"/>
          <w:lang w:eastAsia="zh-CN"/>
        </w:rPr>
        <w:t>大于</w:t>
      </w:r>
      <w:r>
        <w:rPr>
          <w:rFonts w:hint="eastAsia" w:ascii="仿宋_GB2312" w:hAnsi="仿宋_GB2312" w:eastAsia="仿宋_GB2312" w:cs="仿宋_GB2312"/>
          <w:sz w:val="32"/>
          <w:szCs w:val="32"/>
        </w:rPr>
        <w:t>年初预算数的主要原因是：基本</w:t>
      </w:r>
      <w:r>
        <w:rPr>
          <w:rFonts w:hint="eastAsia" w:ascii="仿宋_GB2312" w:hAnsi="仿宋_GB2312" w:eastAsia="仿宋_GB2312" w:cs="仿宋_GB2312"/>
          <w:sz w:val="32"/>
          <w:szCs w:val="32"/>
          <w:lang w:eastAsia="zh-CN"/>
        </w:rPr>
        <w:t>医疗</w:t>
      </w:r>
      <w:r>
        <w:rPr>
          <w:rFonts w:hint="eastAsia" w:ascii="仿宋_GB2312" w:hAnsi="仿宋_GB2312" w:eastAsia="仿宋_GB2312" w:cs="仿宋_GB2312"/>
          <w:sz w:val="32"/>
          <w:szCs w:val="32"/>
        </w:rPr>
        <w:t>保险缴费</w:t>
      </w:r>
      <w:r>
        <w:rPr>
          <w:rFonts w:hint="eastAsia" w:ascii="仿宋_GB2312" w:hAnsi="仿宋_GB2312" w:eastAsia="仿宋_GB2312" w:cs="仿宋_GB2312"/>
          <w:sz w:val="32"/>
          <w:szCs w:val="32"/>
          <w:lang w:eastAsia="zh-CN"/>
        </w:rPr>
        <w:t>基数调整。</w:t>
      </w:r>
    </w:p>
    <w:p w14:paraId="022A8A98">
      <w:pPr>
        <w:pStyle w:val="12"/>
        <w:numPr>
          <w:ilvl w:val="0"/>
          <w:numId w:val="1"/>
        </w:numPr>
        <w:overflowPunct w:val="0"/>
        <w:autoSpaceDE/>
        <w:autoSpaceDN/>
        <w:spacing w:line="600" w:lineRule="exact"/>
        <w:ind w:firstLine="640" w:firstLineChars="200"/>
        <w:jc w:val="both"/>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住房保障支出</w:t>
      </w:r>
      <w:r>
        <w:rPr>
          <w:rFonts w:hint="eastAsia" w:ascii="仿宋_GB2312" w:hAnsi="仿宋_GB2312" w:eastAsia="仿宋_GB2312" w:cs="仿宋_GB2312"/>
          <w:sz w:val="32"/>
          <w:szCs w:val="32"/>
        </w:rPr>
        <w:t>（类）住房改革</w:t>
      </w:r>
      <w:r>
        <w:rPr>
          <w:rFonts w:hint="default" w:ascii="仿宋_GB2312" w:hAnsi="仿宋_GB2312" w:eastAsia="仿宋_GB2312" w:cs="仿宋_GB2312"/>
          <w:sz w:val="32"/>
          <w:szCs w:val="32"/>
        </w:rPr>
        <w:t>支出</w:t>
      </w:r>
      <w:r>
        <w:rPr>
          <w:rFonts w:hint="eastAsia" w:ascii="仿宋_GB2312" w:hAnsi="仿宋_GB2312" w:eastAsia="仿宋_GB2312" w:cs="仿宋_GB2312"/>
          <w:sz w:val="32"/>
          <w:szCs w:val="32"/>
        </w:rPr>
        <w:t>（款）住房公积金（项）</w:t>
      </w:r>
    </w:p>
    <w:p w14:paraId="61A2005C">
      <w:pPr>
        <w:pStyle w:val="12"/>
        <w:overflowPunct w:val="0"/>
        <w:autoSpaceDE/>
        <w:autoSpaceDN/>
        <w:spacing w:line="600" w:lineRule="exact"/>
        <w:ind w:firstLine="640" w:firstLineChars="200"/>
        <w:jc w:val="both"/>
        <w:rPr>
          <w:rFonts w:hint="default" w:ascii="仿宋_GB2312" w:hAnsi="仿宋_GB2312" w:eastAsia="仿宋_GB2312" w:cs="仿宋_GB2312"/>
          <w:sz w:val="32"/>
          <w:szCs w:val="32"/>
          <w:lang w:eastAsia="zh-CN"/>
        </w:rPr>
      </w:pPr>
      <w:r>
        <w:rPr>
          <w:rFonts w:hint="eastAsia" w:ascii="仿宋_GB2312" w:hAnsi="仿宋_GB2312" w:eastAsia="仿宋_GB2312" w:cs="仿宋_GB2312"/>
          <w:sz w:val="32"/>
          <w:szCs w:val="32"/>
          <w:highlight w:val="none"/>
        </w:rPr>
        <w:t>年初预算为</w:t>
      </w:r>
      <w:r>
        <w:rPr>
          <w:rFonts w:hint="eastAsia" w:ascii="仿宋_GB2312" w:hAnsi="仿宋_GB2312" w:eastAsia="仿宋_GB2312" w:cs="仿宋_GB2312"/>
          <w:sz w:val="32"/>
          <w:szCs w:val="32"/>
          <w:highlight w:val="none"/>
          <w:lang w:val="en-US" w:eastAsia="zh-CN"/>
        </w:rPr>
        <w:t>0.00</w:t>
      </w:r>
      <w:r>
        <w:rPr>
          <w:rFonts w:hint="eastAsia" w:ascii="仿宋_GB2312" w:hAnsi="仿宋_GB2312" w:eastAsia="仿宋_GB2312" w:cs="仿宋_GB2312"/>
          <w:sz w:val="32"/>
          <w:szCs w:val="32"/>
          <w:highlight w:val="none"/>
        </w:rPr>
        <w:t>万元，支出决算为</w:t>
      </w:r>
      <w:r>
        <w:rPr>
          <w:rFonts w:hint="default" w:ascii="仿宋_GB2312" w:hAnsi="仿宋_GB2312" w:eastAsia="仿宋_GB2312" w:cs="仿宋_GB2312"/>
          <w:sz w:val="32"/>
          <w:szCs w:val="32"/>
          <w:highlight w:val="none"/>
        </w:rPr>
        <w:t>7.73</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eastAsia="zh-CN"/>
        </w:rPr>
        <w:t>住房公积金支出增加。</w:t>
      </w:r>
    </w:p>
    <w:p w14:paraId="48C437E6">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按照支出功能分类，</w:t>
      </w:r>
      <w:r>
        <w:rPr>
          <w:rFonts w:hint="eastAsia" w:ascii="仿宋_GB2312" w:hAnsi="仿宋_GB2312" w:eastAsia="仿宋_GB2312" w:cs="仿宋_GB2312"/>
          <w:sz w:val="32"/>
          <w:szCs w:val="32"/>
          <w:highlight w:val="none"/>
          <w:lang w:eastAsia="zh-CN"/>
        </w:rPr>
        <w:t>行政运行、机关服务</w:t>
      </w:r>
      <w:r>
        <w:rPr>
          <w:rFonts w:hint="eastAsia" w:ascii="仿宋_GB2312" w:hAnsi="仿宋_GB2312" w:eastAsia="仿宋_GB2312" w:cs="仿宋_GB2312"/>
          <w:sz w:val="32"/>
          <w:szCs w:val="32"/>
          <w:highlight w:val="none"/>
        </w:rPr>
        <w:t>方面的支出占财政拨款支出总额的比重较高，主要是：一般公共服务支出（类）政府办公厅（室）及相关机构事务（款）机关服务（项）支出，2025年度决算数为2104.46万元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占财政拨款支出总额的53.74%，主要用于市直单位办公用房及市级领导周转房日常维修</w:t>
      </w:r>
      <w:r>
        <w:rPr>
          <w:rFonts w:hint="eastAsia" w:ascii="仿宋_GB2312" w:hAnsi="仿宋_GB2312" w:eastAsia="仿宋_GB2312" w:cs="仿宋_GB2312"/>
          <w:sz w:val="32"/>
          <w:szCs w:val="32"/>
          <w:highlight w:val="none"/>
          <w:lang w:eastAsia="zh-CN"/>
        </w:rPr>
        <w:t>、办公区域物业管理费、公用水电费</w:t>
      </w:r>
      <w:r>
        <w:rPr>
          <w:rFonts w:hint="eastAsia" w:ascii="仿宋_GB2312" w:hAnsi="仿宋_GB2312" w:eastAsia="仿宋_GB2312" w:cs="仿宋_GB2312"/>
          <w:sz w:val="32"/>
          <w:szCs w:val="32"/>
          <w:highlight w:val="none"/>
        </w:rPr>
        <w:t>等方面</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一般公共服务支出（类）政府办公厅（室）及相关机构事务（款）行政运行（项）</w:t>
      </w:r>
      <w:r>
        <w:rPr>
          <w:rFonts w:hint="eastAsia" w:ascii="仿宋_GB2312" w:hAnsi="仿宋_GB2312" w:eastAsia="仿宋_GB2312" w:cs="仿宋_GB2312"/>
          <w:sz w:val="32"/>
          <w:szCs w:val="32"/>
          <w:highlight w:val="none"/>
          <w:lang w:eastAsia="zh-CN"/>
        </w:rPr>
        <w:t>支出，</w:t>
      </w:r>
      <w:r>
        <w:rPr>
          <w:rFonts w:hint="eastAsia" w:ascii="仿宋_GB2312" w:hAnsi="仿宋_GB2312" w:eastAsia="仿宋_GB2312" w:cs="仿宋_GB2312"/>
          <w:sz w:val="32"/>
          <w:szCs w:val="32"/>
          <w:highlight w:val="none"/>
          <w:lang w:val="en-US" w:eastAsia="zh-CN"/>
        </w:rPr>
        <w:t>2025年度决算数为913.48万元，占财政拨款支出总额的23.32%，主要用于基本工资、津贴补贴、奖金、绩效工资等方面。</w:t>
      </w:r>
    </w:p>
    <w:p w14:paraId="691B3ED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8C90F9B">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年度一般公共预算财政拨款基本支出1790.4</w:t>
      </w:r>
      <w:r>
        <w:rPr>
          <w:rFonts w:hint="default" w:ascii="仿宋_GB2312" w:hAnsi="仿宋_GB2312" w:eastAsia="仿宋_GB2312" w:cs="仿宋_GB2312"/>
          <w:sz w:val="32"/>
          <w:szCs w:val="32"/>
        </w:rPr>
        <w:t>5</w:t>
      </w:r>
      <w:r>
        <w:rPr>
          <w:rFonts w:hint="eastAsia" w:ascii="仿宋_GB2312" w:hAnsi="仿宋_GB2312" w:eastAsia="仿宋_GB2312" w:cs="仿宋_GB2312"/>
          <w:sz w:val="32"/>
          <w:szCs w:val="32"/>
        </w:rPr>
        <w:t>万元，其中：</w:t>
      </w:r>
    </w:p>
    <w:p w14:paraId="23859458">
      <w:pPr>
        <w:pStyle w:val="12"/>
        <w:overflowPunct w:val="0"/>
        <w:autoSpaceDE/>
        <w:autoSpaceDN/>
        <w:spacing w:line="600" w:lineRule="exact"/>
        <w:ind w:firstLine="640" w:firstLineChars="200"/>
        <w:jc w:val="both"/>
        <w:rPr>
          <w:rFonts w:hint="default"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人员经费1205.59万元，占基本支出的67.33%,主要包括基本工资、津贴补贴、奖金、绩效工资</w:t>
      </w:r>
      <w:r>
        <w:rPr>
          <w:rFonts w:hint="default" w:ascii="仿宋_GB2312" w:hAnsi="仿宋_GB2312" w:eastAsia="仿宋_GB2312" w:cs="仿宋_GB2312"/>
          <w:b w:val="0"/>
          <w:bCs w:val="0"/>
          <w:sz w:val="32"/>
          <w:szCs w:val="32"/>
        </w:rPr>
        <w:t>、机关事业单位基本养老保险缴费、职业年金缴费、职工基本医疗保险缴费、住房公积金等。</w:t>
      </w:r>
    </w:p>
    <w:p w14:paraId="70AA8D71">
      <w:pPr>
        <w:pStyle w:val="12"/>
        <w:overflowPunct w:val="0"/>
        <w:autoSpaceDE/>
        <w:autoSpaceDN/>
        <w:spacing w:line="600" w:lineRule="exact"/>
        <w:ind w:firstLine="640" w:firstLineChars="200"/>
        <w:jc w:val="both"/>
        <w:rPr>
          <w:rFonts w:hint="default"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公用经费584.86万元，占基本支出的32.67%，主要包括办公费、水费</w:t>
      </w:r>
      <w:r>
        <w:rPr>
          <w:rFonts w:hint="default" w:ascii="仿宋_GB2312" w:hAnsi="仿宋_GB2312" w:eastAsia="仿宋_GB2312" w:cs="仿宋_GB2312"/>
          <w:b w:val="0"/>
          <w:bCs w:val="0"/>
          <w:sz w:val="32"/>
          <w:szCs w:val="32"/>
        </w:rPr>
        <w:t>、电费、差旅费、工会经费、其他交通费用、其他商品和服务支出等。</w:t>
      </w:r>
    </w:p>
    <w:p w14:paraId="63A9AA92">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w:t>
      </w:r>
      <w:r>
        <w:rPr>
          <w:rFonts w:hint="eastAsia" w:ascii="黑体" w:hAnsi="黑体" w:eastAsia="黑体" w:cs="黑体"/>
          <w:bCs/>
          <w:sz w:val="32"/>
          <w:szCs w:val="32"/>
        </w:rPr>
        <w:t>财政拨款“三公”经费支出决算情况说明</w:t>
      </w:r>
    </w:p>
    <w:p w14:paraId="7F697551">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257018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年度“三公”经费财政拨款支出预算为54.67万元，支出决算为50.46万元，完成预算的92.30%；</w:t>
      </w:r>
      <w:r>
        <w:rPr>
          <w:rFonts w:hint="eastAsia" w:ascii="仿宋_GB2312" w:hAnsi="仿宋_GB2312" w:eastAsia="仿宋_GB2312" w:cs="仿宋_GB2312"/>
          <w:sz w:val="32"/>
          <w:szCs w:val="32"/>
          <w:highlight w:val="none"/>
        </w:rPr>
        <w:t>与上年相比减少32.62万元，降低39.26%。</w:t>
      </w:r>
      <w:r>
        <w:rPr>
          <w:rFonts w:hint="eastAsia" w:ascii="仿宋_GB2312" w:hAnsi="仿宋_GB2312" w:eastAsia="仿宋_GB2312" w:cs="仿宋_GB2312"/>
          <w:sz w:val="32"/>
          <w:szCs w:val="32"/>
        </w:rPr>
        <w:t>决算数小于预算数的主要原因是</w:t>
      </w:r>
      <w:r>
        <w:rPr>
          <w:rFonts w:hint="default" w:ascii="仿宋_GB2312" w:hAnsi="仿宋_GB2312" w:eastAsia="仿宋_GB2312" w:cs="仿宋_GB2312"/>
          <w:sz w:val="32"/>
          <w:szCs w:val="32"/>
        </w:rPr>
        <w:t>实际公务接待次数比年初预计公务接待次数</w:t>
      </w:r>
      <w:r>
        <w:rPr>
          <w:rFonts w:hint="eastAsia" w:ascii="仿宋_GB2312" w:hAnsi="仿宋_GB2312" w:eastAsia="仿宋_GB2312" w:cs="仿宋_GB2312"/>
          <w:sz w:val="32"/>
          <w:szCs w:val="32"/>
          <w:lang w:eastAsia="zh-CN"/>
        </w:rPr>
        <w:t>少</w:t>
      </w:r>
      <w:r>
        <w:rPr>
          <w:rFonts w:hint="eastAsia" w:ascii="仿宋_GB2312" w:hAnsi="仿宋_GB2312" w:eastAsia="仿宋_GB2312" w:cs="仿宋_GB2312"/>
          <w:sz w:val="32"/>
          <w:szCs w:val="32"/>
          <w:lang w:val="en-US" w:eastAsia="zh-CN"/>
        </w:rPr>
        <w:t>,公务接待费支出减少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rPr>
        <w:t>决算数小于上年数的主要原因是</w:t>
      </w:r>
      <w:r>
        <w:rPr>
          <w:rFonts w:hint="eastAsia" w:ascii="仿宋_GB2312" w:hAnsi="仿宋_GB2312" w:eastAsia="仿宋_GB2312" w:cs="仿宋_GB2312"/>
          <w:sz w:val="32"/>
          <w:szCs w:val="32"/>
          <w:highlight w:val="none"/>
          <w:lang w:eastAsia="zh-CN"/>
        </w:rPr>
        <w:t>公车平台车辆油料费支出、维修费支出减少，公务接待费支出减少</w:t>
      </w:r>
      <w:r>
        <w:rPr>
          <w:rFonts w:hint="eastAsia" w:ascii="仿宋_GB2312" w:hAnsi="仿宋_GB2312" w:eastAsia="仿宋_GB2312" w:cs="仿宋_GB2312"/>
          <w:sz w:val="32"/>
          <w:szCs w:val="32"/>
          <w:highlight w:val="none"/>
        </w:rPr>
        <w:t>。</w:t>
      </w:r>
    </w:p>
    <w:p w14:paraId="0D1AAF3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99E06B0">
      <w:pPr>
        <w:pStyle w:val="12"/>
        <w:overflowPunct w:val="0"/>
        <w:autoSpaceDE/>
        <w:autoSpaceDN/>
        <w:spacing w:line="600" w:lineRule="exact"/>
        <w:ind w:firstLine="640" w:firstLineChars="200"/>
        <w:jc w:val="both"/>
        <w:rPr>
          <w:rFonts w:hint="default" w:ascii="仿宋_GB2312" w:hAnsi="仿宋_GB2312" w:eastAsia="仿宋_GB2312" w:cs="仿宋_GB2312"/>
          <w:b/>
          <w:bCs/>
          <w:i/>
          <w:color w:val="auto"/>
          <w:sz w:val="32"/>
          <w:szCs w:val="32"/>
        </w:rPr>
      </w:pPr>
      <w:r>
        <w:rPr>
          <w:rFonts w:hint="eastAsia" w:ascii="仿宋_GB2312" w:hAnsi="仿宋_GB2312" w:eastAsia="仿宋_GB2312" w:cs="仿宋_GB2312"/>
          <w:sz w:val="32"/>
          <w:szCs w:val="32"/>
        </w:rPr>
        <w:t>1.因公出国（境）费支出预算为</w:t>
      </w:r>
      <w:r>
        <w:rPr>
          <w:rFonts w:hint="default" w:ascii="仿宋_GB2312" w:hAnsi="仿宋_GB2312" w:eastAsia="仿宋_GB2312" w:cs="仿宋_GB2312"/>
          <w:sz w:val="32"/>
          <w:szCs w:val="32"/>
        </w:rPr>
        <w:t>0.00</w:t>
      </w:r>
      <w:r>
        <w:rPr>
          <w:rFonts w:hint="eastAsia" w:ascii="仿宋_GB2312" w:hAnsi="仿宋_GB2312" w:eastAsia="仿宋_GB2312" w:cs="仿宋_GB2312"/>
          <w:sz w:val="32"/>
          <w:szCs w:val="32"/>
        </w:rPr>
        <w:t>万元，支出决算为</w:t>
      </w:r>
      <w:r>
        <w:rPr>
          <w:rFonts w:hint="default" w:ascii="仿宋_GB2312" w:hAnsi="仿宋_GB2312" w:eastAsia="仿宋_GB2312" w:cs="仿宋_GB2312"/>
          <w:sz w:val="32"/>
          <w:szCs w:val="32"/>
        </w:rPr>
        <w:t>0.00</w:t>
      </w:r>
      <w:r>
        <w:rPr>
          <w:rFonts w:hint="eastAsia" w:ascii="仿宋_GB2312" w:hAnsi="仿宋_GB2312" w:eastAsia="仿宋_GB2312" w:cs="仿宋_GB2312"/>
          <w:sz w:val="32"/>
          <w:szCs w:val="32"/>
        </w:rPr>
        <w:t>万元，完成预算的</w:t>
      </w:r>
      <w:r>
        <w:rPr>
          <w:rFonts w:hint="default" w:ascii="仿宋_GB2312" w:hAnsi="仿宋_GB2312" w:eastAsia="仿宋_GB2312" w:cs="仿宋_GB2312"/>
          <w:sz w:val="32"/>
          <w:szCs w:val="32"/>
        </w:rPr>
        <w:t>100.00</w:t>
      </w:r>
      <w:r>
        <w:rPr>
          <w:rFonts w:hint="eastAsia" w:ascii="仿宋_GB2312" w:hAnsi="仿宋_GB2312" w:eastAsia="仿宋_GB2312" w:cs="仿宋_GB2312"/>
          <w:sz w:val="32"/>
          <w:szCs w:val="32"/>
        </w:rPr>
        <w:t>%；与上年相比无变化。</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度安排因公出国（境）团组</w:t>
      </w:r>
      <w:r>
        <w:rPr>
          <w:rFonts w:hint="default" w:ascii="仿宋_GB2312" w:hAnsi="仿宋_GB2312" w:eastAsia="仿宋_GB2312" w:cs="仿宋_GB2312"/>
          <w:sz w:val="32"/>
          <w:szCs w:val="32"/>
        </w:rPr>
        <w:t>0</w:t>
      </w:r>
      <w:r>
        <w:rPr>
          <w:rFonts w:hint="eastAsia" w:ascii="仿宋_GB2312" w:hAnsi="仿宋_GB2312" w:eastAsia="仿宋_GB2312" w:cs="仿宋_GB2312"/>
          <w:sz w:val="32"/>
          <w:szCs w:val="32"/>
        </w:rPr>
        <w:t>个，累计</w:t>
      </w:r>
      <w:r>
        <w:rPr>
          <w:rFonts w:hint="default" w:ascii="仿宋_GB2312" w:hAnsi="仿宋_GB2312" w:eastAsia="仿宋_GB2312" w:cs="仿宋_GB2312"/>
          <w:sz w:val="32"/>
          <w:szCs w:val="32"/>
        </w:rPr>
        <w:t>0</w:t>
      </w:r>
      <w:r>
        <w:rPr>
          <w:rFonts w:hint="eastAsia" w:ascii="仿宋_GB2312" w:hAnsi="仿宋_GB2312" w:eastAsia="仿宋_GB2312" w:cs="仿宋_GB2312"/>
          <w:sz w:val="32"/>
          <w:szCs w:val="32"/>
        </w:rPr>
        <w:t>人次</w:t>
      </w:r>
      <w:r>
        <w:rPr>
          <w:rFonts w:hint="default" w:ascii="仿宋_GB2312" w:hAnsi="仿宋_GB2312" w:eastAsia="仿宋_GB2312" w:cs="仿宋_GB2312"/>
          <w:b w:val="0"/>
          <w:bCs w:val="0"/>
          <w:i w:val="0"/>
          <w:iCs/>
          <w:color w:val="auto"/>
          <w:sz w:val="32"/>
          <w:szCs w:val="32"/>
        </w:rPr>
        <w:t>。</w:t>
      </w:r>
    </w:p>
    <w:p w14:paraId="69EA4844">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2.公务用车购置费及运行维护费支出预算为52.67万元，支出决算为50.36万元，完成预算的95.61%；与上年相比减少30.77万元，降低37.93%。其中：</w:t>
      </w:r>
    </w:p>
    <w:p w14:paraId="07323391">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公务用车购置费支出预算为0.00万元，支出决算为0.00万元，完成预算的100.00%；与上年相比无变化。</w:t>
      </w:r>
    </w:p>
    <w:p w14:paraId="712A1395">
      <w:pPr>
        <w:pStyle w:val="12"/>
        <w:overflowPunct w:val="0"/>
        <w:autoSpaceDE/>
        <w:autoSpaceDN/>
        <w:spacing w:line="600" w:lineRule="exact"/>
        <w:ind w:firstLine="640" w:firstLineChars="200"/>
        <w:jc w:val="both"/>
        <w:rPr>
          <w:rFonts w:hint="eastAsia" w:ascii="仿宋_GB2312" w:hAnsi="仿宋_GB2312" w:eastAsia="仿宋_GB2312" w:cs="仿宋_GB2312"/>
          <w:b/>
          <w:bCs/>
          <w:i/>
          <w:sz w:val="32"/>
          <w:szCs w:val="32"/>
          <w:highlight w:val="yellow"/>
        </w:rPr>
      </w:pPr>
      <w:r>
        <w:rPr>
          <w:rFonts w:hint="eastAsia" w:ascii="仿宋_GB2312" w:hAnsi="仿宋_GB2312" w:eastAsia="仿宋_GB2312" w:cs="仿宋_GB2312"/>
          <w:sz w:val="32"/>
          <w:szCs w:val="32"/>
        </w:rPr>
        <w:t>公务用车运行维护费支出预算为52.67万元，支出决算为50.36万元，</w:t>
      </w:r>
      <w:r>
        <w:rPr>
          <w:rFonts w:hint="eastAsia" w:ascii="仿宋_GB2312" w:hAnsi="仿宋_GB2312" w:eastAsia="仿宋_GB2312" w:cs="仿宋_GB2312"/>
          <w:sz w:val="32"/>
          <w:szCs w:val="32"/>
          <w:highlight w:val="none"/>
        </w:rPr>
        <w:t>主要是</w:t>
      </w:r>
      <w:r>
        <w:rPr>
          <w:rFonts w:hint="eastAsia" w:ascii="仿宋_GB2312" w:hAnsi="仿宋_GB2312" w:eastAsia="仿宋_GB2312" w:cs="仿宋_GB2312"/>
          <w:sz w:val="32"/>
          <w:szCs w:val="32"/>
          <w:highlight w:val="none"/>
          <w:lang w:eastAsia="zh-CN"/>
        </w:rPr>
        <w:t>公车平台车辆维修费、油料费、保险费</w:t>
      </w:r>
      <w:r>
        <w:rPr>
          <w:rFonts w:hint="eastAsia" w:ascii="仿宋_GB2312" w:hAnsi="仿宋_GB2312" w:eastAsia="仿宋_GB2312" w:cs="仿宋_GB2312"/>
          <w:sz w:val="32"/>
          <w:szCs w:val="32"/>
          <w:highlight w:val="none"/>
        </w:rPr>
        <w:t>支出，完成预算的95.61%；与上年相比减少30.77万元，</w:t>
      </w:r>
      <w:r>
        <w:rPr>
          <w:rFonts w:hint="eastAsia" w:ascii="仿宋_GB2312" w:hAnsi="仿宋_GB2312" w:eastAsia="仿宋_GB2312" w:cs="仿宋_GB2312"/>
          <w:sz w:val="32"/>
          <w:szCs w:val="32"/>
        </w:rPr>
        <w:t>降低37.93%</w:t>
      </w:r>
      <w:r>
        <w:rPr>
          <w:rFonts w:hint="eastAsia" w:ascii="仿宋_GB2312" w:hAnsi="仿宋_GB2312" w:eastAsia="仿宋_GB2312" w:cs="仿宋_GB2312"/>
          <w:sz w:val="32"/>
          <w:szCs w:val="32"/>
          <w:highlight w:val="none"/>
        </w:rPr>
        <w:t>。决算数小于预算数的主要原因是</w:t>
      </w:r>
      <w:r>
        <w:rPr>
          <w:rFonts w:hint="default" w:ascii="仿宋_GB2312" w:hAnsi="仿宋_GB2312" w:eastAsia="仿宋_GB2312" w:cs="仿宋_GB2312"/>
          <w:sz w:val="32"/>
          <w:szCs w:val="32"/>
          <w:highlight w:val="none"/>
        </w:rPr>
        <w:t>节约</w:t>
      </w:r>
      <w:r>
        <w:rPr>
          <w:rFonts w:hint="eastAsia" w:ascii="仿宋_GB2312" w:hAnsi="仿宋_GB2312" w:eastAsia="仿宋_GB2312" w:cs="仿宋_GB2312"/>
          <w:sz w:val="32"/>
          <w:szCs w:val="32"/>
          <w:highlight w:val="none"/>
        </w:rPr>
        <w:t>公务用车运行维护费支出。决算数小于上年数的主要原因是</w:t>
      </w:r>
      <w:r>
        <w:rPr>
          <w:rFonts w:hint="eastAsia" w:ascii="仿宋_GB2312" w:hAnsi="仿宋_GB2312" w:eastAsia="仿宋_GB2312" w:cs="仿宋_GB2312"/>
          <w:sz w:val="32"/>
          <w:szCs w:val="32"/>
          <w:highlight w:val="none"/>
          <w:lang w:eastAsia="zh-CN"/>
        </w:rPr>
        <w:t>公车平台车辆油料费支出、维修费支出减少</w:t>
      </w:r>
      <w:r>
        <w:rPr>
          <w:rFonts w:hint="eastAsia" w:ascii="仿宋_GB2312" w:hAnsi="仿宋_GB2312" w:eastAsia="仿宋_GB2312" w:cs="仿宋_GB2312"/>
          <w:sz w:val="32"/>
          <w:szCs w:val="32"/>
          <w:highlight w:val="none"/>
        </w:rPr>
        <w:t>。截</w:t>
      </w:r>
      <w:r>
        <w:rPr>
          <w:rFonts w:hint="eastAsia" w:ascii="仿宋_GB2312" w:hAnsi="仿宋_GB2312" w:eastAsia="仿宋_GB2312" w:cs="仿宋_GB2312"/>
          <w:sz w:val="32"/>
          <w:szCs w:val="32"/>
          <w:highlight w:val="none"/>
          <w:lang w:eastAsia="zh-CN"/>
        </w:rPr>
        <w:t>至</w:t>
      </w:r>
      <w:bookmarkStart w:id="3" w:name="_GoBack"/>
      <w:bookmarkEnd w:id="3"/>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年12月31日，我单位开支财政拨款的公务用车保有量为68辆。</w:t>
      </w:r>
    </w:p>
    <w:p w14:paraId="4343C0C2">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3.公务接待费支出预算为2.00万元，支出决算为0.10万元，完成预算的5.00%；与上年相比减少1.85万元，降低94.87%。决算数小于预算数的主要原因是</w:t>
      </w:r>
      <w:r>
        <w:rPr>
          <w:rFonts w:hint="default" w:ascii="仿宋_GB2312" w:hAnsi="仿宋_GB2312" w:eastAsia="仿宋_GB2312" w:cs="仿宋_GB2312"/>
          <w:sz w:val="32"/>
          <w:szCs w:val="32"/>
        </w:rPr>
        <w:t>实际公务接待次数比年初预计公务接待次数</w:t>
      </w:r>
      <w:r>
        <w:rPr>
          <w:rFonts w:hint="eastAsia" w:ascii="仿宋_GB2312" w:hAnsi="仿宋_GB2312" w:eastAsia="仿宋_GB2312" w:cs="仿宋_GB2312"/>
          <w:sz w:val="32"/>
          <w:szCs w:val="32"/>
          <w:lang w:eastAsia="zh-CN"/>
        </w:rPr>
        <w:t>少</w:t>
      </w:r>
      <w:r>
        <w:rPr>
          <w:rFonts w:hint="eastAsia" w:ascii="仿宋_GB2312" w:hAnsi="仿宋_GB2312" w:eastAsia="仿宋_GB2312" w:cs="仿宋_GB2312"/>
          <w:sz w:val="32"/>
          <w:szCs w:val="32"/>
        </w:rPr>
        <w:t>。决算数小于上年数的主要原因是</w:t>
      </w:r>
      <w:r>
        <w:rPr>
          <w:rFonts w:hint="default" w:ascii="仿宋_GB2312" w:hAnsi="仿宋_GB2312" w:eastAsia="仿宋_GB2312" w:cs="仿宋_GB2312"/>
          <w:sz w:val="32"/>
          <w:szCs w:val="32"/>
        </w:rPr>
        <w:t>公务接待次数</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,公务接待费降低</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2025年</w:t>
      </w:r>
      <w:r>
        <w:rPr>
          <w:rFonts w:hint="eastAsia" w:ascii="仿宋_GB2312" w:hAnsi="仿宋_GB2312" w:eastAsia="仿宋_GB2312" w:cs="仿宋_GB2312"/>
          <w:sz w:val="32"/>
          <w:szCs w:val="32"/>
          <w:highlight w:val="none"/>
        </w:rPr>
        <w:t>度共接待来访团组</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个、来宾</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人次，主要是</w:t>
      </w:r>
      <w:r>
        <w:rPr>
          <w:rFonts w:hint="eastAsia" w:ascii="仿宋_GB2312" w:hAnsi="仿宋_GB2312" w:eastAsia="仿宋_GB2312" w:cs="仿宋_GB2312"/>
          <w:sz w:val="32"/>
          <w:szCs w:val="32"/>
          <w:highlight w:val="none"/>
          <w:lang w:eastAsia="zh-CN"/>
        </w:rPr>
        <w:t>国有资产管理情况调研及公物仓创新试点实地复核</w:t>
      </w:r>
      <w:r>
        <w:rPr>
          <w:rFonts w:hint="eastAsia" w:ascii="仿宋_GB2312" w:hAnsi="仿宋_GB2312" w:eastAsia="仿宋_GB2312" w:cs="仿宋_GB2312"/>
          <w:sz w:val="32"/>
          <w:szCs w:val="32"/>
          <w:highlight w:val="none"/>
        </w:rPr>
        <w:t>发生的接待支出。</w:t>
      </w:r>
    </w:p>
    <w:p w14:paraId="7D060E0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9B667FA">
      <w:pPr>
        <w:pStyle w:val="12"/>
        <w:overflowPunct w:val="0"/>
        <w:autoSpaceDE/>
        <w:autoSpaceDN/>
        <w:spacing w:line="600" w:lineRule="exact"/>
        <w:ind w:firstLine="640" w:firstLineChars="20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default" w:ascii="仿宋_GB2312" w:hAnsi="仿宋_GB2312" w:eastAsia="仿宋_GB2312" w:cs="仿宋_GB2312"/>
          <w:sz w:val="32"/>
          <w:szCs w:val="32"/>
        </w:rPr>
        <w:t>本单位无政府性基金收支。</w:t>
      </w:r>
    </w:p>
    <w:p w14:paraId="2833FA64">
      <w:pPr>
        <w:pStyle w:val="12"/>
        <w:numPr>
          <w:ilvl w:val="0"/>
          <w:numId w:val="2"/>
        </w:numPr>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rPr>
        <w:t>国有资本经营预算财政拨款支出说明</w:t>
      </w:r>
    </w:p>
    <w:p w14:paraId="0BF3586C">
      <w:pPr>
        <w:pStyle w:val="12"/>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仿宋_GB2312" w:hAnsi="仿宋_GB2312" w:eastAsia="仿宋_GB2312" w:cs="仿宋_GB2312"/>
          <w:sz w:val="32"/>
          <w:szCs w:val="32"/>
        </w:rPr>
        <w:t>202</w:t>
      </w:r>
      <w:r>
        <w:rPr>
          <w:rFonts w:hint="default" w:ascii="仿宋_GB2312" w:hAnsi="仿宋_GB2312" w:eastAsia="仿宋_GB2312" w:cs="仿宋_GB2312"/>
          <w:sz w:val="32"/>
          <w:szCs w:val="32"/>
        </w:rPr>
        <w:t>5</w:t>
      </w:r>
      <w:r>
        <w:rPr>
          <w:rFonts w:hint="eastAsia" w:ascii="仿宋_GB2312" w:hAnsi="仿宋_GB2312" w:eastAsia="仿宋_GB2312" w:cs="仿宋_GB2312"/>
          <w:sz w:val="32"/>
          <w:szCs w:val="32"/>
        </w:rPr>
        <w:t>年度本单位无国有资本经营收支。</w:t>
      </w:r>
    </w:p>
    <w:p w14:paraId="145227F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十、关于机关运行经费支出说明</w:t>
      </w:r>
    </w:p>
    <w:p w14:paraId="2947FBC5">
      <w:pPr>
        <w:pStyle w:val="12"/>
        <w:overflowPunct w:val="0"/>
        <w:autoSpaceDE/>
        <w:autoSpaceDN/>
        <w:spacing w:line="60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本部门202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年度机关运行经费支出584.86万元，</w:t>
      </w:r>
      <w:r>
        <w:rPr>
          <w:rFonts w:hint="eastAsia" w:ascii="仿宋_GB2312" w:hAnsi="仿宋_GB2312" w:eastAsia="仿宋_GB2312" w:cs="仿宋_GB2312"/>
          <w:sz w:val="32"/>
          <w:szCs w:val="32"/>
          <w:highlight w:val="none"/>
          <w:lang w:eastAsia="zh-CN"/>
        </w:rPr>
        <w:t>比</w:t>
      </w:r>
      <w:r>
        <w:rPr>
          <w:rFonts w:hint="eastAsia" w:ascii="仿宋_GB2312" w:hAnsi="仿宋_GB2312" w:eastAsia="仿宋_GB2312" w:cs="仿宋_GB2312"/>
          <w:sz w:val="32"/>
          <w:szCs w:val="32"/>
          <w:highlight w:val="none"/>
        </w:rPr>
        <w:t>上年决算数增加18.96万元，增长3.35%。主要原因是：</w:t>
      </w:r>
      <w:r>
        <w:rPr>
          <w:rFonts w:hint="eastAsia" w:ascii="仿宋_GB2312" w:hAnsi="仿宋_GB2312" w:eastAsia="仿宋_GB2312" w:cs="仿宋_GB2312"/>
          <w:sz w:val="32"/>
          <w:szCs w:val="32"/>
          <w:highlight w:val="none"/>
          <w:lang w:eastAsia="zh-CN"/>
        </w:rPr>
        <w:t>电费支出增加，2024年不包括12月电费，2025年包括12月市民服务中心电费。</w:t>
      </w:r>
    </w:p>
    <w:p w14:paraId="64F25CE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十一、一般性支出情况说明</w:t>
      </w:r>
    </w:p>
    <w:p w14:paraId="39213F2A">
      <w:pPr>
        <w:pStyle w:val="12"/>
        <w:overflowPunct w:val="0"/>
        <w:autoSpaceDE/>
        <w:autoSpaceDN/>
        <w:spacing w:line="600" w:lineRule="exact"/>
        <w:ind w:firstLine="640" w:firstLineChars="200"/>
        <w:jc w:val="both"/>
        <w:rPr>
          <w:rFonts w:hint="eastAsia" w:ascii="仿宋_GB2312" w:hAnsi="仿宋_GB2312" w:eastAsia="仿宋_GB2312" w:cs="仿宋_GB2312"/>
          <w:b/>
          <w:bCs/>
          <w:i/>
          <w:color w:val="auto"/>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年本部门开支会议费0.31万元</w:t>
      </w:r>
      <w:r>
        <w:rPr>
          <w:rFonts w:hint="eastAsia" w:ascii="仿宋_GB2312" w:hAnsi="仿宋_GB2312" w:eastAsia="仿宋_GB2312" w:cs="仿宋_GB2312"/>
          <w:sz w:val="32"/>
          <w:szCs w:val="32"/>
          <w:highlight w:val="none"/>
        </w:rPr>
        <w:t>，用于召开</w:t>
      </w:r>
      <w:r>
        <w:rPr>
          <w:rFonts w:hint="eastAsia" w:ascii="仿宋_GB2312" w:hAnsi="仿宋_GB2312" w:eastAsia="仿宋_GB2312" w:cs="仿宋_GB2312"/>
          <w:sz w:val="32"/>
          <w:szCs w:val="32"/>
          <w:highlight w:val="none"/>
          <w:lang w:eastAsia="zh-CN"/>
        </w:rPr>
        <w:t>全市公共机构能源资源消费数据集中会审</w:t>
      </w:r>
      <w:r>
        <w:rPr>
          <w:rFonts w:hint="eastAsia" w:ascii="仿宋_GB2312" w:hAnsi="仿宋_GB2312" w:eastAsia="仿宋_GB2312" w:cs="仿宋_GB2312"/>
          <w:sz w:val="32"/>
          <w:szCs w:val="32"/>
          <w:highlight w:val="none"/>
        </w:rPr>
        <w:t>会议，人数</w:t>
      </w:r>
      <w:r>
        <w:rPr>
          <w:rFonts w:hint="eastAsia" w:ascii="仿宋_GB2312" w:hAnsi="仿宋_GB2312" w:eastAsia="仿宋_GB2312" w:cs="仿宋_GB2312"/>
          <w:sz w:val="32"/>
          <w:szCs w:val="32"/>
          <w:highlight w:val="none"/>
          <w:lang w:val="en-US" w:eastAsia="zh-CN"/>
        </w:rPr>
        <w:t>39</w:t>
      </w:r>
      <w:r>
        <w:rPr>
          <w:rFonts w:hint="eastAsia" w:ascii="仿宋_GB2312" w:hAnsi="仿宋_GB2312" w:eastAsia="仿宋_GB2312" w:cs="仿宋_GB2312"/>
          <w:sz w:val="32"/>
          <w:szCs w:val="32"/>
          <w:highlight w:val="none"/>
        </w:rPr>
        <w:t>人，内容为</w:t>
      </w:r>
      <w:r>
        <w:rPr>
          <w:rFonts w:hint="eastAsia" w:ascii="仿宋_GB2312" w:hAnsi="仿宋_GB2312" w:eastAsia="仿宋_GB2312" w:cs="仿宋_GB2312"/>
          <w:sz w:val="32"/>
          <w:szCs w:val="32"/>
          <w:highlight w:val="none"/>
          <w:lang w:eastAsia="zh-CN"/>
        </w:rPr>
        <w:t>集中会审</w:t>
      </w:r>
      <w:r>
        <w:rPr>
          <w:rFonts w:hint="eastAsia" w:ascii="仿宋_GB2312" w:hAnsi="仿宋_GB2312" w:eastAsia="仿宋_GB2312" w:cs="仿宋_GB2312"/>
          <w:sz w:val="32"/>
          <w:szCs w:val="32"/>
          <w:highlight w:val="none"/>
          <w:lang w:val="en-US" w:eastAsia="zh-CN"/>
        </w:rPr>
        <w:t>2024年全市公共机构能源资源消费统计数据</w:t>
      </w:r>
      <w:r>
        <w:rPr>
          <w:rFonts w:hint="eastAsia" w:ascii="仿宋_GB2312" w:hAnsi="仿宋_GB2312" w:eastAsia="仿宋_GB2312" w:cs="仿宋_GB2312"/>
          <w:sz w:val="32"/>
          <w:szCs w:val="32"/>
          <w:highlight w:val="none"/>
        </w:rPr>
        <w:t>；开支培训费0.22万元，用于开展2025年度湖南省事业单位人员培训，人数</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人，内容为</w:t>
      </w:r>
      <w:r>
        <w:rPr>
          <w:rFonts w:hint="eastAsia" w:ascii="仿宋_GB2312" w:hAnsi="仿宋_GB2312" w:eastAsia="仿宋_GB2312" w:cs="仿宋_GB2312"/>
          <w:sz w:val="32"/>
          <w:szCs w:val="32"/>
          <w:highlight w:val="none"/>
          <w:lang w:eastAsia="zh-CN"/>
        </w:rPr>
        <w:t>组织开展公车中心人员参加2025年度湖南省事业单位人员培训。</w:t>
      </w:r>
    </w:p>
    <w:p w14:paraId="490D4E2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十二、关于政府采购支出说明</w:t>
      </w:r>
    </w:p>
    <w:p w14:paraId="36DA0651">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仿宋_GB2312" w:hAnsi="仿宋_GB2312" w:eastAsia="仿宋_GB2312" w:cs="仿宋_GB2312"/>
          <w:sz w:val="32"/>
          <w:szCs w:val="32"/>
        </w:rPr>
        <w:t>本部门202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年度政府采购支出总额1520.98万元，其中：政府采购货物支出</w:t>
      </w:r>
      <w:r>
        <w:rPr>
          <w:rFonts w:hint="default" w:ascii="仿宋_GB2312" w:hAnsi="仿宋_GB2312" w:eastAsia="仿宋_GB2312" w:cs="仿宋_GB2312"/>
          <w:sz w:val="32"/>
          <w:szCs w:val="32"/>
        </w:rPr>
        <w:t>0.00</w:t>
      </w:r>
      <w:r>
        <w:rPr>
          <w:rFonts w:hint="eastAsia" w:ascii="仿宋_GB2312" w:hAnsi="仿宋_GB2312" w:eastAsia="仿宋_GB2312" w:cs="仿宋_GB2312"/>
          <w:sz w:val="32"/>
          <w:szCs w:val="32"/>
        </w:rPr>
        <w:t>万元、政府采购工程支出</w:t>
      </w:r>
      <w:r>
        <w:rPr>
          <w:rFonts w:hint="default" w:ascii="仿宋_GB2312" w:hAnsi="仿宋_GB2312" w:eastAsia="仿宋_GB2312" w:cs="仿宋_GB2312"/>
          <w:sz w:val="32"/>
          <w:szCs w:val="32"/>
        </w:rPr>
        <w:t>0.00</w:t>
      </w:r>
      <w:r>
        <w:rPr>
          <w:rFonts w:hint="eastAsia" w:ascii="仿宋_GB2312" w:hAnsi="仿宋_GB2312" w:eastAsia="仿宋_GB2312" w:cs="仿宋_GB2312"/>
          <w:sz w:val="32"/>
          <w:szCs w:val="32"/>
        </w:rPr>
        <w:t>万元、政府采购服务支出1520.98万元。授予中小企业合同金额1520.98万元，占政府采购支出总额的100.00%，其中：授予小微企业合同金额</w:t>
      </w:r>
      <w:r>
        <w:rPr>
          <w:rFonts w:hint="default" w:ascii="仿宋_GB2312" w:hAnsi="仿宋_GB2312" w:eastAsia="仿宋_GB2312" w:cs="仿宋_GB2312"/>
          <w:sz w:val="32"/>
          <w:szCs w:val="32"/>
        </w:rPr>
        <w:t>150.00</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占授予中小企业合同金额的9.86%。货物采购授予中小企业合同金额占货物支出金额的</w:t>
      </w:r>
      <w:r>
        <w:rPr>
          <w:rFonts w:hint="default" w:ascii="仿宋_GB2312" w:hAnsi="仿宋_GB2312" w:eastAsia="仿宋_GB2312" w:cs="仿宋_GB2312"/>
          <w:color w:val="auto"/>
          <w:sz w:val="32"/>
          <w:szCs w:val="32"/>
        </w:rPr>
        <w:t>100.00</w:t>
      </w:r>
      <w:r>
        <w:rPr>
          <w:rFonts w:hint="eastAsia" w:ascii="仿宋_GB2312" w:hAnsi="仿宋_GB2312" w:eastAsia="仿宋_GB2312" w:cs="仿宋_GB2312"/>
          <w:color w:val="auto"/>
          <w:sz w:val="32"/>
          <w:szCs w:val="32"/>
        </w:rPr>
        <w:t>%，工程采购授予中小企业合同金额占工程支出金额的</w:t>
      </w:r>
      <w:r>
        <w:rPr>
          <w:rFonts w:hint="default" w:ascii="仿宋_GB2312" w:hAnsi="仿宋_GB2312" w:eastAsia="仿宋_GB2312" w:cs="仿宋_GB2312"/>
          <w:color w:val="auto"/>
          <w:sz w:val="32"/>
          <w:szCs w:val="32"/>
        </w:rPr>
        <w:t>100.00</w:t>
      </w:r>
      <w:r>
        <w:rPr>
          <w:rFonts w:hint="eastAsia" w:ascii="仿宋_GB2312" w:hAnsi="仿宋_GB2312" w:eastAsia="仿宋_GB2312" w:cs="仿宋_GB2312"/>
          <w:color w:val="auto"/>
          <w:sz w:val="32"/>
          <w:szCs w:val="32"/>
        </w:rPr>
        <w:t>%，服务采购授予中小企业合同金额占服务支出金额的</w:t>
      </w:r>
      <w:r>
        <w:rPr>
          <w:rFonts w:hint="default" w:ascii="仿宋_GB2312" w:hAnsi="仿宋_GB2312" w:eastAsia="仿宋_GB2312" w:cs="仿宋_GB2312"/>
          <w:color w:val="auto"/>
          <w:sz w:val="32"/>
          <w:szCs w:val="32"/>
        </w:rPr>
        <w:t>100.00</w:t>
      </w:r>
      <w:r>
        <w:rPr>
          <w:rFonts w:hint="eastAsia" w:ascii="仿宋_GB2312" w:hAnsi="仿宋_GB2312" w:eastAsia="仿宋_GB2312" w:cs="仿宋_GB2312"/>
          <w:color w:val="auto"/>
          <w:sz w:val="32"/>
          <w:szCs w:val="32"/>
        </w:rPr>
        <w:t>%</w:t>
      </w:r>
      <w:r>
        <w:rPr>
          <w:rFonts w:hint="default" w:ascii="仿宋_GB2312" w:hAnsi="仿宋_GB2312" w:eastAsia="仿宋_GB2312" w:cs="仿宋_GB2312"/>
          <w:color w:val="auto"/>
          <w:sz w:val="32"/>
          <w:szCs w:val="32"/>
        </w:rPr>
        <w:t>。</w:t>
      </w:r>
    </w:p>
    <w:p w14:paraId="41708EF5">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十三、关于国有资产占用情况说明</w:t>
      </w:r>
    </w:p>
    <w:p w14:paraId="30D719E7">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hint="eastAsia" w:ascii="仿宋_GB2312" w:hAnsi="仿宋_GB2312" w:eastAsia="仿宋_GB2312" w:cs="仿宋_GB2312"/>
          <w:color w:val="auto"/>
          <w:sz w:val="32"/>
          <w:szCs w:val="32"/>
        </w:rPr>
        <w:t>截至202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年12月31日，</w:t>
      </w:r>
      <w:r>
        <w:rPr>
          <w:rFonts w:hint="default" w:ascii="仿宋_GB2312" w:hAnsi="仿宋_GB2312" w:eastAsia="仿宋_GB2312" w:cs="仿宋_GB2312"/>
          <w:color w:val="auto"/>
          <w:sz w:val="32"/>
          <w:szCs w:val="32"/>
        </w:rPr>
        <w:t>本</w:t>
      </w:r>
      <w:r>
        <w:rPr>
          <w:rFonts w:hint="eastAsia" w:ascii="仿宋_GB2312" w:hAnsi="仿宋_GB2312" w:eastAsia="仿宋_GB2312" w:cs="仿宋_GB2312"/>
          <w:color w:val="auto"/>
          <w:sz w:val="32"/>
          <w:szCs w:val="32"/>
        </w:rPr>
        <w:t>单位共有车辆68</w:t>
      </w:r>
      <w:r>
        <w:rPr>
          <w:rFonts w:hint="eastAsia" w:ascii="仿宋_GB2312" w:hAnsi="仿宋_GB2312" w:eastAsia="仿宋_GB2312" w:cs="仿宋_GB2312"/>
          <w:color w:val="auto"/>
          <w:sz w:val="32"/>
          <w:szCs w:val="32"/>
          <w:highlight w:val="none"/>
        </w:rPr>
        <w:t>辆，其中，离退休干部服务用车1辆、其他用车67辆，其他用车主要是</w:t>
      </w:r>
      <w:r>
        <w:rPr>
          <w:rFonts w:hint="eastAsia" w:ascii="仿宋_GB2312" w:hAnsi="仿宋_GB2312" w:eastAsia="仿宋_GB2312" w:cs="仿宋_GB2312"/>
          <w:color w:val="auto"/>
          <w:sz w:val="32"/>
          <w:szCs w:val="32"/>
          <w:highlight w:val="none"/>
          <w:lang w:eastAsia="zh-CN"/>
        </w:rPr>
        <w:t>公车平台车辆</w:t>
      </w:r>
      <w:r>
        <w:rPr>
          <w:rFonts w:hint="eastAsia" w:ascii="仿宋_GB2312" w:hAnsi="仿宋_GB2312" w:eastAsia="仿宋_GB2312" w:cs="仿宋_GB2312"/>
          <w:color w:val="auto"/>
          <w:sz w:val="32"/>
          <w:szCs w:val="32"/>
          <w:highlight w:val="none"/>
        </w:rPr>
        <w:t>；单位价值100万元以上设备（不含车辆）</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台（套）。</w:t>
      </w:r>
    </w:p>
    <w:p w14:paraId="38446772">
      <w:pPr>
        <w:pStyle w:val="12"/>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十四、关于</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cs="Times New Roman"/>
          <w:bCs/>
          <w:color w:val="auto"/>
          <w:sz w:val="32"/>
          <w:szCs w:val="32"/>
          <w:highlight w:val="none"/>
        </w:rPr>
        <w:t>年度预算绩效情况的说明</w:t>
      </w:r>
    </w:p>
    <w:p w14:paraId="6D79E97C">
      <w:pPr>
        <w:overflowPunct w:val="0"/>
        <w:spacing w:line="600" w:lineRule="exact"/>
        <w:ind w:firstLine="640" w:firstLineChars="200"/>
        <w:jc w:val="both"/>
        <w:rPr>
          <w:rFonts w:hint="eastAsia" w:ascii="仿宋_GB2312" w:hAnsi="仿宋_GB2312" w:eastAsia="仿宋_GB2312" w:cs="仿宋_GB2312"/>
          <w:b/>
          <w:bCs/>
          <w:kern w:val="0"/>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仿宋_GB2312" w:hAnsi="仿宋_GB2312" w:eastAsia="仿宋_GB2312" w:cs="仿宋_GB2312"/>
          <w:kern w:val="0"/>
          <w:sz w:val="32"/>
          <w:szCs w:val="32"/>
        </w:rPr>
        <w:t>组织对202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年度本单位整体支出开展绩效自评，涉及项目</w:t>
      </w:r>
      <w:r>
        <w:rPr>
          <w:rFonts w:hint="eastAsia" w:ascii="仿宋_GB2312" w:hAnsi="仿宋_GB2312" w:eastAsia="仿宋_GB2312" w:cs="仿宋_GB2312"/>
          <w:kern w:val="0"/>
          <w:sz w:val="32"/>
          <w:szCs w:val="32"/>
          <w:lang w:val="en-US" w:eastAsia="zh-CN"/>
        </w:rPr>
        <w:t>14</w:t>
      </w:r>
      <w:r>
        <w:rPr>
          <w:rFonts w:hint="eastAsia" w:ascii="仿宋_GB2312" w:hAnsi="仿宋_GB2312" w:eastAsia="仿宋_GB2312" w:cs="仿宋_GB2312"/>
          <w:kern w:val="0"/>
          <w:sz w:val="32"/>
          <w:szCs w:val="32"/>
        </w:rPr>
        <w:t>个，共涉及资金2125.88万元。其中，一般公共预算项目</w:t>
      </w:r>
      <w:r>
        <w:rPr>
          <w:rFonts w:hint="eastAsia" w:ascii="仿宋_GB2312" w:hAnsi="仿宋_GB2312" w:eastAsia="仿宋_GB2312" w:cs="仿宋_GB2312"/>
          <w:kern w:val="0"/>
          <w:sz w:val="32"/>
          <w:szCs w:val="32"/>
          <w:lang w:val="en-US" w:eastAsia="zh-CN"/>
        </w:rPr>
        <w:t>14</w:t>
      </w:r>
      <w:r>
        <w:rPr>
          <w:rFonts w:hint="eastAsia" w:ascii="仿宋_GB2312" w:hAnsi="仿宋_GB2312" w:eastAsia="仿宋_GB2312" w:cs="仿宋_GB2312"/>
          <w:kern w:val="0"/>
          <w:sz w:val="32"/>
          <w:szCs w:val="32"/>
        </w:rPr>
        <w:t>个2125.88万元，占一般公共预算支出总额的</w:t>
      </w:r>
      <w:r>
        <w:rPr>
          <w:rFonts w:hint="eastAsia" w:ascii="仿宋_GB2312" w:hAnsi="仿宋_GB2312" w:eastAsia="仿宋_GB2312" w:cs="仿宋_GB2312"/>
          <w:kern w:val="0"/>
          <w:sz w:val="32"/>
          <w:szCs w:val="32"/>
          <w:lang w:val="en-US" w:eastAsia="zh-CN"/>
        </w:rPr>
        <w:t>54.28</w:t>
      </w:r>
      <w:r>
        <w:rPr>
          <w:rFonts w:hint="eastAsia" w:ascii="仿宋_GB2312" w:hAnsi="仿宋_GB2312" w:eastAsia="仿宋_GB2312" w:cs="仿宋_GB2312"/>
          <w:kern w:val="0"/>
          <w:sz w:val="32"/>
          <w:szCs w:val="32"/>
        </w:rPr>
        <w:t>%。</w:t>
      </w:r>
      <w:r>
        <w:rPr>
          <w:rFonts w:hint="eastAsia" w:ascii="仿宋_GB2312" w:hAnsi="仿宋_GB2312" w:eastAsia="仿宋_GB2312" w:cs="仿宋_GB2312"/>
          <w:b/>
          <w:bCs/>
          <w:kern w:val="0"/>
          <w:sz w:val="32"/>
          <w:szCs w:val="32"/>
        </w:rPr>
        <w:t>二是部门评价开展情况。</w:t>
      </w:r>
      <w:r>
        <w:rPr>
          <w:rFonts w:hint="eastAsia" w:ascii="仿宋_GB2312" w:hAnsi="仿宋_GB2312" w:eastAsia="仿宋_GB2312" w:cs="仿宋_GB2312"/>
          <w:kern w:val="0"/>
          <w:sz w:val="32"/>
          <w:szCs w:val="32"/>
        </w:rPr>
        <w:t>组织对所属单位202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年度“</w:t>
      </w:r>
      <w:r>
        <w:rPr>
          <w:rFonts w:hint="eastAsia" w:ascii="仿宋_GB2312" w:hAnsi="仿宋_GB2312" w:eastAsia="仿宋_GB2312" w:cs="仿宋_GB2312"/>
          <w:kern w:val="0"/>
          <w:sz w:val="32"/>
          <w:szCs w:val="32"/>
          <w:lang w:eastAsia="zh-CN"/>
        </w:rPr>
        <w:t>两院物业管理费</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市委二办合同能源托管服务项目经费</w:t>
      </w:r>
      <w:r>
        <w:rPr>
          <w:rFonts w:hint="eastAsia" w:ascii="仿宋_GB2312" w:hAnsi="仿宋_GB2312" w:eastAsia="仿宋_GB2312" w:cs="仿宋_GB2312"/>
          <w:kern w:val="0"/>
          <w:sz w:val="32"/>
          <w:szCs w:val="32"/>
        </w:rPr>
        <w:t>”等</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kern w:val="0"/>
          <w:sz w:val="32"/>
          <w:szCs w:val="32"/>
        </w:rPr>
        <w:t>个项目开展了部门评价，涉及一般公共预算支出</w:t>
      </w:r>
      <w:r>
        <w:rPr>
          <w:rFonts w:hint="eastAsia" w:ascii="仿宋_GB2312" w:hAnsi="仿宋_GB2312" w:eastAsia="仿宋_GB2312" w:cs="仿宋_GB2312"/>
          <w:kern w:val="0"/>
          <w:sz w:val="32"/>
          <w:szCs w:val="32"/>
          <w:lang w:val="en-US" w:eastAsia="zh-CN"/>
        </w:rPr>
        <w:t>1349.22</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b/>
          <w:bCs/>
          <w:kern w:val="0"/>
          <w:sz w:val="32"/>
          <w:szCs w:val="32"/>
        </w:rPr>
        <w:t>三是事前绩效评估开展情况。</w:t>
      </w:r>
      <w:r>
        <w:rPr>
          <w:rFonts w:hint="eastAsia" w:ascii="仿宋_GB2312" w:hAnsi="仿宋_GB2312" w:eastAsia="仿宋_GB2312" w:cs="仿宋_GB2312"/>
          <w:kern w:val="0"/>
          <w:sz w:val="32"/>
          <w:szCs w:val="32"/>
        </w:rPr>
        <w:t>组织对2025年度</w:t>
      </w:r>
      <w:r>
        <w:rPr>
          <w:rFonts w:hint="default" w:ascii="仿宋_GB2312" w:hAnsi="仿宋_GB2312" w:eastAsia="仿宋_GB2312" w:cs="仿宋_GB2312"/>
          <w:kern w:val="0"/>
          <w:sz w:val="32"/>
          <w:szCs w:val="32"/>
        </w:rPr>
        <w:t>1</w:t>
      </w:r>
      <w:r>
        <w:rPr>
          <w:rFonts w:hint="eastAsia" w:ascii="仿宋_GB2312" w:hAnsi="仿宋_GB2312" w:eastAsia="仿宋_GB2312" w:cs="仿宋_GB2312"/>
          <w:kern w:val="0"/>
          <w:sz w:val="32"/>
          <w:szCs w:val="32"/>
        </w:rPr>
        <w:t>个重大项目开展事前绩效评估，共涉及资金816.92万元。</w:t>
      </w:r>
    </w:p>
    <w:p w14:paraId="56D9A28A">
      <w:pPr>
        <w:overflowPunct w:val="0"/>
        <w:spacing w:line="60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楷体_GB2312" w:cs="Times New Roman"/>
          <w:b/>
          <w:bCs/>
          <w:sz w:val="32"/>
          <w:szCs w:val="32"/>
        </w:rPr>
        <w:t>（二）绩效评价结果。</w:t>
      </w:r>
      <w:r>
        <w:rPr>
          <w:rFonts w:hint="eastAsia" w:ascii="仿宋_GB2312" w:hAnsi="仿宋_GB2312" w:eastAsia="仿宋_GB2312" w:cs="仿宋_GB2312"/>
          <w:b/>
          <w:bCs/>
          <w:kern w:val="0"/>
          <w:sz w:val="32"/>
          <w:szCs w:val="32"/>
        </w:rPr>
        <w:t>一是绩效自评结果。</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年度本单位整体支出</w:t>
      </w:r>
      <w:r>
        <w:rPr>
          <w:rFonts w:hint="eastAsia" w:ascii="仿宋_GB2312" w:hAnsi="仿宋_GB2312" w:eastAsia="仿宋_GB2312" w:cs="仿宋_GB2312"/>
          <w:sz w:val="32"/>
          <w:szCs w:val="32"/>
        </w:rPr>
        <w:t>全年预算数4572.18 万元，执行数3916.33 万元，完成预算的</w:t>
      </w:r>
      <w:r>
        <w:rPr>
          <w:rFonts w:hint="eastAsia" w:ascii="仿宋_GB2312" w:hAnsi="仿宋_GB2312" w:eastAsia="仿宋_GB2312" w:cs="仿宋_GB2312"/>
          <w:sz w:val="32"/>
          <w:szCs w:val="32"/>
          <w:lang w:val="en-US" w:eastAsia="zh-CN"/>
        </w:rPr>
        <w:t>85.66</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，绩效自评得分</w:t>
      </w:r>
      <w:r>
        <w:rPr>
          <w:rFonts w:hint="default" w:ascii="仿宋_GB2312" w:hAnsi="仿宋_GB2312" w:eastAsia="仿宋_GB2312" w:cs="仿宋_GB2312"/>
          <w:sz w:val="32"/>
          <w:szCs w:val="32"/>
          <w:highlight w:val="none"/>
        </w:rPr>
        <w:t>87.60</w:t>
      </w:r>
      <w:r>
        <w:rPr>
          <w:rFonts w:hint="eastAsia" w:ascii="仿宋_GB2312" w:hAnsi="仿宋_GB2312" w:eastAsia="仿宋_GB2312" w:cs="仿宋_GB2312"/>
          <w:sz w:val="32"/>
          <w:szCs w:val="32"/>
          <w:highlight w:val="none"/>
        </w:rPr>
        <w:t>分</w:t>
      </w:r>
      <w:r>
        <w:rPr>
          <w:rFonts w:hint="eastAsia" w:ascii="仿宋_GB2312" w:hAnsi="仿宋_GB2312" w:eastAsia="仿宋_GB2312" w:cs="仿宋_GB2312"/>
          <w:kern w:val="0"/>
          <w:sz w:val="32"/>
          <w:szCs w:val="32"/>
        </w:rPr>
        <w:t>，评价等级为</w:t>
      </w:r>
      <w:r>
        <w:rPr>
          <w:rFonts w:hint="eastAsia" w:ascii="仿宋_GB2312" w:hAnsi="仿宋_GB2312" w:eastAsia="仿宋_GB2312" w:cs="仿宋_GB2312"/>
          <w:sz w:val="32"/>
          <w:szCs w:val="32"/>
        </w:rPr>
        <w:t>“良好”。</w:t>
      </w:r>
      <w:r>
        <w:rPr>
          <w:rFonts w:hint="eastAsia" w:ascii="仿宋_GB2312" w:hAnsi="仿宋_GB2312" w:eastAsia="仿宋_GB2312" w:cs="仿宋_GB2312"/>
          <w:b/>
          <w:bCs/>
          <w:sz w:val="32"/>
          <w:szCs w:val="32"/>
        </w:rPr>
        <w:t>绩效目标完成情况：</w:t>
      </w:r>
      <w:r>
        <w:rPr>
          <w:rFonts w:hint="eastAsia" w:ascii="仿宋_GB2312" w:hAnsi="仿宋_GB2312" w:eastAsia="仿宋_GB2312" w:cs="仿宋_GB2312"/>
          <w:sz w:val="32"/>
          <w:szCs w:val="32"/>
        </w:rPr>
        <w:t>一是全面完成市直机关办公用房、公务用车、后勤服务、物业管理等核心保障工作，办公区</w:t>
      </w:r>
      <w:r>
        <w:rPr>
          <w:rFonts w:hint="eastAsia" w:ascii="Times New Roman" w:hAnsi="Times New Roman" w:eastAsia="仿宋_GB2312" w:cs="Times New Roman"/>
          <w:sz w:val="32"/>
          <w:szCs w:val="32"/>
        </w:rPr>
        <w:t>域运转平稳有序</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严格把控各项经费支出，“三公”经费、一般性支出实现压减目标，成本管控成效显著</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三是办公用房维修、设施运维、节能改造等专项工作按期完工，服务保障能力持续提升</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四是全年未发生后勤保障、安全生产、资金使用等方面重大问题及负面事件</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发现的主要问题及原因：</w:t>
      </w:r>
      <w:r>
        <w:rPr>
          <w:rFonts w:ascii="Times New Roman" w:hAnsi="Times New Roman" w:eastAsia="仿宋_GB2312" w:cs="Times New Roman"/>
          <w:sz w:val="32"/>
          <w:szCs w:val="32"/>
        </w:rPr>
        <w:t>一是</w:t>
      </w:r>
      <w:r>
        <w:rPr>
          <w:rFonts w:hint="eastAsia" w:ascii="Times New Roman" w:hAnsi="Times New Roman" w:eastAsia="仿宋_GB2312" w:cs="Times New Roman"/>
          <w:sz w:val="32"/>
          <w:szCs w:val="32"/>
        </w:rPr>
        <w:t>部分项目预算执行进度偏慢、个别项目零支出</w:t>
      </w:r>
      <w:r>
        <w:rPr>
          <w:rFonts w:hint="eastAsia" w:ascii="Times New Roman" w:hAnsi="Times New Roman" w:eastAsia="仿宋_GB2312" w:cs="Times New Roman"/>
          <w:sz w:val="32"/>
          <w:szCs w:val="32"/>
          <w:lang w:eastAsia="zh-CN"/>
        </w:rPr>
        <w:t>，主要是因为部分专项因上级政策调整、工作任务变更无法实施，加之部分项目前期调研论证不够充分，对政策变化、现场实际情况预判不足，导致预算编制精准度不够，出现资金结余、执行滞后现象</w:t>
      </w:r>
      <w:r>
        <w:rPr>
          <w:rFonts w:hint="default" w:ascii="Times New Roman" w:hAnsi="Times New Roman" w:eastAsia="仿宋_GB2312" w:cs="Times New Roman"/>
          <w:sz w:val="32"/>
          <w:szCs w:val="32"/>
          <w:lang w:eastAsia="zh-CN"/>
        </w:rPr>
        <w:t>。</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预算绩效管理精细化程度不足</w:t>
      </w:r>
      <w:r>
        <w:rPr>
          <w:rFonts w:hint="eastAsia" w:ascii="Times New Roman" w:hAnsi="Times New Roman" w:eastAsia="仿宋_GB2312" w:cs="Times New Roman"/>
          <w:sz w:val="32"/>
          <w:szCs w:val="32"/>
          <w:lang w:eastAsia="zh-CN"/>
        </w:rPr>
        <w:t>，主要是因为部分项目绩效指标设置偏笼统，量化、细化指标偏少，可考核性不强及绩效运行监控不够常态化，过程跟踪不够细致</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三是存量资产使用效率仍有提升空间，主要是因为部分老旧办公设备、闲置附属用房存在利用不充分的情况，资产共享、跨区域调配机制不够灵活，资产使用效益评价体系不够完善，存量资产盘活力度不足</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下一步改进措施：</w:t>
      </w:r>
      <w:r>
        <w:rPr>
          <w:rFonts w:ascii="Times New Roman" w:hAnsi="Times New Roman" w:eastAsia="仿宋_GB2312" w:cs="Times New Roman"/>
          <w:sz w:val="32"/>
          <w:szCs w:val="32"/>
        </w:rPr>
        <w:t>一是</w:t>
      </w:r>
      <w:r>
        <w:rPr>
          <w:rFonts w:hint="eastAsia" w:ascii="Times New Roman" w:hAnsi="Times New Roman" w:eastAsia="仿宋_GB2312" w:cs="Times New Roman"/>
          <w:sz w:val="32"/>
          <w:szCs w:val="32"/>
        </w:rPr>
        <w:t>做精预算编制，提升预算执行质效</w:t>
      </w:r>
      <w:r>
        <w:rPr>
          <w:rFonts w:hint="eastAsia" w:ascii="Times New Roman" w:hAnsi="Times New Roman" w:eastAsia="仿宋_GB2312" w:cs="Times New Roman"/>
          <w:sz w:val="32"/>
          <w:szCs w:val="32"/>
          <w:lang w:eastAsia="zh-CN"/>
        </w:rPr>
        <w:t>。强化项目前期实地调研、政策研判，结合历年执行数据、年度工作任务科学编制预算，减少脱离实际的项目安排。建立预算执行动态监控机制，按月跟踪支出进度，对执行滞后项目及时分析原因、督促推进，依规做好预算调剂，全面提升预算执行率。二是深化全过程预算绩效管理。进一步细化量化各项目绩效目标与考核指标，做到指标可量化、可监控、可评价。强化绩效运行事中监控，把绩效要求贯穿项目全流程。健全绩效评价结果应用机制，将自评、考评结果作为下一年度预算编制、项目取舍、资金分配的重要依据，构建“目标设定—过程监控—绩效评价—结果运用”的完整闭环。同时常态化开展业务培训，提升全体人员绩效管理能力</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是</w:t>
      </w:r>
      <w:r>
        <w:rPr>
          <w:rFonts w:hint="eastAsia" w:ascii="Times New Roman" w:hAnsi="Times New Roman" w:eastAsia="仿宋_GB2312" w:cs="Times New Roman"/>
          <w:sz w:val="32"/>
          <w:szCs w:val="32"/>
        </w:rPr>
        <w:t>抓实资产管理，盘活存量资产</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完善资产统一调配、共享共用机制，定期梳理闲置资产，统筹内部调剂使用。健全资产使用效益评价标准，加大闲置资产、老旧资产盘活处置力度。严格落实定期盘点制度，持续夯实资产台账，不断提升资产集约化使用水平</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四是强化队伍建设，夯实管理基础。定期组织预算管理、项目管理、政府采购、资产管理、财经法规等专题培训，组织学习先进单位经验做法，补齐业务短板。进一步细化岗位职责，压实工作责任，全面提升干部职工综合业务能力。</w:t>
      </w:r>
    </w:p>
    <w:p w14:paraId="7705C277">
      <w:pPr>
        <w:overflowPunct w:val="0"/>
        <w:spacing w:line="600" w:lineRule="exact"/>
        <w:ind w:firstLine="640" w:firstLineChars="200"/>
        <w:rPr>
          <w:rFonts w:hint="eastAsia" w:ascii="仿宋_GB2312" w:hAnsi="仿宋_GB2312" w:eastAsia="仿宋_GB2312" w:cs="仿宋_GB2312"/>
          <w:kern w:val="0"/>
          <w:sz w:val="32"/>
          <w:szCs w:val="32"/>
        </w:rPr>
      </w:pPr>
      <w:r>
        <w:rPr>
          <w:rFonts w:ascii="Times New Roman" w:hAnsi="Times New Roman" w:eastAsia="仿宋_GB2312" w:cs="Times New Roman"/>
          <w:b/>
          <w:bCs/>
          <w:kern w:val="0"/>
          <w:sz w:val="32"/>
          <w:szCs w:val="32"/>
        </w:rPr>
        <w:t>二是部门评价结果。</w:t>
      </w:r>
      <w:r>
        <w:rPr>
          <w:rFonts w:hint="eastAsia" w:ascii="仿宋_GB2312" w:hAnsi="仿宋_GB2312" w:eastAsia="仿宋_GB2312" w:cs="仿宋_GB2312"/>
          <w:sz w:val="32"/>
          <w:szCs w:val="32"/>
        </w:rPr>
        <w:t>两院公用水电费缺口项目全年预算数204.00万元，执行数199</w:t>
      </w:r>
      <w:r>
        <w:rPr>
          <w:rFonts w:hint="default" w:ascii="仿宋_GB2312" w:hAnsi="仿宋_GB2312" w:eastAsia="仿宋_GB2312" w:cs="仿宋_GB2312"/>
          <w:sz w:val="32"/>
          <w:szCs w:val="32"/>
        </w:rPr>
        <w:t>.00</w:t>
      </w:r>
      <w:r>
        <w:rPr>
          <w:rFonts w:hint="eastAsia" w:ascii="仿宋_GB2312" w:hAnsi="仿宋_GB2312" w:eastAsia="仿宋_GB2312" w:cs="仿宋_GB2312"/>
          <w:sz w:val="32"/>
          <w:szCs w:val="32"/>
        </w:rPr>
        <w:t>万元，完成预算的97.55%</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t>部门评价得分90分，评价等级为“优秀”。发现的主要问题及原因：一是水电费按月波动幅度不固定，月度预算测算精细化程度不足，年末形成小额资金结余</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二是节能降耗常态化管理制度仍需细化，日常水电巡检频次有待提升。下一步改进措施：一是结合后续近三年月度水电消耗数据，细化分月资金测算，精准编制月度用款计划，提升预算执行均衡度</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rPr>
        <w:t>二是完善水电日常巡查制度，按月统计能耗数据，细化科室能耗考核，持续深挖节能降本空间</w:t>
      </w:r>
      <w:r>
        <w:rPr>
          <w:rFonts w:hint="eastAsia" w:ascii="仿宋_GB2312" w:hAnsi="仿宋_GB2312" w:eastAsia="仿宋_GB2312" w:cs="仿宋_GB2312"/>
          <w:kern w:val="0"/>
          <w:sz w:val="32"/>
          <w:szCs w:val="32"/>
        </w:rPr>
        <w:t>。</w:t>
      </w:r>
    </w:p>
    <w:p w14:paraId="4AFA1A84">
      <w:pPr>
        <w:overflowPunct w:val="0"/>
        <w:spacing w:line="6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
          <w:bCs/>
          <w:kern w:val="0"/>
          <w:sz w:val="32"/>
          <w:szCs w:val="32"/>
        </w:rPr>
        <w:t>三是事前绩效评估结果。</w:t>
      </w:r>
      <w:r>
        <w:rPr>
          <w:rFonts w:hint="eastAsia" w:ascii="仿宋_GB2312" w:hAnsi="仿宋_GB2312" w:eastAsia="仿宋_GB2312" w:cs="仿宋_GB2312"/>
          <w:b w:val="0"/>
          <w:bCs w:val="0"/>
          <w:kern w:val="0"/>
          <w:sz w:val="32"/>
          <w:szCs w:val="32"/>
        </w:rPr>
        <w:t>2025年度</w:t>
      </w:r>
      <w:r>
        <w:rPr>
          <w:rFonts w:hint="default" w:ascii="仿宋_GB2312" w:hAnsi="仿宋_GB2312" w:eastAsia="仿宋_GB2312" w:cs="仿宋_GB2312"/>
          <w:b w:val="0"/>
          <w:bCs w:val="0"/>
          <w:kern w:val="0"/>
          <w:sz w:val="32"/>
          <w:szCs w:val="32"/>
        </w:rPr>
        <w:t>1</w:t>
      </w:r>
      <w:r>
        <w:rPr>
          <w:rFonts w:hint="eastAsia" w:ascii="仿宋_GB2312" w:hAnsi="仿宋_GB2312" w:eastAsia="仿宋_GB2312" w:cs="仿宋_GB2312"/>
          <w:b w:val="0"/>
          <w:bCs w:val="0"/>
          <w:kern w:val="0"/>
          <w:sz w:val="32"/>
          <w:szCs w:val="32"/>
        </w:rPr>
        <w:t>个重大项目事前绩效评估，其中，</w:t>
      </w:r>
      <w:r>
        <w:rPr>
          <w:rFonts w:hint="default" w:ascii="仿宋_GB2312" w:hAnsi="仿宋_GB2312" w:eastAsia="仿宋_GB2312" w:cs="仿宋_GB2312"/>
          <w:b w:val="0"/>
          <w:bCs w:val="0"/>
          <w:kern w:val="0"/>
          <w:sz w:val="32"/>
          <w:szCs w:val="32"/>
        </w:rPr>
        <w:t>1</w:t>
      </w:r>
      <w:r>
        <w:rPr>
          <w:rFonts w:hint="eastAsia" w:ascii="仿宋_GB2312" w:hAnsi="仿宋_GB2312" w:eastAsia="仿宋_GB2312" w:cs="仿宋_GB2312"/>
          <w:b w:val="0"/>
          <w:bCs w:val="0"/>
          <w:kern w:val="0"/>
          <w:sz w:val="32"/>
          <w:szCs w:val="32"/>
        </w:rPr>
        <w:t>个项目评估通过，涉及资金816.92万元，</w:t>
      </w:r>
      <w:r>
        <w:rPr>
          <w:rFonts w:hint="default" w:ascii="仿宋_GB2312" w:hAnsi="仿宋_GB2312" w:eastAsia="仿宋_GB2312" w:cs="仿宋_GB2312"/>
          <w:b w:val="0"/>
          <w:bCs w:val="0"/>
          <w:kern w:val="0"/>
          <w:sz w:val="32"/>
          <w:szCs w:val="32"/>
        </w:rPr>
        <w:t>0</w:t>
      </w:r>
      <w:r>
        <w:rPr>
          <w:rFonts w:hint="eastAsia" w:ascii="仿宋_GB2312" w:hAnsi="仿宋_GB2312" w:eastAsia="仿宋_GB2312" w:cs="仿宋_GB2312"/>
          <w:b w:val="0"/>
          <w:bCs w:val="0"/>
          <w:kern w:val="0"/>
          <w:sz w:val="32"/>
          <w:szCs w:val="32"/>
        </w:rPr>
        <w:t>个项目评估不通过，涉及资金</w:t>
      </w:r>
      <w:r>
        <w:rPr>
          <w:rFonts w:hint="default" w:ascii="仿宋_GB2312" w:hAnsi="仿宋_GB2312" w:eastAsia="仿宋_GB2312" w:cs="仿宋_GB2312"/>
          <w:b w:val="0"/>
          <w:bCs w:val="0"/>
          <w:kern w:val="0"/>
          <w:sz w:val="32"/>
          <w:szCs w:val="32"/>
        </w:rPr>
        <w:t>0.00</w:t>
      </w:r>
      <w:r>
        <w:rPr>
          <w:rFonts w:hint="eastAsia" w:ascii="仿宋_GB2312" w:hAnsi="仿宋_GB2312" w:eastAsia="仿宋_GB2312" w:cs="仿宋_GB2312"/>
          <w:b w:val="0"/>
          <w:bCs w:val="0"/>
          <w:kern w:val="0"/>
          <w:sz w:val="32"/>
          <w:szCs w:val="32"/>
        </w:rPr>
        <w:t>万元。</w:t>
      </w:r>
    </w:p>
    <w:p w14:paraId="68F8DD90">
      <w:pPr>
        <w:pStyle w:val="12"/>
        <w:numPr>
          <w:ilvl w:val="0"/>
          <w:numId w:val="3"/>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0EE589ED">
      <w:pPr>
        <w:pStyle w:val="12"/>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一是2025年度预算安排方面：本单位2025年年初收入预算2816.23万元，其中，一般公共预算拨款2759.23万元，占97.98%；纳入财政专户管理的非税收入拨款57.00万元，占2.02%。</w:t>
      </w:r>
    </w:p>
    <w:p w14:paraId="37CBE94E">
      <w:pPr>
        <w:pStyle w:val="12"/>
        <w:overflowPunct w:val="0"/>
        <w:autoSpaceDE/>
        <w:autoSpaceDN/>
        <w:spacing w:line="60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二是2025年度</w:t>
      </w:r>
      <w:r>
        <w:rPr>
          <w:rFonts w:hint="default" w:ascii="仿宋_GB2312" w:hAnsi="仿宋_GB2312" w:eastAsia="仿宋_GB2312" w:cs="仿宋_GB2312"/>
          <w:color w:val="auto"/>
          <w:sz w:val="32"/>
          <w:szCs w:val="32"/>
        </w:rPr>
        <w:t>预算</w:t>
      </w:r>
      <w:r>
        <w:rPr>
          <w:rFonts w:hint="eastAsia" w:ascii="仿宋_GB2312" w:hAnsi="仿宋_GB2312" w:eastAsia="仿宋_GB2312" w:cs="仿宋_GB2312"/>
          <w:color w:val="auto"/>
          <w:sz w:val="32"/>
          <w:szCs w:val="32"/>
        </w:rPr>
        <w:t>支出结构方面： 2025年本部门一般公共预算拨款支出为2759.23万元，其中：一般公共服务支出2486.33万元，占90.11%；社会保障和就业支出232.87万元，占8.44%；卫生健康支出40.03万元，占1.45%。具体安排情况如下：（一）基本支出：2025年年初预算数为1209.14万元，是指为保障单位机构正常运转、完成日常工作任务而发生的各项支出，包括用于绩效工资100.86万元、奖金211.38万元，住房公积金83.89万元、基本工资305.92万元、津贴补贴80.91万元、机关事务单位基本养老保险缴费100.97万元、职工基本医疗保险缴费40.03万元、其他交通费用44.15万元、福利费27.3万元、工会经费26.31万元、其他商品和服务支出34.94万元、办公费12万元等。（二）项目支出：2025年年初预算数为1607.09万元，是指单位为完成特定行政工作任务或事业发展目标而发生的支出，包括有关事业发展专项、专项业务费、基本建设支出等。其中：两院后勤保障服务支出50万元，主要用于保障市委机关、市政府机关（市民服务中心）的后勤保障和服务工作经费；怀化市海关人员周转房费用支出18.75万元，主要用于保障怀化市海关人员周转房房租、物业等方面；市人大办公区域物业管理费支出71.89万元，主要用于保障怀化市人大办公区域物业管理费用；怀化军分区营院物业管理经费支出104.33万元，主要用于保障怀化军分区营院物业管理经费；市政协机关大院物业管理费支出62万元，主要用于保障怀化市政协机关大院物业管理经费；市委二办中央空调合同能源托管服务项目经费支出30万元，主要用于保障市委大院二办中央空调合同能源托管服务项目经费；两院物业管理费支出979.12万元，主要用于保障市委机关大院和市民服务中心物业管理服务经费；两院水电缺口支出979.12万元，主要用于保障市委机关大院和市民服务中心办公区域公用水电经费；办公用房权属统一登记工作经费支出15万元，主要用于保障推进全市办公用房权属统一登记工作经；虚拟公务仓运行维护及服务工作经费支出5万元，主要用于保障市级虚拟公务仓的运行维护及服务工作；日常运转经费支出67万元，为我单位2025年非税收入执收成本额度，用于弥补我单位日常工作经费不足。</w:t>
      </w:r>
    </w:p>
    <w:p w14:paraId="68594DC6">
      <w:pPr>
        <w:pStyle w:val="12"/>
        <w:overflowPunct w:val="0"/>
        <w:autoSpaceDE/>
        <w:autoSpaceDN/>
        <w:spacing w:line="600" w:lineRule="exact"/>
        <w:ind w:firstLine="640" w:firstLineChars="200"/>
        <w:jc w:val="both"/>
        <w:rPr>
          <w:rFonts w:hint="default"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三是资金管理</w:t>
      </w:r>
      <w:r>
        <w:rPr>
          <w:rFonts w:hint="default" w:ascii="仿宋_GB2312" w:hAnsi="仿宋_GB2312" w:eastAsia="仿宋_GB2312" w:cs="仿宋_GB2312"/>
          <w:color w:val="auto"/>
          <w:sz w:val="32"/>
          <w:szCs w:val="32"/>
        </w:rPr>
        <w:t>方面：（一）严格落实内部管理制度。按照单位财务管理制度、内控管理制度、“三重一大”制度，遵循绩效目标，</w:t>
      </w:r>
      <w:r>
        <w:rPr>
          <w:rFonts w:hint="eastAsia" w:ascii="仿宋_GB2312" w:hAnsi="仿宋_GB2312" w:eastAsia="仿宋_GB2312" w:cs="仿宋_GB2312"/>
          <w:color w:val="auto"/>
          <w:sz w:val="32"/>
          <w:szCs w:val="32"/>
          <w:lang w:eastAsia="zh-CN"/>
        </w:rPr>
        <w:t>创立预算单审签，</w:t>
      </w:r>
      <w:r>
        <w:rPr>
          <w:rFonts w:hint="default" w:ascii="仿宋_GB2312" w:hAnsi="仿宋_GB2312" w:eastAsia="仿宋_GB2312" w:cs="仿宋_GB2312"/>
          <w:color w:val="auto"/>
          <w:sz w:val="32"/>
          <w:szCs w:val="32"/>
        </w:rPr>
        <w:t>使资金支出精准、精细、精确。（二）严格落实不相容岗位分离要求。</w:t>
      </w:r>
      <w:r>
        <w:rPr>
          <w:rFonts w:hint="eastAsia" w:ascii="仿宋_GB2312" w:hAnsi="仿宋_GB2312" w:eastAsia="仿宋_GB2312" w:cs="仿宋_GB2312"/>
          <w:color w:val="auto"/>
          <w:sz w:val="32"/>
          <w:szCs w:val="32"/>
          <w:lang w:eastAsia="zh-CN"/>
        </w:rPr>
        <w:t>行政事业单位报账审批单报账人、部门审核、财务审核、纪检监察审核、分管领导审批、财务分管领导审批多人签字复核，</w:t>
      </w:r>
      <w:r>
        <w:rPr>
          <w:rFonts w:hint="default" w:ascii="仿宋_GB2312" w:hAnsi="仿宋_GB2312" w:eastAsia="仿宋_GB2312" w:cs="仿宋_GB2312"/>
          <w:color w:val="auto"/>
          <w:sz w:val="32"/>
          <w:szCs w:val="32"/>
        </w:rPr>
        <w:t>出纳、会计分设</w:t>
      </w:r>
      <w:r>
        <w:rPr>
          <w:rFonts w:hint="eastAsia" w:ascii="仿宋_GB2312" w:hAnsi="仿宋_GB2312" w:eastAsia="仿宋_GB2312" w:cs="仿宋_GB2312"/>
          <w:color w:val="auto"/>
          <w:sz w:val="32"/>
          <w:szCs w:val="32"/>
          <w:lang w:eastAsia="zh-CN"/>
        </w:rPr>
        <w:t>两</w:t>
      </w:r>
      <w:r>
        <w:rPr>
          <w:rFonts w:hint="default" w:ascii="仿宋_GB2312" w:hAnsi="仿宋_GB2312" w:eastAsia="仿宋_GB2312" w:cs="仿宋_GB2312"/>
          <w:color w:val="auto"/>
          <w:sz w:val="32"/>
          <w:szCs w:val="32"/>
        </w:rPr>
        <w:t>人，多重审核降低资金管理风险。（三）严格落实政府采购要求。按照《中华人民共和国政府采购法》《怀化市政府投资项目管理办法》要求，严格按照资金的支付制度，按照项目实施阶段向财政申请资金，坚持专款专用的原则，落实政府采购的各项规定。（四）抓实预算绩效管理，健全全周期绩效闭环管理，配合做好审计、财政专项检查，防范财务风险。</w:t>
      </w:r>
    </w:p>
    <w:p w14:paraId="4A96F8A6">
      <w:pPr>
        <w:pStyle w:val="12"/>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default" w:ascii="Times New Roman" w:hAnsi="Times New Roman" w:cs="Times New Roman"/>
          <w:sz w:val="72"/>
          <w:szCs w:val="72"/>
        </w:rPr>
      </w:pPr>
      <w:r>
        <w:rPr>
          <w:rFonts w:hint="default" w:ascii="仿宋_GB2312" w:hAnsi="仿宋_GB2312" w:eastAsia="仿宋_GB2312" w:cs="仿宋_GB2312"/>
          <w:color w:val="auto"/>
          <w:sz w:val="32"/>
          <w:szCs w:val="32"/>
        </w:rPr>
        <w:t>四是制度建设方面：（一）</w:t>
      </w:r>
      <w:r>
        <w:rPr>
          <w:rFonts w:hint="eastAsia" w:ascii="仿宋_GB2312" w:hAnsi="仿宋_GB2312" w:eastAsia="仿宋_GB2312" w:cs="仿宋_GB2312"/>
          <w:color w:val="auto"/>
          <w:sz w:val="32"/>
          <w:szCs w:val="32"/>
          <w:lang w:eastAsia="zh-CN"/>
        </w:rPr>
        <w:t>落实</w:t>
      </w:r>
      <w:r>
        <w:rPr>
          <w:rFonts w:hint="default" w:ascii="仿宋_GB2312" w:hAnsi="仿宋_GB2312" w:eastAsia="仿宋_GB2312" w:cs="仿宋_GB2312"/>
          <w:color w:val="auto"/>
          <w:sz w:val="32"/>
          <w:szCs w:val="32"/>
        </w:rPr>
        <w:t>相关制度。严格按照《财务管理办法（试行）》《“三重一大”决策制度》《机关事务管理局政府采购管理制度》等相关制度</w:t>
      </w:r>
      <w:r>
        <w:rPr>
          <w:rFonts w:hint="eastAsia" w:ascii="仿宋_GB2312" w:hAnsi="仿宋_GB2312" w:eastAsia="仿宋_GB2312" w:cs="仿宋_GB2312"/>
          <w:color w:val="auto"/>
          <w:sz w:val="32"/>
          <w:szCs w:val="32"/>
          <w:lang w:eastAsia="zh-CN"/>
        </w:rPr>
        <w:t>执行业务</w:t>
      </w:r>
      <w:r>
        <w:rPr>
          <w:rFonts w:hint="default" w:ascii="仿宋_GB2312" w:hAnsi="仿宋_GB2312" w:eastAsia="仿宋_GB2312" w:cs="仿宋_GB2312"/>
          <w:color w:val="auto"/>
          <w:sz w:val="32"/>
          <w:szCs w:val="32"/>
        </w:rPr>
        <w:t>。（二）持续加强财务科室能力建设，常态化业务研学，夯实队伍基础，提升规范化、精细化财务管理水平。</w:t>
      </w:r>
      <w:r>
        <w:rPr>
          <w:rFonts w:hint="eastAsia" w:ascii="仿宋_GB2312" w:hAnsi="仿宋_GB2312" w:eastAsia="仿宋_GB2312" w:cs="仿宋_GB2312"/>
          <w:color w:val="auto"/>
          <w:sz w:val="32"/>
          <w:szCs w:val="32"/>
          <w:lang w:eastAsia="zh-CN"/>
        </w:rPr>
        <w:t>（三）持续推进业财融合，强化其他科室干部职工财务风险意识。组织财务报账程序及财务制度讲解培训，提升各科室财务素养。</w:t>
      </w:r>
    </w:p>
    <w:p w14:paraId="156F56D7">
      <w:pPr>
        <w:pStyle w:val="12"/>
        <w:tabs>
          <w:tab w:val="left" w:pos="5438"/>
        </w:tabs>
        <w:jc w:val="both"/>
        <w:rPr>
          <w:rFonts w:hint="eastAsia" w:ascii="Times New Roman" w:hAnsi="Times New Roman" w:cs="Times New Roman"/>
          <w:sz w:val="72"/>
          <w:szCs w:val="72"/>
          <w:lang w:eastAsia="zh-CN"/>
        </w:rPr>
      </w:pPr>
      <w:r>
        <w:rPr>
          <w:rFonts w:hint="eastAsia" w:ascii="Times New Roman" w:hAnsi="Times New Roman" w:cs="Times New Roman"/>
          <w:sz w:val="72"/>
          <w:szCs w:val="72"/>
          <w:lang w:eastAsia="zh-CN"/>
        </w:rPr>
        <w:tab/>
      </w:r>
    </w:p>
    <w:p w14:paraId="5DD400CD">
      <w:pPr>
        <w:pStyle w:val="12"/>
        <w:tabs>
          <w:tab w:val="left" w:pos="5438"/>
        </w:tabs>
        <w:jc w:val="both"/>
        <w:rPr>
          <w:rFonts w:hint="eastAsia" w:ascii="Times New Roman" w:hAnsi="Times New Roman" w:cs="Times New Roman"/>
          <w:sz w:val="72"/>
          <w:szCs w:val="72"/>
          <w:lang w:eastAsia="zh-CN"/>
        </w:rPr>
      </w:pPr>
    </w:p>
    <w:p w14:paraId="1C0DC28C">
      <w:pPr>
        <w:pStyle w:val="12"/>
        <w:spacing w:line="360" w:lineRule="auto"/>
        <w:jc w:val="both"/>
        <w:rPr>
          <w:rFonts w:ascii="Times New Roman" w:hAnsi="Times New Roman" w:eastAsia="方正小标宋_GBK" w:cs="Times New Roman"/>
          <w:sz w:val="52"/>
          <w:szCs w:val="52"/>
        </w:rPr>
      </w:pPr>
    </w:p>
    <w:p w14:paraId="4FB37394">
      <w:pPr>
        <w:pStyle w:val="12"/>
        <w:spacing w:line="360" w:lineRule="auto"/>
        <w:jc w:val="both"/>
        <w:rPr>
          <w:rFonts w:ascii="Times New Roman" w:hAnsi="Times New Roman" w:eastAsia="方正小标宋_GBK" w:cs="Times New Roman"/>
          <w:sz w:val="52"/>
          <w:szCs w:val="52"/>
        </w:rPr>
      </w:pPr>
    </w:p>
    <w:p w14:paraId="2CD5B4B4">
      <w:pPr>
        <w:pStyle w:val="12"/>
        <w:spacing w:line="360" w:lineRule="auto"/>
        <w:jc w:val="both"/>
        <w:rPr>
          <w:rFonts w:ascii="Times New Roman" w:hAnsi="Times New Roman" w:eastAsia="方正小标宋_GBK" w:cs="Times New Roman"/>
          <w:sz w:val="52"/>
          <w:szCs w:val="52"/>
        </w:rPr>
      </w:pPr>
    </w:p>
    <w:p w14:paraId="0268FE82">
      <w:pPr>
        <w:pStyle w:val="12"/>
        <w:spacing w:line="360" w:lineRule="auto"/>
        <w:jc w:val="both"/>
        <w:rPr>
          <w:rFonts w:ascii="Times New Roman" w:hAnsi="Times New Roman" w:eastAsia="方正小标宋_GBK" w:cs="Times New Roman"/>
          <w:sz w:val="52"/>
          <w:szCs w:val="52"/>
        </w:rPr>
      </w:pPr>
    </w:p>
    <w:p w14:paraId="42BDD75E">
      <w:pPr>
        <w:pStyle w:val="12"/>
        <w:spacing w:line="360" w:lineRule="auto"/>
        <w:jc w:val="both"/>
        <w:rPr>
          <w:rFonts w:ascii="Times New Roman" w:hAnsi="Times New Roman" w:eastAsia="方正小标宋_GBK" w:cs="Times New Roman"/>
          <w:sz w:val="52"/>
          <w:szCs w:val="52"/>
        </w:rPr>
      </w:pPr>
    </w:p>
    <w:p w14:paraId="77C44CC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8CD85DF">
      <w:pPr>
        <w:widowControl/>
        <w:jc w:val="left"/>
        <w:rPr>
          <w:rFonts w:ascii="Times New Roman" w:hAnsi="Times New Roman" w:cs="Times New Roman"/>
          <w:color w:val="000000"/>
          <w:kern w:val="0"/>
          <w:sz w:val="32"/>
          <w:szCs w:val="32"/>
        </w:rPr>
      </w:pPr>
    </w:p>
    <w:p w14:paraId="49A5CD4C">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3221F4A6">
      <w:pPr>
        <w:widowControl/>
        <w:ind w:firstLine="640" w:firstLineChars="20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454D4F0B">
      <w:pPr>
        <w:widowControl/>
        <w:ind w:firstLine="640" w:firstLineChars="200"/>
        <w:jc w:val="left"/>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lang w:eastAsia="zh-CN"/>
        </w:rPr>
        <w:t>三、“机关服务”科目：反映为行政单位（包括实行公务员管理的事业单位）提供后勤服务的各类后勤服务中心、医务室等附属事业单位的支出。其他事业单位的支出，凡单独设置了项级科目的，在单独设置的项级科目中反映。未单独设置项级科目的，在“其他”项级科目中反映。</w:t>
      </w:r>
    </w:p>
    <w:p w14:paraId="7374A6C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7A936EE">
      <w:pPr>
        <w:rPr>
          <w:rFonts w:ascii="Times New Roman" w:hAnsi="Times New Roman" w:cs="Times New Roman"/>
          <w:sz w:val="72"/>
          <w:szCs w:val="72"/>
        </w:rPr>
      </w:pPr>
    </w:p>
    <w:p w14:paraId="2895C450">
      <w:pPr>
        <w:pStyle w:val="12"/>
        <w:spacing w:line="600" w:lineRule="exact"/>
        <w:ind w:firstLine="640" w:firstLineChars="200"/>
        <w:rPr>
          <w:rFonts w:hint="eastAsia" w:ascii="仿宋_GB2312" w:hAnsi="仿宋_GB2312" w:eastAsia="仿宋_GB2312" w:cs="仿宋_GB2312"/>
          <w:sz w:val="32"/>
          <w:szCs w:val="32"/>
        </w:rPr>
      </w:pPr>
      <w:r>
        <w:rPr>
          <w:rFonts w:ascii="Times New Roman" w:hAnsi="Times New Roman" w:eastAsia="仿宋_GB2312" w:cs="Times New Roman"/>
          <w:b/>
          <w:bCs/>
          <w:sz w:val="32"/>
          <w:szCs w:val="32"/>
        </w:rPr>
        <w:t>一、</w:t>
      </w:r>
      <w:r>
        <w:rPr>
          <w:rFonts w:hint="eastAsia" w:ascii="仿宋_GB2312" w:hAnsi="仿宋_GB2312" w:eastAsia="仿宋_GB2312" w:cs="仿宋_GB2312"/>
          <w:sz w:val="32"/>
          <w:szCs w:val="32"/>
        </w:rPr>
        <w:t>2025年度怀化市机关事务管理局整体支出绩效自评报告</w:t>
      </w:r>
    </w:p>
    <w:p w14:paraId="026DCD2F">
      <w:pPr>
        <w:pStyle w:val="12"/>
        <w:spacing w:line="600" w:lineRule="exact"/>
        <w:ind w:firstLine="640" w:firstLineChars="200"/>
        <w:rPr>
          <w:rFonts w:hint="default" w:ascii="Times New Roman" w:hAnsi="Times New Roman" w:eastAsia="仿宋_GB2312" w:cs="Times New Roman"/>
          <w:b/>
          <w:bCs/>
          <w:sz w:val="32"/>
          <w:szCs w:val="32"/>
        </w:rPr>
      </w:pPr>
      <w:r>
        <w:rPr>
          <w:rFonts w:ascii="Times New Roman" w:hAnsi="Times New Roman" w:eastAsia="仿宋_GB2312" w:cs="Times New Roman"/>
          <w:b/>
          <w:bCs/>
          <w:sz w:val="32"/>
          <w:szCs w:val="32"/>
        </w:rPr>
        <w:t>二、</w:t>
      </w:r>
      <w:r>
        <w:rPr>
          <w:rFonts w:hint="eastAsia" w:ascii="仿宋_GB2312" w:hAnsi="仿宋_GB2312" w:eastAsia="仿宋_GB2312" w:cs="仿宋_GB2312"/>
          <w:sz w:val="32"/>
          <w:szCs w:val="32"/>
        </w:rPr>
        <w:t>怀化市机关事务管理局2025年度项目支出绩效自评报告</w:t>
      </w:r>
    </w:p>
    <w:p w14:paraId="178569EA">
      <w:pPr>
        <w:pStyle w:val="12"/>
        <w:jc w:val="center"/>
        <w:rPr>
          <w:rFonts w:ascii="Times New Roman" w:hAnsi="Times New Roman" w:cs="Times New Roman"/>
          <w:sz w:val="72"/>
          <w:szCs w:val="72"/>
        </w:rPr>
      </w:pPr>
    </w:p>
    <w:p w14:paraId="38E083EA">
      <w:pPr>
        <w:pStyle w:val="12"/>
        <w:jc w:val="center"/>
        <w:rPr>
          <w:rFonts w:ascii="Times New Roman" w:hAnsi="Times New Roman" w:cs="Times New Roman"/>
          <w:sz w:val="72"/>
          <w:szCs w:val="72"/>
        </w:rPr>
      </w:pPr>
    </w:p>
    <w:p w14:paraId="3353C515">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0DBF1">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E5745">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9DECD">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F49DECD">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40EC05"/>
    <w:multiLevelType w:val="singleLevel"/>
    <w:tmpl w:val="F940EC05"/>
    <w:lvl w:ilvl="0" w:tentative="0">
      <w:start w:val="9"/>
      <w:numFmt w:val="chineseCounting"/>
      <w:suff w:val="nothing"/>
      <w:lvlText w:val="%1、"/>
      <w:lvlJc w:val="left"/>
      <w:rPr>
        <w:rFonts w:hint="eastAsia"/>
      </w:rPr>
    </w:lvl>
  </w:abstractNum>
  <w:abstractNum w:abstractNumId="1">
    <w:nsid w:val="FD7F4F21"/>
    <w:multiLevelType w:val="singleLevel"/>
    <w:tmpl w:val="FD7F4F21"/>
    <w:lvl w:ilvl="0" w:tentative="0">
      <w:start w:val="3"/>
      <w:numFmt w:val="chineseCounting"/>
      <w:suff w:val="nothing"/>
      <w:lvlText w:val="（%1）"/>
      <w:lvlJc w:val="left"/>
      <w:rPr>
        <w:rFonts w:hint="eastAsia"/>
      </w:rPr>
    </w:lvl>
  </w:abstractNum>
  <w:abstractNum w:abstractNumId="2">
    <w:nsid w:val="5EBE3A55"/>
    <w:multiLevelType w:val="singleLevel"/>
    <w:tmpl w:val="5EBE3A55"/>
    <w:lvl w:ilvl="0" w:tentative="0">
      <w:start w:val="3"/>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yNTJhMmJhNGYxZTQyNTUwMzdkOWFjNjJlNGM1MTE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0C6BFE"/>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714809"/>
    <w:rsid w:val="025D337E"/>
    <w:rsid w:val="039D5E0B"/>
    <w:rsid w:val="046A3680"/>
    <w:rsid w:val="04D94B9F"/>
    <w:rsid w:val="050C0C34"/>
    <w:rsid w:val="057C6168"/>
    <w:rsid w:val="06BF18E0"/>
    <w:rsid w:val="08535F60"/>
    <w:rsid w:val="0E083E00"/>
    <w:rsid w:val="0F00541F"/>
    <w:rsid w:val="0FFFECBD"/>
    <w:rsid w:val="128F2AA8"/>
    <w:rsid w:val="1299771C"/>
    <w:rsid w:val="13E250F3"/>
    <w:rsid w:val="14EE5185"/>
    <w:rsid w:val="15260B1B"/>
    <w:rsid w:val="15963E4E"/>
    <w:rsid w:val="159B44D6"/>
    <w:rsid w:val="17CE7E98"/>
    <w:rsid w:val="185F57DC"/>
    <w:rsid w:val="1B5EBE6C"/>
    <w:rsid w:val="1C1B763B"/>
    <w:rsid w:val="1D75555F"/>
    <w:rsid w:val="1D97DEFF"/>
    <w:rsid w:val="1DBC4C5F"/>
    <w:rsid w:val="1DBF64DB"/>
    <w:rsid w:val="1DFF72E5"/>
    <w:rsid w:val="1EFC6F07"/>
    <w:rsid w:val="1F15637C"/>
    <w:rsid w:val="1FA23B2A"/>
    <w:rsid w:val="1FDF6BB1"/>
    <w:rsid w:val="1FDF8801"/>
    <w:rsid w:val="212278A6"/>
    <w:rsid w:val="24D12D46"/>
    <w:rsid w:val="25DD3F0D"/>
    <w:rsid w:val="25DEE671"/>
    <w:rsid w:val="28BE7E3F"/>
    <w:rsid w:val="2B5E696A"/>
    <w:rsid w:val="2B9E76FA"/>
    <w:rsid w:val="2BEE590B"/>
    <w:rsid w:val="2D616C31"/>
    <w:rsid w:val="2D9808FA"/>
    <w:rsid w:val="2EA8720D"/>
    <w:rsid w:val="2F8135BA"/>
    <w:rsid w:val="2FDF85B8"/>
    <w:rsid w:val="2FEC9996"/>
    <w:rsid w:val="2FEF39C5"/>
    <w:rsid w:val="2FFFEE04"/>
    <w:rsid w:val="303115B0"/>
    <w:rsid w:val="31A804F6"/>
    <w:rsid w:val="331B483D"/>
    <w:rsid w:val="33DE0FDB"/>
    <w:rsid w:val="33F1139C"/>
    <w:rsid w:val="33FF6641"/>
    <w:rsid w:val="34077C8F"/>
    <w:rsid w:val="3419553D"/>
    <w:rsid w:val="348F2B04"/>
    <w:rsid w:val="34DF85B0"/>
    <w:rsid w:val="34FC2236"/>
    <w:rsid w:val="35D3520A"/>
    <w:rsid w:val="36CA3005"/>
    <w:rsid w:val="37070849"/>
    <w:rsid w:val="38B744A9"/>
    <w:rsid w:val="3B7D579A"/>
    <w:rsid w:val="3B8F36BC"/>
    <w:rsid w:val="3BBAF4AA"/>
    <w:rsid w:val="3D1E3F2F"/>
    <w:rsid w:val="3DF63C7F"/>
    <w:rsid w:val="3DFF8953"/>
    <w:rsid w:val="3E6F310E"/>
    <w:rsid w:val="3F6C1B91"/>
    <w:rsid w:val="3FBD7C86"/>
    <w:rsid w:val="3FDFFDF9"/>
    <w:rsid w:val="3FF7072A"/>
    <w:rsid w:val="3FFFEF3F"/>
    <w:rsid w:val="409E2B5E"/>
    <w:rsid w:val="42B30389"/>
    <w:rsid w:val="433E55F2"/>
    <w:rsid w:val="43D321DE"/>
    <w:rsid w:val="45A10CC8"/>
    <w:rsid w:val="45A77B6B"/>
    <w:rsid w:val="45EA09CA"/>
    <w:rsid w:val="464944F5"/>
    <w:rsid w:val="47F59EDD"/>
    <w:rsid w:val="491FF225"/>
    <w:rsid w:val="49EC6702"/>
    <w:rsid w:val="4B02325D"/>
    <w:rsid w:val="4B1D5437"/>
    <w:rsid w:val="4B7F1AF3"/>
    <w:rsid w:val="4C713008"/>
    <w:rsid w:val="4DE783F4"/>
    <w:rsid w:val="4DFF1F34"/>
    <w:rsid w:val="4E1D4E9A"/>
    <w:rsid w:val="4FDCEF65"/>
    <w:rsid w:val="4FEFACF8"/>
    <w:rsid w:val="4FFD214C"/>
    <w:rsid w:val="503944C1"/>
    <w:rsid w:val="514F30C0"/>
    <w:rsid w:val="527B6EE7"/>
    <w:rsid w:val="52C2768F"/>
    <w:rsid w:val="53FF814B"/>
    <w:rsid w:val="54FBBE4A"/>
    <w:rsid w:val="56BC6B02"/>
    <w:rsid w:val="5777D4F5"/>
    <w:rsid w:val="583C4B47"/>
    <w:rsid w:val="597E7408"/>
    <w:rsid w:val="59DD8326"/>
    <w:rsid w:val="5BF27270"/>
    <w:rsid w:val="5D525218"/>
    <w:rsid w:val="5D9F3344"/>
    <w:rsid w:val="5DBA58F8"/>
    <w:rsid w:val="5DEF592A"/>
    <w:rsid w:val="5DFEFC45"/>
    <w:rsid w:val="5EB004D6"/>
    <w:rsid w:val="5F4A5375"/>
    <w:rsid w:val="5F6F3A26"/>
    <w:rsid w:val="5FC6BB1E"/>
    <w:rsid w:val="5FD903C7"/>
    <w:rsid w:val="5FF720F1"/>
    <w:rsid w:val="5FF7EDB4"/>
    <w:rsid w:val="5FFF2C1A"/>
    <w:rsid w:val="60172FFB"/>
    <w:rsid w:val="60EFEB52"/>
    <w:rsid w:val="660C769A"/>
    <w:rsid w:val="66EC4F5A"/>
    <w:rsid w:val="66FBA4B4"/>
    <w:rsid w:val="67B65547"/>
    <w:rsid w:val="67FF5C0B"/>
    <w:rsid w:val="6A77DEA1"/>
    <w:rsid w:val="6B9B47FF"/>
    <w:rsid w:val="6CD01102"/>
    <w:rsid w:val="6DB9584E"/>
    <w:rsid w:val="6DBF53EE"/>
    <w:rsid w:val="6EBB1F23"/>
    <w:rsid w:val="6EFC0924"/>
    <w:rsid w:val="6F2EFCF7"/>
    <w:rsid w:val="6F63A357"/>
    <w:rsid w:val="6F73FD2D"/>
    <w:rsid w:val="6F7D6898"/>
    <w:rsid w:val="6FB74722"/>
    <w:rsid w:val="6FEF8B7E"/>
    <w:rsid w:val="6FF739C5"/>
    <w:rsid w:val="704D523F"/>
    <w:rsid w:val="71A6591B"/>
    <w:rsid w:val="71AC5C16"/>
    <w:rsid w:val="72BEBDE2"/>
    <w:rsid w:val="736F419D"/>
    <w:rsid w:val="737D59BA"/>
    <w:rsid w:val="7397C77E"/>
    <w:rsid w:val="73BF2233"/>
    <w:rsid w:val="75A73980"/>
    <w:rsid w:val="75DF59E3"/>
    <w:rsid w:val="76397D18"/>
    <w:rsid w:val="76FEB5EC"/>
    <w:rsid w:val="77383B2B"/>
    <w:rsid w:val="777F4418"/>
    <w:rsid w:val="77C37683"/>
    <w:rsid w:val="77DD7649"/>
    <w:rsid w:val="77F3FEA8"/>
    <w:rsid w:val="783A1BB6"/>
    <w:rsid w:val="78DB817B"/>
    <w:rsid w:val="78FE2888"/>
    <w:rsid w:val="79190A7B"/>
    <w:rsid w:val="797BF5C1"/>
    <w:rsid w:val="79D19834"/>
    <w:rsid w:val="79FF515B"/>
    <w:rsid w:val="7B1FBC5F"/>
    <w:rsid w:val="7BEE2859"/>
    <w:rsid w:val="7BF549BF"/>
    <w:rsid w:val="7BFF6C75"/>
    <w:rsid w:val="7D9F3ED8"/>
    <w:rsid w:val="7DBEED8C"/>
    <w:rsid w:val="7DFB9510"/>
    <w:rsid w:val="7E38B9CE"/>
    <w:rsid w:val="7E82093E"/>
    <w:rsid w:val="7E9E1962"/>
    <w:rsid w:val="7E9F11B4"/>
    <w:rsid w:val="7ECBCAC0"/>
    <w:rsid w:val="7EF76958"/>
    <w:rsid w:val="7F37EC1E"/>
    <w:rsid w:val="7F3FC253"/>
    <w:rsid w:val="7F4066FA"/>
    <w:rsid w:val="7F6EF2D9"/>
    <w:rsid w:val="7F7DCD9D"/>
    <w:rsid w:val="7F970A6F"/>
    <w:rsid w:val="7F970FE4"/>
    <w:rsid w:val="7FB87062"/>
    <w:rsid w:val="7FBA2CCD"/>
    <w:rsid w:val="7FBCFFFF"/>
    <w:rsid w:val="7FC1FFF3"/>
    <w:rsid w:val="7FC42BB2"/>
    <w:rsid w:val="7FC69637"/>
    <w:rsid w:val="7FC774F9"/>
    <w:rsid w:val="7FDF2437"/>
    <w:rsid w:val="7FDF8620"/>
    <w:rsid w:val="7FE8C8F7"/>
    <w:rsid w:val="7FEFA711"/>
    <w:rsid w:val="7FF6419A"/>
    <w:rsid w:val="7FFB242F"/>
    <w:rsid w:val="7FFDB408"/>
    <w:rsid w:val="7FFE4EEB"/>
    <w:rsid w:val="87DFB1DB"/>
    <w:rsid w:val="8B3EFCC3"/>
    <w:rsid w:val="8E9E2B6A"/>
    <w:rsid w:val="8FBF6F32"/>
    <w:rsid w:val="95FB2B98"/>
    <w:rsid w:val="9A639BC2"/>
    <w:rsid w:val="9B7B6A6B"/>
    <w:rsid w:val="9B97AF9A"/>
    <w:rsid w:val="9BDF25B6"/>
    <w:rsid w:val="9BFA491D"/>
    <w:rsid w:val="9DAFBF0E"/>
    <w:rsid w:val="9FEB99C8"/>
    <w:rsid w:val="9FF7D786"/>
    <w:rsid w:val="A7599A4B"/>
    <w:rsid w:val="ABBFB23D"/>
    <w:rsid w:val="ADBD3B9E"/>
    <w:rsid w:val="AEBFC26A"/>
    <w:rsid w:val="B37FE1D8"/>
    <w:rsid w:val="B6AFFE39"/>
    <w:rsid w:val="B7FFB517"/>
    <w:rsid w:val="B9F3115B"/>
    <w:rsid w:val="BB3FC50F"/>
    <w:rsid w:val="BB7B3E76"/>
    <w:rsid w:val="BBFFE042"/>
    <w:rsid w:val="BD5C70DC"/>
    <w:rsid w:val="BEB6B7AC"/>
    <w:rsid w:val="BEB7A247"/>
    <w:rsid w:val="BF8E60D4"/>
    <w:rsid w:val="BFAF3EF2"/>
    <w:rsid w:val="BFE7EB18"/>
    <w:rsid w:val="BFEF9812"/>
    <w:rsid w:val="BFF28561"/>
    <w:rsid w:val="C3B4DA5A"/>
    <w:rsid w:val="C6FB19C7"/>
    <w:rsid w:val="CBFF70E0"/>
    <w:rsid w:val="CC77AC6A"/>
    <w:rsid w:val="CDFF1EE8"/>
    <w:rsid w:val="CFF50B82"/>
    <w:rsid w:val="CFFFAD89"/>
    <w:rsid w:val="D7EE2FA4"/>
    <w:rsid w:val="D9FF59FA"/>
    <w:rsid w:val="DA70B52A"/>
    <w:rsid w:val="DBDB0DAD"/>
    <w:rsid w:val="DDEF6006"/>
    <w:rsid w:val="DDFFB412"/>
    <w:rsid w:val="DEB602D1"/>
    <w:rsid w:val="DEFEB393"/>
    <w:rsid w:val="DF7F5A4C"/>
    <w:rsid w:val="DFFE359E"/>
    <w:rsid w:val="DFFE4FFD"/>
    <w:rsid w:val="E5BEDA2A"/>
    <w:rsid w:val="E79E52BD"/>
    <w:rsid w:val="EAEF82A5"/>
    <w:rsid w:val="EB7F284F"/>
    <w:rsid w:val="ECFBEE9F"/>
    <w:rsid w:val="EEABED75"/>
    <w:rsid w:val="EED3A203"/>
    <w:rsid w:val="EEDCE0DA"/>
    <w:rsid w:val="EEFEDF11"/>
    <w:rsid w:val="EF7469FE"/>
    <w:rsid w:val="EF9B0C14"/>
    <w:rsid w:val="EFAE6E68"/>
    <w:rsid w:val="EFEDE87D"/>
    <w:rsid w:val="EFEF007B"/>
    <w:rsid w:val="F2F78CFE"/>
    <w:rsid w:val="F2FF31D5"/>
    <w:rsid w:val="F4EB8847"/>
    <w:rsid w:val="F56FDF51"/>
    <w:rsid w:val="F5F755A0"/>
    <w:rsid w:val="F6733C03"/>
    <w:rsid w:val="F6B69F17"/>
    <w:rsid w:val="F6B7BAC3"/>
    <w:rsid w:val="F77B4852"/>
    <w:rsid w:val="F77F1D61"/>
    <w:rsid w:val="F77FACD8"/>
    <w:rsid w:val="F7F32E76"/>
    <w:rsid w:val="F7FDC9C4"/>
    <w:rsid w:val="F7FE0FB9"/>
    <w:rsid w:val="F7FED3A9"/>
    <w:rsid w:val="F7FF6550"/>
    <w:rsid w:val="F87765D9"/>
    <w:rsid w:val="F8C9DB26"/>
    <w:rsid w:val="F97E8EAE"/>
    <w:rsid w:val="FB36E1A6"/>
    <w:rsid w:val="FB3BE134"/>
    <w:rsid w:val="FB8D0A0C"/>
    <w:rsid w:val="FBBFC4ED"/>
    <w:rsid w:val="FBFEACBA"/>
    <w:rsid w:val="FCF6393C"/>
    <w:rsid w:val="FCFF4275"/>
    <w:rsid w:val="FD7FEEEA"/>
    <w:rsid w:val="FDEE5DA4"/>
    <w:rsid w:val="FDF9E5B1"/>
    <w:rsid w:val="FDFBE108"/>
    <w:rsid w:val="FDFFB577"/>
    <w:rsid w:val="FE7EDE1A"/>
    <w:rsid w:val="FEDE5937"/>
    <w:rsid w:val="FEEA50FE"/>
    <w:rsid w:val="FF6D83A4"/>
    <w:rsid w:val="FF79B0CE"/>
    <w:rsid w:val="FF7D47A9"/>
    <w:rsid w:val="FF7F58C8"/>
    <w:rsid w:val="FF7F63BE"/>
    <w:rsid w:val="FFBB8BFC"/>
    <w:rsid w:val="FFBF57A8"/>
    <w:rsid w:val="FFC67DC5"/>
    <w:rsid w:val="FFC71289"/>
    <w:rsid w:val="FFCF21CB"/>
    <w:rsid w:val="FFD7836C"/>
    <w:rsid w:val="FFDD557A"/>
    <w:rsid w:val="FFDF093B"/>
    <w:rsid w:val="FFEA3F11"/>
    <w:rsid w:val="FFEB108E"/>
    <w:rsid w:val="FFEF0CBB"/>
    <w:rsid w:val="FFFAAE20"/>
    <w:rsid w:val="FFFD3758"/>
    <w:rsid w:val="FFFF1C8B"/>
    <w:rsid w:val="FFFF6325"/>
    <w:rsid w:val="FFFF89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10045</Words>
  <Characters>13531</Characters>
  <Lines>69</Lines>
  <Paragraphs>19</Paragraphs>
  <TotalTime>15</TotalTime>
  <ScaleCrop>false</ScaleCrop>
  <LinksUpToDate>false</LinksUpToDate>
  <CharactersWithSpaces>14662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2025-08-23T02:17:00Z</dcterms:created>
  <dc:creator>李航 null</dc:creator>
  <cp:lastModifiedBy>A梦</cp:lastModifiedBy>
  <cp:lastPrinted>2024-08-13T10:20:00Z</cp:lastPrinted>
  <dcterms:modified xsi:type="dcterms:W3CDTF">2026-10-16T16:31:08Z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