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both"/>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怀化市商务局</w:t>
      </w:r>
      <w:r>
        <w:rPr>
          <w:rFonts w:ascii="Times New Roman" w:hAnsi="Times New Roman" w:eastAsia="方正小标宋简体" w:cs="Times New Roman"/>
          <w:sz w:val="72"/>
          <w:szCs w:val="72"/>
        </w:rPr>
        <w:t>部门决算</w:t>
      </w:r>
    </w:p>
    <w:p>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2"/>
        <w:spacing w:line="600" w:lineRule="exact"/>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怀化市商务局</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6"/>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怀化市商务局</w:t>
      </w:r>
      <w:r>
        <w:rPr>
          <w:rFonts w:ascii="Times New Roman" w:hAnsi="Times New Roman" w:eastAsia="方正小标宋_GBK" w:cs="Times New Roman"/>
          <w:sz w:val="52"/>
          <w:szCs w:val="52"/>
        </w:rPr>
        <w:t>概况</w:t>
      </w:r>
    </w:p>
    <w:p>
      <w:pPr>
        <w:pStyle w:val="7"/>
        <w:ind w:left="0" w:leftChars="0" w:firstLine="0" w:firstLineChars="0"/>
        <w:rPr>
          <w:rFonts w:ascii="Times New Roman" w:hAnsi="Times New Roman" w:cs="Times New Roman"/>
        </w:rPr>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ascii="Times New Roman" w:hAnsi="Times New Roman" w:eastAsia="仿宋_GB2312" w:cs="Times New Roman"/>
          <w:sz w:val="32"/>
          <w:szCs w:val="32"/>
        </w:rPr>
      </w:pPr>
      <w:r>
        <w:rPr>
          <w:rFonts w:hint="eastAsia" w:ascii="Times New Roman" w:hAnsi="Times New Roman" w:eastAsia="仿宋_GB2312" w:cs="Times New Roman"/>
          <w:bCs/>
          <w:kern w:val="0"/>
          <w:sz w:val="32"/>
          <w:szCs w:val="32"/>
        </w:rPr>
        <w:t>本部门主管全市商贸物流、招商引资等工作，为市人民政府工作部门。加挂怀化市人民政府口岸办公室牌子。</w:t>
      </w: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一)贯彻执行国家国内外贸易、国际经济合作和区域经济合作的发展战略、政策，起草我市国内外贸易、招商引资、承接产业转移、对外援助、对外投资和对外经济合作的地方性法规及规章草案、政策措施和实施办法，研究经济全球化、区域经济合作、现代流通方式的发展趋势和流通体制改革并提出建议。</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二)负责推进流通产业结构调整，指导流通企业改革，促进商贸服务业和社区商业发展，提出促进中小商贸企业发展的政策建议，推动流通标准化和连锁经营、商业特许经营、物流配送、电子商务等现代流通方式的发展。</w:t>
      </w: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三)拟订全市国内贸易发展规划，促进城乡市场发展，研究提出引导国内外资金投向市场体系建设的政策建议，指导大宗产品批发市场规划和城市商业网点规划、商业体系建设工作，推进农村市场体系建设，组织实施农村现代流通网络工程。</w:t>
      </w: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Times New Roman" w:hAnsi="Times New Roman" w:eastAsia="仿宋_GB2312" w:cs="Times New Roman"/>
          <w:bCs/>
          <w:kern w:val="0"/>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(四)承担牵头协调整顿和规范市场经济秩序工作的责任，拟订规范市场秩序的政策；推动商务领域信用建设，指导商业信用销售，建立市场诚信公共服务平台；按有关规定对特殊流通行业进行监督管理。</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五)承担组织实施重要消费品市场调控和重要生产资料（成品油）流通管理的责任，监测分析重要消费品的市场运行、商品供求状况，调查分析重要消费品价格信息，进行预测预警和信息引导；按分工负责重要消费品（肉类、边销茶、小包装食品等）储备管理和市场调控工作；按有关规定对成品油流通进行监督管理。</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六)贯彻执行国家进出口商品、加工贸易管理办法和进出口管理商品、技术目录，拟订促进外贸增长方式转变的政策措施，组织实施重要工业品、原材料和重要农产品进出口总量计划，会同有关部门协调大宗商品的进出口，指导贸易促进活动和外贸促进体系建设。</w:t>
      </w: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(七)贯彻执行国家对外技术贸易、出口管制以及鼓励技术和成套设备进出口的贸易政策，推进进出口贸易标准化工作；依法监督技术引进、设备进口、国家限制出口技术的工作。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(八)牵头拟订服务贸易发展规划并开展相关工作；会同有关部门制定促进服务出口、服务外包的规划、政策并组织实施，推动服务外包平台建设。</w:t>
      </w: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Times New Roman" w:hAnsi="Times New Roman" w:eastAsia="仿宋_GB2312" w:cs="Times New Roman"/>
          <w:bCs/>
          <w:kern w:val="0"/>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九)贯彻执行我国多双边(含区域、自由贸易区)经贸合作战略和政策，推进我市与其他国家(地区)的经贸往来与投资贸易合作；牵头承担全市商务领域涉及世界贸易组织事务的相关工作，负责对外经济贸易协调工作。 </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(十)负责组织协调反倾销、反补贴、保障措施及其他与进出口公平贸易相关的工作，协助开展对外贸易调查和产业损害调查，指导协调产业安全应对工作。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(十一)指导和管理全市招商引资、投资促进和承接产业转移工作，拟订并组织实施招商引资和承接产业转移政策；依权限办理全市外商投资企业的审批和备案；指导国家级、省级经济技术开发区的有关工作。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十二)拟订并组织实施对外经济合作政策；依法管理和监督对外承包工程、对外劳务合作等；拟订市内人员出境就业管理政策并组织实施，负责牵头外派劳务和境外就业人员的权益保护工作；拟订境外投资的管理办法和具体政策，指导市内企业对外投资开办企业(金融企业除外)按程序报批。</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(十三)贯彻执行国家对外援助政策和方案，协调管理全市承担的对外援助项目；协调管理多双边对我市的无偿援助和赠款(不含财政合作项下外国政府及国际金融组织的赠款)等发展合作业务。</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(十四)贯彻执行国家对香港、澳门特别行政区和台湾地区的经贸规划、政策，指导我市对港、澳、台地区贸易和经贸合作活动，协调港、澳、台商投资管理工作。 </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(十五)承担会展业促进与管理有关工作。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(十六)负责全市对外开放口岸的规划、申报及有关审批工作；协调管理全市口岸工作，推动建立大通关机制。 </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(十八)负责商贸行业安全生产监督管理工作。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(十九)完成市委、市政府交办的其他任务。</w:t>
      </w:r>
    </w:p>
    <w:p>
      <w:pPr>
        <w:jc w:val="center"/>
        <w:rPr>
          <w:rFonts w:hint="eastAsia" w:ascii="Times New Roman" w:hAnsi="Times New Roman" w:eastAsia="仿宋_GB2312" w:cs="Times New Roman"/>
          <w:bCs/>
          <w:kern w:val="0"/>
          <w:sz w:val="32"/>
          <w:szCs w:val="32"/>
        </w:rPr>
      </w:pPr>
    </w:p>
    <w:p>
      <w:pPr>
        <w:widowControl/>
        <w:spacing w:line="600" w:lineRule="exact"/>
        <w:rPr>
          <w:rFonts w:hint="eastAsia" w:ascii="Times New Roman" w:hAnsi="Times New Roman" w:eastAsia="仿宋_GB2312" w:cs="Times New Roman"/>
          <w:bCs/>
          <w:kern w:val="0"/>
          <w:sz w:val="32"/>
          <w:szCs w:val="32"/>
        </w:rPr>
      </w:pPr>
      <w:r>
        <w:rPr>
          <w:rFonts w:ascii="Times New Roman" w:hAnsi="Times New Roman" w:eastAsia="黑体" w:cs="Times New Roman"/>
          <w:bCs/>
          <w:kern w:val="0"/>
          <w:sz w:val="32"/>
          <w:szCs w:val="32"/>
        </w:rPr>
        <w:t>二、机构设置及决算单位构成</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一）内设机构设置。怀化市商务局为一级部门预算单位，内设机构包括：办公室、财务审计科、政策法规和市场秩序科、市场运行和消费促进科、市场体系建设科、服务贸易和商贸服务业科、流通产业发展科、口岸科、电子商务科、对外贸易科、投资管理和对外经济合作科、人事科。下设两个二级单位（均为非独立核算、非独立部门预算单位）：怀化市投资促进事务中心、怀化市商务服务中心。</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（二）部门决算单位构成。怀化市商务局202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年部门决算汇总公开单位构成包括：怀化市商务局本级,无独立预算二级单位。 </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bCs/>
          <w:kern w:val="0"/>
          <w:sz w:val="32"/>
          <w:szCs w:val="32"/>
        </w:rPr>
      </w:pPr>
    </w:p>
    <w:p>
      <w:pPr>
        <w:jc w:val="center"/>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   </w:t>
      </w:r>
    </w:p>
    <w:p>
      <w:pPr>
        <w:jc w:val="center"/>
        <w:rPr>
          <w:rFonts w:hint="eastAsia" w:ascii="Times New Roman" w:hAnsi="Times New Roman" w:eastAsia="仿宋_GB2312" w:cs="Times New Roman"/>
          <w:bCs/>
          <w:kern w:val="0"/>
          <w:sz w:val="32"/>
          <w:szCs w:val="32"/>
        </w:rPr>
      </w:pPr>
    </w:p>
    <w:p>
      <w:pPr>
        <w:jc w:val="center"/>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  </w:t>
      </w:r>
    </w:p>
    <w:p>
      <w:pPr>
        <w:jc w:val="center"/>
        <w:rPr>
          <w:rFonts w:hint="eastAsia" w:ascii="Times New Roman" w:hAnsi="Times New Roman" w:eastAsia="仿宋_GB2312" w:cs="Times New Roman"/>
          <w:bCs/>
          <w:kern w:val="0"/>
          <w:sz w:val="32"/>
          <w:szCs w:val="32"/>
        </w:r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jc w:val="center"/>
        <w:rPr>
          <w:rFonts w:hint="eastAsia" w:ascii="Times New Roman" w:hAnsi="Times New Roman" w:eastAsia="仿宋_GB2312" w:cs="Times New Roman"/>
          <w:bCs/>
          <w:kern w:val="0"/>
          <w:sz w:val="32"/>
          <w:szCs w:val="32"/>
        </w:rPr>
      </w:pPr>
    </w:p>
    <w:p>
      <w:pPr>
        <w:jc w:val="center"/>
        <w:rPr>
          <w:rFonts w:ascii="Times New Roman" w:hAnsi="Times New Roman" w:eastAsia="黑体" w:cs="Times New Roman"/>
          <w:sz w:val="28"/>
          <w:szCs w:val="28"/>
        </w:rPr>
      </w:pPr>
      <w:r>
        <w:rPr>
          <w:rFonts w:hint="eastAsia" w:ascii="Times New Roman" w:hAnsi="Times New Roman" w:eastAsia="仿宋_GB2312" w:cs="Times New Roman"/>
          <w:bCs/>
          <w:kern w:val="0"/>
          <w:sz w:val="32"/>
          <w:szCs w:val="32"/>
        </w:rPr>
        <w:t>（详情请见附件）</w:t>
      </w: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6"/>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77695.12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38964.96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汽车置换、汽车报废、家电以旧换新、电动自行车以旧换新、消费券发放等促消费政策实施力度加大，相关财政资金拨款增加，导致年度收支规模显著上升。同时，重点外贸企业扶持、外经贸发展专项资金支出同步增长，进一步推动收支总额提升。</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38847.56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38837.72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99.97</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9.84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0.03</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38847.56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1598.44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4.11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37249.12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95.86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77695.12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38964.96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汽车置换、汽车报废、家电以旧换新、电动自行车以旧换新、消费券发放等促消费政策实施力度加大，相关财政资金拨款增加，导致年度收支规模显著上升。同时，重点外贸企业扶持、外经贸发展专项资金支出同步增长，进一步推动收支总额提升。</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6428.18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16.55</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46.74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0.72</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主要是</w:t>
      </w:r>
      <w:r>
        <w:rPr>
          <w:rFonts w:hint="eastAsia" w:ascii="Times New Roman" w:hAnsi="Times New Roman" w:eastAsia="仿宋_GB2312" w:cs="Times New Roman"/>
          <w:color w:val="auto"/>
          <w:sz w:val="32"/>
          <w:szCs w:val="32"/>
          <w:lang w:eastAsia="zh-CN"/>
        </w:rPr>
        <w:t>因政策原因，厉行节约，三公经费明显缩减。</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6428.18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1518.54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23.62</w:t>
      </w:r>
      <w:r>
        <w:rPr>
          <w:rFonts w:ascii="Times New Roman" w:hAnsi="Times New Roman" w:eastAsia="仿宋_GB2312" w:cs="Times New Roman"/>
          <w:sz w:val="32"/>
          <w:szCs w:val="32"/>
        </w:rPr>
        <w:t>%；</w:t>
      </w:r>
      <w:r>
        <w:rPr>
          <w:rFonts w:ascii="仿宋_GB2312" w:hAnsi="宋体" w:eastAsia="仿宋_GB2312" w:cs="仿宋_GB2312"/>
          <w:i w:val="0"/>
          <w:iCs w:val="0"/>
          <w:caps w:val="0"/>
          <w:color w:val="000000"/>
          <w:spacing w:val="0"/>
          <w:sz w:val="32"/>
          <w:szCs w:val="32"/>
          <w:shd w:val="clear" w:fill="FFFFFF"/>
        </w:rPr>
        <w:t>社会保障和就业</w:t>
      </w:r>
      <w:r>
        <w:rPr>
          <w:rFonts w:hint="eastAsia" w:ascii="仿宋_GB2312" w:hAnsi="宋体" w:eastAsia="仿宋_GB2312" w:cs="仿宋_GB2312"/>
          <w:i w:val="0"/>
          <w:iCs w:val="0"/>
          <w:caps w:val="0"/>
          <w:color w:val="000000"/>
          <w:spacing w:val="0"/>
          <w:sz w:val="32"/>
          <w:szCs w:val="32"/>
          <w:shd w:val="clear" w:fill="FFFFFF"/>
        </w:rPr>
        <w:t>（类）支出</w:t>
      </w:r>
      <w:r>
        <w:rPr>
          <w:rFonts w:hint="eastAsia" w:ascii="Times New Roman" w:hAnsi="Times New Roman" w:eastAsia="仿宋_GB2312" w:cs="Times New Roman"/>
          <w:sz w:val="32"/>
          <w:szCs w:val="32"/>
          <w:lang w:val="en-US" w:eastAsia="zh-CN"/>
        </w:rPr>
        <w:t>466.08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，占</w:t>
      </w:r>
      <w:r>
        <w:rPr>
          <w:rFonts w:hint="eastAsia" w:ascii="Times New Roman" w:hAnsi="Times New Roman" w:eastAsia="仿宋_GB2312" w:cs="Times New Roman"/>
          <w:sz w:val="32"/>
          <w:szCs w:val="32"/>
          <w:lang w:val="en-US" w:eastAsia="zh-CN"/>
        </w:rPr>
        <w:t>7.25%；</w:t>
      </w:r>
      <w:r>
        <w:rPr>
          <w:rFonts w:hint="eastAsia" w:ascii="Times New Roman" w:hAnsi="Times New Roman" w:eastAsia="仿宋_GB2312" w:cs="Times New Roman"/>
          <w:sz w:val="32"/>
          <w:szCs w:val="32"/>
          <w:lang w:eastAsia="zh-CN"/>
        </w:rPr>
        <w:t>卫生健康（类）支出38.</w:t>
      </w:r>
      <w:r>
        <w:rPr>
          <w:rFonts w:hint="eastAsia"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lang w:eastAsia="zh-CN"/>
        </w:rPr>
        <w:t>9</w:t>
      </w:r>
      <w:r>
        <w:rPr>
          <w:rFonts w:hint="eastAsia" w:ascii="Times New Roman" w:hAnsi="Times New Roman" w:eastAsia="仿宋_GB2312" w:cs="Times New Roman"/>
          <w:sz w:val="32"/>
          <w:szCs w:val="32"/>
          <w:lang w:val="en-US" w:eastAsia="zh-CN"/>
        </w:rPr>
        <w:t>万元，占0.61%；文化旅游体育与传媒支出（类）支出138.91万元，占2.16 %；商业服务业等（类）支出4160.71万元，占64.73%；住房保障（类）支出90.55万元，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1.41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，资源勘探工业信息等支出（类）支出14.4万元，占</w:t>
      </w:r>
      <w:r>
        <w:rPr>
          <w:rFonts w:hint="eastAsia" w:ascii="Times New Roman" w:hAnsi="Times New Roman" w:eastAsia="仿宋_GB2312" w:cs="Times New Roman"/>
          <w:sz w:val="32"/>
          <w:szCs w:val="32"/>
          <w:lang w:val="en-US" w:eastAsia="zh-CN"/>
        </w:rPr>
        <w:t>0.22%</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年度财政拨款支出年初预算数为</w:t>
      </w:r>
      <w:r>
        <w:rPr>
          <w:rFonts w:hint="eastAsia" w:ascii="Times New Roman" w:hAnsi="Times New Roman" w:eastAsia="宋体" w:cs="Times New Roman"/>
          <w:i w:val="0"/>
          <w:iCs w:val="0"/>
          <w:caps w:val="0"/>
          <w:color w:val="3D3D3D"/>
          <w:spacing w:val="0"/>
          <w:sz w:val="32"/>
          <w:szCs w:val="32"/>
          <w:shd w:val="clear" w:fill="FFFFFF"/>
          <w:lang w:val="en-US" w:eastAsia="zh-CN"/>
        </w:rPr>
        <w:t>1187.88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1528.38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128.66</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1、一般公共服务（类）商贸事务（款）行政运行（项）。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年初预算为871.88万元，支出决算为893.12万元，完成年初预算的102.4%，决算数大于年初预算数的主要原因是：人员正常晋级晋档，工资增加，费用增加。</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2、一般公共服务（类）商贸事务（款）一般行政管理事务（项）。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年初预算为0万元，支出决算为39.94万元，完成年初预算的399.4%，决算数大于年初预算数的主要原因是：项目支出科目类型调整。</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3、一般公共服务（类）商贸事务（款）对外贸易（项）。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sz w:val="32"/>
          <w:szCs w:val="32"/>
          <w:lang w:val="en-US" w:eastAsia="zh-CN"/>
        </w:rPr>
        <w:t>年初预算为20万元，支出决算为17.05万元，完成年初预</w:t>
      </w:r>
      <w:r>
        <w:rPr>
          <w:rFonts w:hint="eastAsia" w:ascii="Times New Roman" w:hAnsi="Times New Roman" w:eastAsia="仿宋_GB2312" w:cs="Times New Roman"/>
          <w:color w:val="auto"/>
          <w:sz w:val="32"/>
          <w:szCs w:val="32"/>
          <w:lang w:val="en-US" w:eastAsia="zh-CN"/>
        </w:rPr>
        <w:t>算的85.25%，决算数小于年初预算数，主要原因是决算支出数约为财政实际解冻数。</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4、一般公共服务（类）商贸事务（款）国内贸易管理（项）。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年初预算为30万元，支出决算为14.96万元，完成年初预算的49.87%，决算数小于年初预算数，主要原因是决算支出数约为财政实际解冻数。</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5、一般公共服务（类）商贸事务（款）招商引资（项）。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年初预算为266万元，支出决算为171.99万元，完成年初预算的64.66%，决算数小于年初预算数的主要原因是决算支出数约为财政实际解冻数。</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color w:val="auto"/>
          <w:sz w:val="32"/>
          <w:szCs w:val="32"/>
          <w:lang w:val="en-US" w:eastAsia="zh-CN"/>
        </w:rPr>
        <w:t>6、一般公共服务（类）商贸事务（款）其他商贸事务支出</w:t>
      </w:r>
      <w:r>
        <w:rPr>
          <w:rFonts w:hint="eastAsia" w:ascii="Times New Roman" w:hAnsi="Times New Roman" w:eastAsia="仿宋_GB2312" w:cs="Times New Roman"/>
          <w:sz w:val="32"/>
          <w:szCs w:val="32"/>
          <w:lang w:val="en-US" w:eastAsia="zh-CN"/>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年初预算为0万元，支出决算为249.61万元，决算数大于年初预算数的主要原因是：新增各类“一事一议”活动，如消费促进系列活动、跨境电商活动、对非经贸、电商示范企业等多项活动。</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7、一般公共服务（类）组织事务（款）其他组织事务支出（项）。</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年初预算为0万元，支出决算为20万元，完成年初预算的200%，决算数大于年初预算数的主要原因是：组织部拨入人才引进补贴资金。</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1588.6</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1455.64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91.63</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rPr>
        <w:t>361.52</w:t>
      </w:r>
      <w:r>
        <w:rPr>
          <w:rFonts w:hint="eastAsia" w:ascii="Times New Roman" w:hAnsi="Times New Roman" w:eastAsia="仿宋_GB2312" w:cs="Times New Roman"/>
          <w:sz w:val="32"/>
          <w:szCs w:val="32"/>
          <w:lang w:eastAsia="zh-CN"/>
        </w:rPr>
        <w:t>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rPr>
        <w:t>216.7</w:t>
      </w:r>
      <w:r>
        <w:rPr>
          <w:rFonts w:hint="eastAsia" w:ascii="Times New Roman" w:hAnsi="Times New Roman" w:eastAsia="仿宋_GB2312" w:cs="Times New Roman"/>
          <w:sz w:val="32"/>
          <w:szCs w:val="32"/>
          <w:lang w:val="en-US" w:eastAsia="zh-CN"/>
        </w:rPr>
        <w:t>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rPr>
        <w:t>273.22</w:t>
      </w:r>
      <w:r>
        <w:rPr>
          <w:rFonts w:hint="eastAsia" w:ascii="Times New Roman" w:hAnsi="Times New Roman" w:eastAsia="仿宋_GB2312" w:cs="Times New Roman"/>
          <w:sz w:val="32"/>
          <w:szCs w:val="32"/>
          <w:lang w:eastAsia="zh-CN"/>
        </w:rPr>
        <w:t>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伙食补助8.31万元、机关事业单位基本养老保险缴费102</w:t>
      </w:r>
      <w:r>
        <w:rPr>
          <w:rFonts w:hint="eastAsia"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eastAsia="zh-CN"/>
        </w:rPr>
        <w:t>职工基本医疗保险缴费42.95</w:t>
      </w:r>
      <w:r>
        <w:rPr>
          <w:rFonts w:hint="eastAsia" w:ascii="Times New Roman" w:hAnsi="Times New Roman" w:eastAsia="仿宋_GB2312" w:cs="Times New Roman"/>
          <w:sz w:val="32"/>
          <w:szCs w:val="32"/>
          <w:lang w:val="en-US" w:eastAsia="zh-CN"/>
        </w:rPr>
        <w:t>万元、其他社会保障缴费4.9万元、住房公积金93.61万元、其他工资福利3.15万元、对个人和家庭的补助349.29万元。</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132.96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8.37</w:t>
      </w:r>
      <w:r>
        <w:rPr>
          <w:rFonts w:ascii="Times New Roman" w:hAnsi="Times New Roman" w:eastAsia="仿宋_GB2312" w:cs="Times New Roman"/>
          <w:sz w:val="32"/>
          <w:szCs w:val="32"/>
        </w:rPr>
        <w:t>%，主要包括办</w:t>
      </w:r>
    </w:p>
    <w:p>
      <w:pPr>
        <w:pStyle w:val="12"/>
        <w:overflowPunct w:val="0"/>
        <w:autoSpaceDE/>
        <w:autoSpaceDN/>
        <w:spacing w:line="600" w:lineRule="exact"/>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办公费6.61</w:t>
      </w:r>
      <w:r>
        <w:rPr>
          <w:rFonts w:hint="eastAsia"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水费1.8</w:t>
      </w:r>
      <w:r>
        <w:rPr>
          <w:rFonts w:hint="eastAsia"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电</w:t>
      </w:r>
      <w:r>
        <w:rPr>
          <w:rFonts w:hint="eastAsia" w:ascii="Times New Roman" w:hAnsi="Times New Roman" w:eastAsia="仿宋_GB2312" w:cs="Times New Roman"/>
          <w:sz w:val="32"/>
          <w:szCs w:val="32"/>
          <w:lang w:eastAsia="zh-CN"/>
        </w:rPr>
        <w:t>费</w:t>
      </w:r>
      <w:r>
        <w:rPr>
          <w:rFonts w:hint="eastAsia" w:ascii="Times New Roman" w:hAnsi="Times New Roman" w:eastAsia="仿宋_GB2312" w:cs="Times New Roman"/>
          <w:sz w:val="32"/>
          <w:szCs w:val="32"/>
        </w:rPr>
        <w:t>3.97</w:t>
      </w:r>
      <w:r>
        <w:rPr>
          <w:rFonts w:hint="eastAsia"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邮电费</w:t>
      </w:r>
      <w:r>
        <w:rPr>
          <w:rFonts w:hint="eastAsia" w:ascii="Times New Roman" w:hAnsi="Times New Roman" w:eastAsia="仿宋_GB2312" w:cs="Times New Roman"/>
          <w:sz w:val="32"/>
          <w:szCs w:val="32"/>
          <w:lang w:val="en-US" w:eastAsia="zh-CN"/>
        </w:rPr>
        <w:t>0.58万元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差旅费</w:t>
      </w:r>
      <w:r>
        <w:rPr>
          <w:rFonts w:hint="eastAsia" w:ascii="Times New Roman" w:hAnsi="Times New Roman" w:eastAsia="仿宋_GB2312" w:cs="Times New Roman"/>
          <w:sz w:val="32"/>
          <w:szCs w:val="32"/>
          <w:lang w:val="en-US" w:eastAsia="zh-CN"/>
        </w:rPr>
        <w:t>0.78</w:t>
      </w:r>
      <w:r>
        <w:rPr>
          <w:rFonts w:hint="eastAsia" w:ascii="Times New Roman" w:hAnsi="Times New Roman" w:eastAsia="仿宋_GB2312" w:cs="Times New Roman"/>
          <w:sz w:val="32"/>
          <w:szCs w:val="32"/>
          <w:lang w:eastAsia="zh-CN"/>
        </w:rPr>
        <w:t>万元、</w:t>
      </w:r>
      <w:r>
        <w:rPr>
          <w:rFonts w:hint="eastAsia" w:ascii="Times New Roman" w:hAnsi="Times New Roman" w:eastAsia="仿宋_GB2312" w:cs="Times New Roman"/>
          <w:sz w:val="32"/>
          <w:szCs w:val="32"/>
        </w:rPr>
        <w:t>维修（护）费</w:t>
      </w:r>
      <w:r>
        <w:rPr>
          <w:rFonts w:hint="eastAsia" w:ascii="Times New Roman" w:hAnsi="Times New Roman" w:eastAsia="仿宋_GB2312" w:cs="Times New Roman"/>
          <w:sz w:val="32"/>
          <w:szCs w:val="32"/>
          <w:lang w:val="en-US" w:eastAsia="zh-CN"/>
        </w:rPr>
        <w:t>2.37万元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公务接待费</w:t>
      </w:r>
      <w:r>
        <w:rPr>
          <w:rFonts w:hint="eastAsia" w:ascii="Times New Roman" w:hAnsi="Times New Roman" w:eastAsia="仿宋_GB2312" w:cs="Times New Roman"/>
          <w:sz w:val="32"/>
          <w:szCs w:val="32"/>
          <w:lang w:val="en-US" w:eastAsia="zh-CN"/>
        </w:rPr>
        <w:t>2万元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劳务费</w:t>
      </w:r>
      <w:r>
        <w:rPr>
          <w:rFonts w:hint="eastAsia" w:ascii="Times New Roman" w:hAnsi="Times New Roman" w:eastAsia="仿宋_GB2312" w:cs="Times New Roman"/>
          <w:sz w:val="32"/>
          <w:szCs w:val="32"/>
          <w:lang w:val="en-US" w:eastAsia="zh-CN"/>
        </w:rPr>
        <w:t>8.69万元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工会经费</w:t>
      </w:r>
      <w:r>
        <w:rPr>
          <w:rFonts w:hint="eastAsia" w:ascii="Times New Roman" w:hAnsi="Times New Roman" w:eastAsia="仿宋_GB2312" w:cs="Times New Roman"/>
          <w:sz w:val="32"/>
          <w:szCs w:val="32"/>
          <w:lang w:val="en-US" w:eastAsia="zh-CN"/>
        </w:rPr>
        <w:t>19.5万元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福利费</w:t>
      </w:r>
      <w:r>
        <w:rPr>
          <w:rFonts w:hint="eastAsia" w:ascii="Times New Roman" w:hAnsi="Times New Roman" w:eastAsia="仿宋_GB2312" w:cs="Times New Roman"/>
          <w:sz w:val="32"/>
          <w:szCs w:val="32"/>
          <w:lang w:val="en-US" w:eastAsia="zh-CN"/>
        </w:rPr>
        <w:t>31.86万元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公务用车运行维护费2</w:t>
      </w:r>
      <w:r>
        <w:rPr>
          <w:rFonts w:hint="eastAsia" w:ascii="Times New Roman" w:hAnsi="Times New Roman" w:eastAsia="仿宋_GB2312" w:cs="Times New Roman"/>
          <w:sz w:val="32"/>
          <w:szCs w:val="32"/>
          <w:lang w:eastAsia="zh-CN"/>
        </w:rPr>
        <w:t>万元、</w:t>
      </w:r>
      <w:r>
        <w:rPr>
          <w:rFonts w:hint="eastAsia" w:ascii="Times New Roman" w:hAnsi="Times New Roman" w:eastAsia="仿宋_GB2312" w:cs="Times New Roman"/>
          <w:sz w:val="32"/>
          <w:szCs w:val="32"/>
        </w:rPr>
        <w:t>其他交通费用48.48</w:t>
      </w:r>
      <w:r>
        <w:rPr>
          <w:rFonts w:hint="eastAsia"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其他商品和服务支出4.32</w:t>
      </w:r>
      <w:r>
        <w:rPr>
          <w:rFonts w:hint="eastAsia" w:ascii="Times New Roman" w:hAnsi="Times New Roman" w:eastAsia="仿宋_GB2312" w:cs="Times New Roman"/>
          <w:sz w:val="32"/>
          <w:szCs w:val="32"/>
          <w:lang w:val="en-US" w:eastAsia="zh-CN"/>
        </w:rPr>
        <w:t>万元。</w:t>
      </w:r>
    </w:p>
    <w:p>
      <w:pPr>
        <w:pStyle w:val="12"/>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pPr>
        <w:pStyle w:val="12"/>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55.79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55.79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 xml:space="preserve"> 44.19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44.2</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响应相关政策、厉行节约</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决算数与预算数持平，</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103.2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无</w:t>
      </w:r>
      <w:r>
        <w:rPr>
          <w:rFonts w:ascii="仿宋_GB2312" w:hAnsi="宋体" w:eastAsia="仿宋_GB2312" w:cs="仿宋_GB2312"/>
          <w:i w:val="0"/>
          <w:iCs w:val="0"/>
          <w:caps w:val="0"/>
          <w:color w:val="000000"/>
          <w:spacing w:val="0"/>
          <w:sz w:val="32"/>
          <w:szCs w:val="32"/>
          <w:shd w:val="clear" w:fill="FFFFFF"/>
        </w:rPr>
        <w:t>因公出国（境）</w:t>
      </w:r>
      <w:r>
        <w:rPr>
          <w:rFonts w:hint="eastAsia" w:ascii="仿宋_GB2312" w:hAnsi="宋体" w:eastAsia="仿宋_GB2312" w:cs="仿宋_GB2312"/>
          <w:i w:val="0"/>
          <w:iCs w:val="0"/>
          <w:caps w:val="0"/>
          <w:color w:val="000000"/>
          <w:spacing w:val="0"/>
          <w:sz w:val="32"/>
          <w:szCs w:val="32"/>
          <w:shd w:val="clear" w:fill="FFFFFF"/>
          <w:lang w:eastAsia="zh-CN"/>
        </w:rPr>
        <w:t>活动安排</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持平，其中</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12.49</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车辆</w:t>
      </w:r>
      <w:r>
        <w:rPr>
          <w:rFonts w:hint="eastAsia" w:ascii="Times New Roman" w:hAnsi="Times New Roman" w:eastAsia="仿宋_GB2312" w:cs="Times New Roman"/>
          <w:sz w:val="32"/>
          <w:szCs w:val="32"/>
          <w:lang w:val="en-US" w:eastAsia="zh-CN"/>
        </w:rPr>
        <w:t>ETC、油卡充值、小修保养等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62.45</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7.49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37.49</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响应相关政策、厉行节约</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辆。</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55.79 79.84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69.74</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24.05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30.13</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相关政策、厉行节约</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rPr>
        <w:t>32409.54</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rPr>
        <w:t>32409.54</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rPr>
        <w:t>32409.54</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资源勘探工业信息等支出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制造业</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制造业</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32409.54</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政策调整汽车置换、汽车报废、家电以旧换新、电动自行车以旧换新、消费券发放等促消费政策实施力度加大，相关财政资金拨款增加，导致年度收支规模显著上升。</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132.96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59.76万元，</w:t>
      </w:r>
      <w:r>
        <w:rPr>
          <w:rFonts w:hint="eastAsia" w:ascii="Times New Roman" w:hAnsi="Times New Roman" w:eastAsia="仿宋_GB2312" w:cs="Times New Roman"/>
          <w:sz w:val="32"/>
          <w:szCs w:val="32"/>
          <w:lang w:eastAsia="zh-CN"/>
        </w:rPr>
        <w:t>增长率</w:t>
      </w:r>
      <w:r>
        <w:rPr>
          <w:rFonts w:hint="eastAsia" w:ascii="Times New Roman" w:hAnsi="Times New Roman" w:eastAsia="仿宋_GB2312" w:cs="Times New Roman"/>
          <w:sz w:val="32"/>
          <w:szCs w:val="32"/>
          <w:lang w:val="en-US" w:eastAsia="zh-CN"/>
        </w:rPr>
        <w:t>81.64%，增长原因为财务决算系统将公务交通补贴纳入机关运行经费</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年本部门</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会议、培训活动，节庆、晚会、论坛、赛事等活动</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19</w:t>
      </w:r>
      <w:r>
        <w:rPr>
          <w:rFonts w:hint="default"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19</w:t>
      </w:r>
      <w:r>
        <w:rPr>
          <w:rFonts w:hint="default"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w:t>
      </w:r>
      <w:bookmarkStart w:id="0" w:name="_GoBack"/>
      <w:bookmarkEnd w:id="0"/>
      <w:r>
        <w:rPr>
          <w:rFonts w:ascii="Times New Roman" w:hAnsi="Times New Roman" w:eastAsia="仿宋_GB2312" w:cs="Times New Roman"/>
          <w:color w:val="auto"/>
          <w:sz w:val="32"/>
          <w:szCs w:val="32"/>
        </w:rPr>
        <w:t>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日常公车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hint="eastAsia" w:ascii="Times New Roman" w:hAnsi="Times New Roman" w:eastAsia="仿宋_GB2312" w:cs="Times New Roman"/>
          <w:color w:val="auto"/>
          <w:sz w:val="32"/>
          <w:szCs w:val="32"/>
          <w:lang w:eastAsia="zh-CN"/>
        </w:rPr>
        <w:t>2025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lang w:val="en-US" w:eastAsia="zh-CN"/>
        </w:rPr>
        <w:t>29</w:t>
      </w:r>
      <w:r>
        <w:rPr>
          <w:rFonts w:ascii="Times New Roman" w:hAnsi="Times New Roman" w:eastAsia="仿宋_GB2312" w:cs="Times New Roman"/>
          <w:kern w:val="0"/>
          <w:sz w:val="32"/>
          <w:szCs w:val="32"/>
        </w:rPr>
        <w:t>个，共涉及资金</w:t>
      </w:r>
      <w:r>
        <w:rPr>
          <w:rFonts w:hint="eastAsia" w:ascii="仿宋" w:hAnsi="仿宋" w:eastAsia="仿宋" w:cs="仿宋"/>
          <w:sz w:val="32"/>
          <w:szCs w:val="32"/>
          <w:lang w:val="en-US" w:eastAsia="zh-CN"/>
        </w:rPr>
        <w:t>37169.18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24</w:t>
      </w:r>
      <w:r>
        <w:rPr>
          <w:rFonts w:ascii="Times New Roman" w:hAnsi="Times New Roman" w:eastAsia="仿宋_GB2312" w:cs="Times New Roman"/>
          <w:kern w:val="0"/>
          <w:sz w:val="32"/>
          <w:szCs w:val="32"/>
        </w:rPr>
        <w:t>个</w:t>
      </w:r>
      <w:r>
        <w:rPr>
          <w:rFonts w:hint="eastAsia" w:ascii="仿宋" w:hAnsi="仿宋" w:eastAsia="仿宋" w:cs="仿宋"/>
          <w:sz w:val="32"/>
          <w:szCs w:val="32"/>
          <w:lang w:val="en-US" w:eastAsia="zh-CN"/>
        </w:rPr>
        <w:t>4759.64</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74.04</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个</w:t>
      </w:r>
      <w:r>
        <w:rPr>
          <w:rFonts w:hint="eastAsia" w:ascii="仿宋" w:hAnsi="仿宋" w:eastAsia="仿宋" w:cs="仿宋"/>
          <w:sz w:val="32"/>
          <w:szCs w:val="32"/>
          <w:lang w:val="en-US" w:eastAsia="zh-CN"/>
        </w:rPr>
        <w:t>32409.54</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hint="eastAsia" w:ascii="Times New Roman" w:hAnsi="Times New Roman" w:eastAsia="仿宋_GB2312" w:cs="Times New Roman"/>
          <w:kern w:val="0"/>
          <w:sz w:val="32"/>
          <w:szCs w:val="32"/>
          <w:lang w:eastAsia="zh-CN"/>
        </w:rPr>
        <w:t>2025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46765.14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38847.56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83.07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94.31</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w:t>
      </w:r>
      <w:r>
        <w:rPr>
          <w:rFonts w:hint="default" w:ascii="Times New Roman" w:hAnsi="Times New Roman" w:eastAsia="仿宋_GB2312" w:cs="Times New Roman"/>
          <w:kern w:val="0"/>
          <w:sz w:val="32"/>
          <w:szCs w:val="32"/>
        </w:rPr>
        <w:t>全市商务系统踔厉奋发、勇毅前行，推动各项工作实现</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五个历史性跃升</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。一是枢纽能级</w:t>
      </w:r>
      <w:r>
        <w:rPr>
          <w:rFonts w:hint="default" w:ascii="Times New Roman" w:hAnsi="Times New Roman" w:eastAsia="仿宋_GB2312" w:cs="Times New Roman"/>
          <w:kern w:val="0"/>
          <w:sz w:val="32"/>
          <w:szCs w:val="32"/>
          <w:lang w:eastAsia="zh-CN"/>
        </w:rPr>
        <w:t>实现历史性跃升</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lang w:val="en-US" w:eastAsia="zh-CN"/>
        </w:rPr>
        <w:t>全力服务怀化国际陆港建设，提前一年完成省定“三个一千”目标。开通国际国内线路200条，形成国际物流大通道7条，运输网络覆盖全球69个国家（地区）的216个港口（站点），吸引西部陆海新通道超七成货物从怀化南下东盟。班列开行从2021年的17列增加到2025年的1200列，累计开行2832列、年均增长190%。</w:t>
      </w:r>
      <w:r>
        <w:rPr>
          <w:rFonts w:hint="default" w:ascii="Times New Roman" w:hAnsi="Times New Roman" w:eastAsia="仿宋_GB2312" w:cs="Times New Roman"/>
          <w:kern w:val="0"/>
          <w:sz w:val="32"/>
          <w:szCs w:val="32"/>
          <w:lang w:eastAsia="zh-CN"/>
        </w:rPr>
        <w:t>二</w:t>
      </w:r>
      <w:r>
        <w:rPr>
          <w:rFonts w:hint="default" w:ascii="Times New Roman" w:hAnsi="Times New Roman" w:eastAsia="仿宋_GB2312" w:cs="Times New Roman"/>
          <w:kern w:val="0"/>
          <w:sz w:val="32"/>
          <w:szCs w:val="32"/>
        </w:rPr>
        <w:t>是开放</w:t>
      </w:r>
      <w:r>
        <w:rPr>
          <w:rFonts w:hint="default" w:ascii="Times New Roman" w:hAnsi="Times New Roman" w:eastAsia="仿宋_GB2312" w:cs="Times New Roman"/>
          <w:kern w:val="0"/>
          <w:sz w:val="32"/>
          <w:szCs w:val="32"/>
          <w:lang w:eastAsia="zh-CN"/>
        </w:rPr>
        <w:t>水平</w:t>
      </w:r>
      <w:r>
        <w:rPr>
          <w:rFonts w:hint="default" w:ascii="Times New Roman" w:hAnsi="Times New Roman" w:eastAsia="仿宋_GB2312" w:cs="Times New Roman"/>
          <w:kern w:val="0"/>
          <w:sz w:val="32"/>
          <w:szCs w:val="32"/>
        </w:rPr>
        <w:t>实现历史性跃升。外贸进出口总额增长6.7倍，增速连续三年全省第一；外贸实绩企业规模从80家激增至303家；对外贸易依存度从1.09%提升至5.12%，开放型经济贡献度显著增强。跨境电商从无到有、快速崛起</w:t>
      </w:r>
      <w:r>
        <w:rPr>
          <w:rFonts w:hint="default" w:ascii="Times New Roman" w:hAnsi="Times New Roman" w:eastAsia="仿宋_GB2312" w:cs="Times New Roman"/>
          <w:kern w:val="0"/>
          <w:sz w:val="32"/>
          <w:szCs w:val="32"/>
          <w:lang w:val="en-US" w:eastAsia="zh-CN"/>
        </w:rPr>
        <w:t>，出口额突破3亿元，年均增长30%。</w:t>
      </w:r>
      <w:r>
        <w:rPr>
          <w:rFonts w:hint="default" w:ascii="Times New Roman" w:hAnsi="Times New Roman" w:eastAsia="仿宋_GB2312" w:cs="Times New Roman"/>
          <w:kern w:val="0"/>
          <w:sz w:val="32"/>
          <w:szCs w:val="32"/>
        </w:rPr>
        <w:t>三是招商引资实现历史性跃升。累计引进</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三类500强</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企业106家、10亿元以上项目207个。利用外资2.18亿美元、排名从2021年全省第11位上升至第5位；对外实际投资0.82亿美元，排名由全省第12位上升至第6位。四是消费活力实现历史性跃升。社零总额年均增长6.6%，限上商贸企业净增676家、总量突破1200家，A级物流企业总量跃居全省第3，成功入选全国服务业标准化试点。五是开放平台实现历史性跃升。成功举办两届RCEP经贸博览</w:t>
      </w:r>
      <w:r>
        <w:rPr>
          <w:rFonts w:hint="default" w:ascii="Times New Roman" w:hAnsi="Times New Roman" w:eastAsia="仿宋_GB2312" w:cs="Times New Roman"/>
          <w:kern w:val="0"/>
          <w:sz w:val="32"/>
          <w:szCs w:val="32"/>
          <w:lang w:val="en-US" w:eastAsia="zh-CN"/>
        </w:rPr>
        <w:t>会，成为我市高质量发展的“强劲引擎”和我省对外开放的“金字招牌”；跨境电</w:t>
      </w:r>
      <w:r>
        <w:rPr>
          <w:rFonts w:hint="default" w:ascii="Times New Roman" w:hAnsi="Times New Roman" w:eastAsia="仿宋_GB2312" w:cs="Times New Roman"/>
          <w:kern w:val="0"/>
          <w:sz w:val="32"/>
          <w:szCs w:val="32"/>
        </w:rPr>
        <w:t>商综试区、保税物流中心（B型）等三大平台申建取得突破性进展</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对东盟、非洲经贸合作持续深化</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分别增长超13倍、10倍。</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黑体" w:cs="Times New Roman"/>
          <w:b/>
          <w:bCs/>
          <w:color w:val="auto"/>
          <w:sz w:val="32"/>
          <w:szCs w:val="32"/>
          <w:highlight w:val="none"/>
          <w:lang w:val="en-US" w:eastAsia="zh-CN"/>
        </w:rPr>
      </w:pPr>
      <w:r>
        <w:rPr>
          <w:rFonts w:hint="eastAsia" w:ascii="Times New Roman" w:hAnsi="Times New Roman" w:eastAsia="仿宋_GB2312" w:cs="仿宋_GB2312"/>
          <w:b w:val="0"/>
          <w:bCs w:val="0"/>
          <w:color w:val="auto"/>
          <w:kern w:val="2"/>
          <w:sz w:val="32"/>
          <w:szCs w:val="32"/>
          <w:lang w:val="en-US" w:eastAsia="zh-CN" w:bidi="ar-SA"/>
        </w:rPr>
        <w:t>发现的主要问题及原因：</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一是部分业务科室对绩效管理的重视程度仍需加强，绩效目标编制时对项目实施过程和预期效果的量化分析不足；二是绩效管理专业能力有待提升，对绩效监控、评价等环节的实操能力不足，影响了绩效监控的精准性；三是绩效评价结果应用机制不够健全，评价结果对后续预算安排的约束和引导作用未得到充分发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Times New Roman" w:hAnsi="Times New Roman" w:eastAsia="仿宋_GB2312" w:cs="仿宋_GB2312"/>
          <w:b w:val="0"/>
          <w:bCs w:val="0"/>
          <w:color w:val="auto"/>
          <w:kern w:val="2"/>
          <w:sz w:val="32"/>
          <w:szCs w:val="32"/>
          <w:lang w:val="en-US" w:eastAsia="zh-CN" w:bidi="ar-SA"/>
        </w:rPr>
        <w:t>下一步改进措施：</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本单位将进一步强化预算执行管理，优化项目实施流程，加强绩效目标编制与监控，健全绩效评价结果应用机制，完善项目资产使用效益评估体系，持续提升部门整体支出绩效管理水平，确保财政资金发挥更大效益。</w:t>
      </w:r>
    </w:p>
    <w:p>
      <w:pPr>
        <w:pStyle w:val="12"/>
        <w:numPr>
          <w:ilvl w:val="0"/>
          <w:numId w:val="2"/>
        </w:numPr>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评价结果应用情况。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我单位充分运用2025年度绩效自评结果，在预算编制上，依据绩效结果科学安排年度预算，保障高效项目、压减低效项目;优化支出结构，盘活存量资金，向重点业务倾斜；强化项目执行监控，规范资金审核管；补齐制度短板，健全绩效全过程管理机制，压实业务科室绩效责任，实现绩效评价闭环管理，切实提高财政资金使用效益。</w:t>
      </w:r>
    </w:p>
    <w:p>
      <w:pPr>
        <w:pStyle w:val="12"/>
        <w:numPr>
          <w:ilvl w:val="0"/>
          <w:numId w:val="0"/>
        </w:numPr>
        <w:overflowPunct w:val="0"/>
        <w:autoSpaceDE/>
        <w:autoSpaceDN/>
        <w:spacing w:line="600" w:lineRule="exact"/>
        <w:jc w:val="both"/>
        <w:rPr>
          <w:rFonts w:hint="default" w:ascii="Times New Roman" w:hAnsi="Times New Roman" w:eastAsia="楷体_GB2312" w:cs="Times New Roman"/>
          <w:b/>
          <w:bCs/>
          <w:color w:val="auto"/>
          <w:kern w:val="2"/>
          <w:sz w:val="32"/>
          <w:szCs w:val="32"/>
          <w:lang w:val="en-US"/>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第四部分  名词解释</w:t>
      </w:r>
    </w:p>
    <w:p>
      <w:pPr>
        <w:pStyle w:val="12"/>
        <w:spacing w:line="600" w:lineRule="exact"/>
        <w:ind w:firstLine="960" w:firstLineChars="3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pPr>
        <w:pStyle w:val="12"/>
        <w:spacing w:line="600" w:lineRule="exact"/>
        <w:ind w:firstLine="640" w:firstLineChars="200"/>
        <w:rPr>
          <w:rFonts w:ascii="Times New Roman" w:hAnsi="Times New Roman" w:eastAsia="楷体_GB2312" w:cs="Times New Roman"/>
          <w:b/>
          <w:bCs/>
          <w:i/>
          <w:color w:val="auto"/>
          <w:sz w:val="32"/>
          <w:szCs w:val="32"/>
        </w:rPr>
      </w:pPr>
      <w:r>
        <w:rPr>
          <w:rFonts w:hint="eastAsia" w:ascii="Times New Roman" w:hAnsi="Times New Roman" w:eastAsia="仿宋_GB2312" w:cs="Times New Roman"/>
          <w:color w:val="000000"/>
          <w:kern w:val="0"/>
          <w:sz w:val="32"/>
          <w:szCs w:val="32"/>
        </w:rPr>
        <w:t>   2.“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附件：怀化市商务局决算公开表</w:t>
      </w:r>
    </w:p>
    <w:p>
      <w:pPr>
        <w:pStyle w:val="12"/>
        <w:spacing w:line="600" w:lineRule="exact"/>
        <w:ind w:firstLine="640" w:firstLineChars="200"/>
        <w:rPr>
          <w:rFonts w:ascii="Times New Roman" w:hAnsi="Times New Roman" w:cs="Times New Roman"/>
          <w:color w:val="000000"/>
          <w:kern w:val="0"/>
          <w:sz w:val="32"/>
          <w:szCs w:val="32"/>
        </w:rPr>
      </w:pPr>
      <w:r>
        <w:rPr>
          <w:rFonts w:hint="eastAsia" w:ascii="Times New Roman" w:hAnsi="Times New Roman" w:eastAsia="仿宋_GB2312" w:cs="Times New Roman"/>
          <w:sz w:val="32"/>
          <w:szCs w:val="32"/>
        </w:rPr>
        <w:t>     </w:t>
      </w: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FFC5EF"/>
    <w:multiLevelType w:val="singleLevel"/>
    <w:tmpl w:val="F4FFC5EF"/>
    <w:lvl w:ilvl="0" w:tentative="0">
      <w:start w:val="3"/>
      <w:numFmt w:val="chineseCounting"/>
      <w:suff w:val="nothing"/>
      <w:lvlText w:val="（%1）"/>
      <w:lvlJc w:val="left"/>
      <w:rPr>
        <w:rFonts w:hint="eastAsia"/>
      </w:rPr>
    </w:lvl>
  </w:abstractNum>
  <w:abstractNum w:abstractNumId="1">
    <w:nsid w:val="6372D4BB"/>
    <w:multiLevelType w:val="singleLevel"/>
    <w:tmpl w:val="6372D4BB"/>
    <w:lvl w:ilvl="0" w:tentative="0">
      <w:start w:val="7"/>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2C6496"/>
    <w:rsid w:val="0A9C36B0"/>
    <w:rsid w:val="0BE84E8E"/>
    <w:rsid w:val="10F13359"/>
    <w:rsid w:val="110A37F6"/>
    <w:rsid w:val="16DF3A41"/>
    <w:rsid w:val="1BAB226E"/>
    <w:rsid w:val="1D97DEFF"/>
    <w:rsid w:val="1DFF72E5"/>
    <w:rsid w:val="1EFC6F07"/>
    <w:rsid w:val="2FDF85B8"/>
    <w:rsid w:val="2FFFEE04"/>
    <w:rsid w:val="34DF85B0"/>
    <w:rsid w:val="3B8F36BC"/>
    <w:rsid w:val="3EB65F13"/>
    <w:rsid w:val="491FF225"/>
    <w:rsid w:val="4FFD214C"/>
    <w:rsid w:val="4FFF6506"/>
    <w:rsid w:val="55DF799E"/>
    <w:rsid w:val="55EE21FD"/>
    <w:rsid w:val="55F759C3"/>
    <w:rsid w:val="56DE3FAE"/>
    <w:rsid w:val="5777D4F5"/>
    <w:rsid w:val="59DD8326"/>
    <w:rsid w:val="5DEF592A"/>
    <w:rsid w:val="5ECBD3B6"/>
    <w:rsid w:val="5EDB6013"/>
    <w:rsid w:val="5FC6BB1E"/>
    <w:rsid w:val="5FF720F1"/>
    <w:rsid w:val="67FF5C0B"/>
    <w:rsid w:val="6EFC0924"/>
    <w:rsid w:val="6FB74722"/>
    <w:rsid w:val="6FEF8B7E"/>
    <w:rsid w:val="70BC9773"/>
    <w:rsid w:val="71A6591B"/>
    <w:rsid w:val="737D59BA"/>
    <w:rsid w:val="76D95A5E"/>
    <w:rsid w:val="76FF97A3"/>
    <w:rsid w:val="77C37683"/>
    <w:rsid w:val="79D19834"/>
    <w:rsid w:val="79FF515B"/>
    <w:rsid w:val="7B5F77C4"/>
    <w:rsid w:val="7E9E1962"/>
    <w:rsid w:val="7E9F11B4"/>
    <w:rsid w:val="7F37EC1E"/>
    <w:rsid w:val="7F7DCD9D"/>
    <w:rsid w:val="7F970A6F"/>
    <w:rsid w:val="7FA709B4"/>
    <w:rsid w:val="7FC1FFF3"/>
    <w:rsid w:val="7FC69637"/>
    <w:rsid w:val="7FDF8620"/>
    <w:rsid w:val="7FE8C8F7"/>
    <w:rsid w:val="7FFB242F"/>
    <w:rsid w:val="7FFDB408"/>
    <w:rsid w:val="7FFE4EEB"/>
    <w:rsid w:val="95FB2B98"/>
    <w:rsid w:val="9A639BC2"/>
    <w:rsid w:val="9FF7D786"/>
    <w:rsid w:val="ABBFB23D"/>
    <w:rsid w:val="BCFEBD5A"/>
    <w:rsid w:val="BFA6FE93"/>
    <w:rsid w:val="C3B4DA5A"/>
    <w:rsid w:val="CBFF70E0"/>
    <w:rsid w:val="CFDD1990"/>
    <w:rsid w:val="CFF50B82"/>
    <w:rsid w:val="CFFFAD89"/>
    <w:rsid w:val="DFFE359E"/>
    <w:rsid w:val="DFFE4FFD"/>
    <w:rsid w:val="EEABED75"/>
    <w:rsid w:val="EFFA014A"/>
    <w:rsid w:val="F56FDF51"/>
    <w:rsid w:val="F6B69F17"/>
    <w:rsid w:val="F77F1D61"/>
    <w:rsid w:val="F7FED3A9"/>
    <w:rsid w:val="F8C9DB26"/>
    <w:rsid w:val="F97E8EAE"/>
    <w:rsid w:val="FB36E1A6"/>
    <w:rsid w:val="FB3BE134"/>
    <w:rsid w:val="FBCD7B5D"/>
    <w:rsid w:val="FBDA6298"/>
    <w:rsid w:val="FCFF3BA8"/>
    <w:rsid w:val="FCFF4275"/>
    <w:rsid w:val="FD75AB21"/>
    <w:rsid w:val="FD7FEEEA"/>
    <w:rsid w:val="FDFFB577"/>
    <w:rsid w:val="FEEA50FE"/>
    <w:rsid w:val="FF7D47A9"/>
    <w:rsid w:val="FFCF21CB"/>
    <w:rsid w:val="FFF5E8A2"/>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unhideWhenUsed/>
    <w:qFormat/>
    <w:uiPriority w:val="99"/>
    <w:pPr>
      <w:widowControl/>
      <w:spacing w:after="120"/>
      <w:ind w:left="420" w:leftChars="200"/>
      <w:jc w:val="left"/>
    </w:pPr>
    <w:rPr>
      <w:rFonts w:ascii="宋体" w:hAnsi="宋体" w:eastAsia="宋体" w:cs="宋体"/>
      <w:kern w:val="0"/>
      <w:sz w:val="24"/>
    </w:rPr>
  </w:style>
  <w:style w:type="paragraph" w:styleId="3">
    <w:name w:val="Balloon Text"/>
    <w:basedOn w:val="1"/>
    <w:link w:val="14"/>
    <w:semiHidden/>
    <w:unhideWhenUsed/>
    <w:qFormat/>
    <w:uiPriority w:val="99"/>
    <w:rPr>
      <w:sz w:val="18"/>
      <w:szCs w:val="18"/>
    </w:rPr>
  </w:style>
  <w:style w:type="paragraph" w:styleId="4">
    <w:name w:val="footer"/>
    <w:basedOn w:val="1"/>
    <w:next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footnote text"/>
    <w:basedOn w:val="1"/>
    <w:next w:val="7"/>
    <w:semiHidden/>
    <w:qFormat/>
    <w:uiPriority w:val="0"/>
    <w:pPr>
      <w:snapToGrid w:val="0"/>
      <w:jc w:val="left"/>
    </w:pPr>
    <w:rPr>
      <w:sz w:val="18"/>
      <w:szCs w:val="18"/>
    </w:rPr>
  </w:style>
  <w:style w:type="paragraph" w:styleId="7">
    <w:name w:val="Body Text First Indent 2"/>
    <w:basedOn w:val="2"/>
    <w:unhideWhenUsed/>
    <w:qFormat/>
    <w:uiPriority w:val="99"/>
    <w:pPr>
      <w:ind w:firstLine="420" w:firstLineChars="200"/>
    </w:pPr>
  </w:style>
  <w:style w:type="character" w:customStyle="1" w:styleId="10">
    <w:name w:val="页眉 Char"/>
    <w:basedOn w:val="9"/>
    <w:link w:val="5"/>
    <w:qFormat/>
    <w:uiPriority w:val="99"/>
    <w:rPr>
      <w:sz w:val="18"/>
      <w:szCs w:val="18"/>
    </w:rPr>
  </w:style>
  <w:style w:type="character" w:customStyle="1" w:styleId="11">
    <w:name w:val="页脚 Char"/>
    <w:basedOn w:val="9"/>
    <w:link w:val="4"/>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3"/>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19</Pages>
  <Words>6504</Words>
  <Characters>7203</Characters>
  <Lines>69</Lines>
  <Paragraphs>19</Paragraphs>
  <TotalTime>52</TotalTime>
  <ScaleCrop>false</ScaleCrop>
  <LinksUpToDate>false</LinksUpToDate>
  <CharactersWithSpaces>7228</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greatwall</cp:lastModifiedBy>
  <cp:lastPrinted>2026-09-24T16:46:00Z</cp:lastPrinted>
  <dcterms:modified xsi:type="dcterms:W3CDTF">2026-09-24T10:12:19Z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3E076DD0A7EE4AEBB18F8F3C531C99E3_13</vt:lpwstr>
  </property>
  <property fmtid="{D5CDD505-2E9C-101B-9397-08002B2CF9AE}" pid="4" name="KSOTemplateDocerSaveRecord">
    <vt:lpwstr>eyJoZGlkIjoiMjQzNDU2Nzk4MDNlMDAzZjQ0ZWQwOTM0OTZkZGM3Y2MiLCJ1c2VySWQiOiIyNTIzOTc3MTUifQ==</vt:lpwstr>
  </property>
</Properties>
</file>