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32CCB">
      <w:pPr>
        <w:pStyle w:val="15"/>
        <w:keepNext w:val="0"/>
        <w:keepLines w:val="0"/>
        <w:pageBreakBefore w:val="0"/>
        <w:widowControl w:val="0"/>
        <w:kinsoku/>
        <w:wordWrap/>
        <w:overflowPunct/>
        <w:topLinePunct w:val="0"/>
        <w:autoSpaceDE/>
        <w:autoSpaceDN/>
        <w:bidi w:val="0"/>
        <w:adjustRightInd/>
        <w:snapToGrid/>
        <w:textAlignment w:val="auto"/>
        <w:rPr>
          <w:color w:val="auto"/>
        </w:rPr>
      </w:pPr>
      <mc:AlternateContent>
        <mc:Choice Requires="wpsCustomData">
          <wpsCustomData:docfieldStart id="0" docfieldname="标题_1" hidden="0" print="1" readonly="0" index="1"/>
        </mc:Choice>
      </mc:AlternateContent>
      <w:r>
        <w:rPr>
          <w:color w:val="auto"/>
        </w:rPr>
        <w:t>怀化市专业应急救援支队</w:t>
      </w:r>
    </w:p>
    <w:p w14:paraId="222F9285">
      <w:pPr>
        <w:pStyle w:val="15"/>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2025年度整体支出绩效自评报告</w:t>
      </w:r>
      <mc:AlternateContent>
        <mc:Choice Requires="wpsCustomData">
          <wpsCustomData:docfieldEnd id="0"/>
        </mc:Choice>
      </mc:AlternateContent>
    </w:p>
    <w:p w14:paraId="3CA851D2">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color w:val="auto"/>
          <w:lang w:eastAsia="zh-CN"/>
        </w:rPr>
      </w:pPr>
      <w:bookmarkStart w:id="0" w:name="heading_0"/>
    </w:p>
    <w:p w14:paraId="7599122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一、</w:t>
      </w:r>
      <w:r>
        <w:rPr>
          <w:color w:val="auto"/>
          <w:sz w:val="29"/>
          <w:szCs w:val="29"/>
        </w:rPr>
        <w:t>部门概况</w:t>
      </w:r>
      <w:bookmarkEnd w:id="0"/>
    </w:p>
    <w:p w14:paraId="1F8EE97B">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 w:name="heading_1"/>
      <w:r>
        <w:rPr>
          <w:rFonts w:hint="eastAsia"/>
          <w:color w:val="auto"/>
          <w:sz w:val="29"/>
          <w:szCs w:val="29"/>
          <w:lang w:eastAsia="zh-CN"/>
        </w:rPr>
        <w:t>（一）</w:t>
      </w:r>
      <w:r>
        <w:rPr>
          <w:color w:val="auto"/>
          <w:sz w:val="29"/>
          <w:szCs w:val="29"/>
        </w:rPr>
        <w:t>部门基本情况</w:t>
      </w:r>
      <w:bookmarkEnd w:id="1"/>
    </w:p>
    <w:p w14:paraId="34DA66D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专业应急救援支队为怀化市应急管理局下属二级预算单位，无内设科室。单位核心职责为：负责矿山行业、危险化学品行业、其他行业有限空间、有毒有害气体泄漏处理等安全生产事故及自然灾害事故救援工作；协助主管部门制定辖区内专业应急救援的发展规划；负责辖区内安全生产、自然灾害类应急救援知识宣传、演练；指导县市区应急管理部门所属专业救援队伍及社会力量救援队伍的业务技术工作；参加其他类型灾害事故救援工作；完成市应急管理局交办的其他工作。财政供养人员方面，单位编制数22人，2025年实际在职人数14人，人员控制率为63.64％。</w:t>
      </w:r>
    </w:p>
    <w:p w14:paraId="5BADE554">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 w:name="heading_2"/>
      <w:r>
        <w:rPr>
          <w:rFonts w:hint="eastAsia"/>
          <w:color w:val="auto"/>
          <w:sz w:val="29"/>
          <w:szCs w:val="29"/>
          <w:lang w:eastAsia="zh-CN"/>
        </w:rPr>
        <w:t>（二）</w:t>
      </w:r>
      <w:r>
        <w:rPr>
          <w:color w:val="auto"/>
          <w:sz w:val="29"/>
          <w:szCs w:val="29"/>
        </w:rPr>
        <w:t>部门整体支出规模、使用方向和主要内容、涉及范围</w:t>
      </w:r>
      <w:bookmarkEnd w:id="2"/>
    </w:p>
    <w:p w14:paraId="3B326A0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2025年度部门整体支出年初预算255.02万元，全年预算359.67万元，全年实际执行335.07万元。从收</w:t>
      </w:r>
      <w:bookmarkStart w:id="18" w:name="_GoBack"/>
      <w:bookmarkEnd w:id="18"/>
      <w:r>
        <w:rPr>
          <w:rFonts w:ascii="Times New Roman" w:hAnsi="Times New Roman" w:eastAsia="仿宋_GB2312" w:cs="仿宋_GB2312"/>
          <w:color w:val="auto"/>
          <w:sz w:val="29"/>
          <w:szCs w:val="29"/>
        </w:rPr>
        <w:t>入性质划分，一般公共预算资金269.34万元，纳入专户管理的非税收入拨款65.73万元，无政府性基金拨款及其他资金。从支出性质划分，基本支出259.29万元，项目支出75.78万元。</w:t>
      </w:r>
    </w:p>
    <w:p w14:paraId="7A30FD4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金使用方向上，基本支出主要用于保障机构正常运转、完成日常工作任务，涵盖人员工资福利、对个人和家庭补助、日常公用运转等开支；项目支出主要用于人才引进补贴、安全生产及危险化学品应急救援装备训练演练、瓦斯鉴定等专项业务工作，支撑核心履职职能落地。</w:t>
      </w:r>
    </w:p>
    <w:p w14:paraId="1FCD196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支出涉及范围覆盖单位日常运行保障、24小时应急值班值守、队伍体能与技能训练、救援装备维护、突发事故处置、基层队伍指导、应急知识宣传、重点任务保障等全部履职领域，贯穿应急救援工作全链条。</w:t>
      </w:r>
    </w:p>
    <w:p w14:paraId="3E2028C6">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3" w:name="heading_3"/>
      <w:r>
        <w:rPr>
          <w:rFonts w:hint="eastAsia"/>
          <w:color w:val="auto"/>
          <w:sz w:val="29"/>
          <w:szCs w:val="29"/>
          <w:lang w:eastAsia="zh-CN"/>
        </w:rPr>
        <w:t>二、</w:t>
      </w:r>
      <w:r>
        <w:rPr>
          <w:color w:val="auto"/>
          <w:sz w:val="29"/>
          <w:szCs w:val="29"/>
        </w:rPr>
        <w:t>一般公共预算支出情况</w:t>
      </w:r>
      <w:bookmarkEnd w:id="3"/>
    </w:p>
    <w:p w14:paraId="7395D99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4" w:name="heading_4"/>
      <w:r>
        <w:rPr>
          <w:rFonts w:hint="eastAsia"/>
          <w:color w:val="auto"/>
          <w:sz w:val="29"/>
          <w:szCs w:val="29"/>
          <w:lang w:eastAsia="zh-CN"/>
        </w:rPr>
        <w:t>（一）</w:t>
      </w:r>
      <w:r>
        <w:rPr>
          <w:color w:val="auto"/>
          <w:sz w:val="29"/>
          <w:szCs w:val="29"/>
        </w:rPr>
        <w:t>基本支出</w:t>
      </w:r>
      <w:bookmarkEnd w:id="4"/>
    </w:p>
    <w:p w14:paraId="52F4BC0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基本支出年度预算229.02万元，全年执行259.29万元，主要用于保障单位正常运转及日常履职，分为人员经费与公用经费两部分。</w:t>
      </w:r>
      <w:r>
        <w:rPr>
          <w:rFonts w:ascii="Times New Roman" w:hAnsi="Times New Roman" w:eastAsia="仿宋_GB2312" w:cs="仿宋_GB2312"/>
          <w:color w:val="auto"/>
          <w:sz w:val="29"/>
          <w:szCs w:val="29"/>
        </w:rPr>
        <w:br w:type="textWrapping"/>
      </w:r>
      <w:r>
        <w:rPr>
          <w:rFonts w:ascii="Times New Roman" w:hAnsi="Times New Roman" w:eastAsia="仿宋_GB2312" w:cs="仿宋_GB2312"/>
          <w:color w:val="auto"/>
          <w:sz w:val="29"/>
          <w:szCs w:val="29"/>
        </w:rPr>
        <w:t>人员经费主要用于发放基本工资、津贴补贴、奖金、绩效工资，缴纳机关事业单位基本养老保险、职工基本医疗保险，缴存住房公积金，以及发放对个人和家庭的补助、生活补助等，是队伍稳定运行的基础保障。公用经费主要用于开支工会经费、福利费、电费、公务用车运行维护费、委托业务费、公务接待费、培训费、差旅费及其他商品和服务支出，保障日常办公与业务开展。</w:t>
      </w:r>
    </w:p>
    <w:p w14:paraId="79F338B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金管理方面，严格落实中央八项规定精神与过紧日子要求，制定财务管理制度、财政业务内部控制制度，从严控制各类预算支出，细化日常办公节约举措，严格差旅审批，压缩出差频次、天数和人数，严禁无明确公务目的的差旅活动，确保资金规范高效使用。</w:t>
      </w:r>
    </w:p>
    <w:p w14:paraId="605FD99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三公”经费管理方面，年初一般公共预算“三公”经费合计6.00万元，其中公务用车运行维护费5.00万元，公务接待费1.00万元，无因公出国（境）费与公务用车购置费。全年实际执行“三公”经费4.00万元，全部为公务用车运行维护费，公务接待费实际支出0万元，“三公”经费整体低于预算规模，管控成效良好。</w:t>
      </w:r>
    </w:p>
    <w:p w14:paraId="5D3B569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5" w:name="heading_5"/>
      <w:r>
        <w:rPr>
          <w:rFonts w:hint="eastAsia"/>
          <w:color w:val="auto"/>
          <w:sz w:val="29"/>
          <w:szCs w:val="29"/>
          <w:lang w:eastAsia="zh-CN"/>
        </w:rPr>
        <w:t>（二）</w:t>
      </w:r>
      <w:r>
        <w:rPr>
          <w:color w:val="auto"/>
          <w:sz w:val="29"/>
          <w:szCs w:val="29"/>
        </w:rPr>
        <w:t>项目支出</w:t>
      </w:r>
      <w:bookmarkEnd w:id="5"/>
    </w:p>
    <w:p w14:paraId="63C6F2B3">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项目资金安排落实、总投入情况</w:t>
      </w:r>
    </w:p>
    <w:p w14:paraId="2303A9D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纳入管理的项目共3个，分别为市直企事业单位全职人才引进补贴项目、安全生产及危险化学品应急救援基地装备训练演练经费项目、2025年瓦斯鉴定经费项目，全年项目支出总预算75.78万元。其中人才引进补贴项目预算4.80万元，全部为一般公共预算财政拨款；装备训练演练经费项目预算20.00万元，全部为一般公共预算财政拨款；瓦斯鉴定经费项目全年预算72.00万元，资金来源为纳入专户管理的非税收入。所有项目资金均按预算级次与拨付程序及时落实到位，保障各项专项工作有序推进。</w:t>
      </w:r>
    </w:p>
    <w:p w14:paraId="281D6806">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项目资金实际使用情况</w:t>
      </w:r>
    </w:p>
    <w:p w14:paraId="08F707F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人才引进补贴项目全年执行4.80万元，预算执行率100％，资金全部用于按政策标准向3名引进人才发放补贴，降低引进人才在怀生活成本。</w:t>
      </w:r>
    </w:p>
    <w:p w14:paraId="6728573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安全生产及危险化学品应急救援基地装备训练演练经费项目全年执行5.25万元，预算执行率29.19％，资金主要用于组织应急救援专项训练、开展实战演练、实施装备维护保养，支撑队伍能力提升。</w:t>
      </w:r>
    </w:p>
    <w:p w14:paraId="2968CBC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2025年瓦斯鉴定经费项目全年执行65.73万元，预算执行率91.29％，资金主要用于瓦斯鉴定业务开展、相关装备操作训练、事故现场处置保障等，服务全市煤矿瓦斯防治与矿山安全工作。</w:t>
      </w:r>
    </w:p>
    <w:p w14:paraId="4C1C86F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所有项目资金均严格对应预算用途使用，未发生挤占、挪用、截留情况，资金投向与项目目标高度匹配。</w:t>
      </w:r>
    </w:p>
    <w:p w14:paraId="5598B469">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项目资金管理情况</w:t>
      </w:r>
    </w:p>
    <w:p w14:paraId="75993A6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建立健全项目资金管理制度，所有项目资金实行专款专用、单独核算，明确资金开支范围、审批权限与核算要求。资金支付严格履行分级审批程序，业务科室提交支出依据，财务部门复核合规性，按层级审批后办理支付，支付手续齐全、依据充分。财务部门按政府会计制度规范开展会计核算，准确归集各项目收支，定期开展项目资金使用自查，主动接受上级部门监督检查，资金管理全程规范可控。</w:t>
      </w:r>
    </w:p>
    <w:p w14:paraId="0304DCD7">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6" w:name="heading_6"/>
      <w:r>
        <w:rPr>
          <w:rFonts w:hint="eastAsia"/>
          <w:color w:val="auto"/>
          <w:sz w:val="29"/>
          <w:szCs w:val="29"/>
          <w:lang w:eastAsia="zh-CN"/>
        </w:rPr>
        <w:t>三、</w:t>
      </w:r>
      <w:r>
        <w:rPr>
          <w:color w:val="auto"/>
          <w:sz w:val="29"/>
          <w:szCs w:val="29"/>
        </w:rPr>
        <w:t>项目组织实施情况</w:t>
      </w:r>
      <w:bookmarkEnd w:id="6"/>
    </w:p>
    <w:p w14:paraId="7C1D961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7" w:name="heading_7"/>
      <w:r>
        <w:rPr>
          <w:rFonts w:hint="eastAsia"/>
          <w:color w:val="auto"/>
          <w:sz w:val="29"/>
          <w:szCs w:val="29"/>
          <w:lang w:eastAsia="zh-CN"/>
        </w:rPr>
        <w:t>（一）</w:t>
      </w:r>
      <w:r>
        <w:rPr>
          <w:color w:val="auto"/>
          <w:sz w:val="29"/>
          <w:szCs w:val="29"/>
        </w:rPr>
        <w:t>项目组织情况分析</w:t>
      </w:r>
      <w:bookmarkEnd w:id="7"/>
    </w:p>
    <w:p w14:paraId="1EAF0C8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各项目均按照年度工作计划与业务规程有序组织实施。人才引进补贴项目严格对照人才政策，完成资格审核、身份确认、补贴核算与发放全流程，身份确认合规率达到100％，所有流程符合政策规定。训练演练与瓦斯鉴定类业务项目，由业务科室按年度训练计划与业务规范制定实施方案，分阶段推进理论学习、实操训练、实战检验，定期抽检成效，确保项目质量达标。办公驻训场地搬迁改造项目按工程建设程序推进，依次完成图纸设计、预算评估、招投标与项目施工，当前已进入收尾阶段，预计2026年2月前完成搬迁。项目实施过程中，涉及采购、工程的事项均严格履行法定程序，项目调整按规定流程办理，项目阶段性成果按要求开展核验，整体组织规范有序。</w:t>
      </w:r>
    </w:p>
    <w:p w14:paraId="67054C7A">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8" w:name="heading_8"/>
      <w:r>
        <w:rPr>
          <w:rFonts w:hint="eastAsia"/>
          <w:color w:val="auto"/>
          <w:sz w:val="29"/>
          <w:szCs w:val="29"/>
          <w:lang w:eastAsia="zh-CN"/>
        </w:rPr>
        <w:t>（二）</w:t>
      </w:r>
      <w:r>
        <w:rPr>
          <w:color w:val="auto"/>
          <w:sz w:val="29"/>
          <w:szCs w:val="29"/>
        </w:rPr>
        <w:t>项目管理情况分析</w:t>
      </w:r>
      <w:bookmarkEnd w:id="8"/>
    </w:p>
    <w:p w14:paraId="4AFA61B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建立“业务科室抓实施、财务科室抓资金、综合科室抓监督”的项目管理机制，明确各科室职责边界，形成协同联动的管理格局。日常管理中，业务科室全程跟踪项目进度与质量，对训练类项目定期开展技能抽检与体能测试，对业务类项目动态掌握任务完成情况；财务科室同步监控资金支出进度，及时预警执行偏差；单位层面定期开展项目调度，梳理推进中的问题并督促整改。同时主动接受上级主管部门的检查考核，通过省级矿山救护队标准化考核等外部检验倒逼项目质量提升。整体项目管理制度健全、监督到位，实施成效符合预期。</w:t>
      </w:r>
    </w:p>
    <w:p w14:paraId="5A2C3B80">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9" w:name="heading_9"/>
      <w:r>
        <w:rPr>
          <w:rFonts w:hint="eastAsia"/>
          <w:color w:val="auto"/>
          <w:sz w:val="29"/>
          <w:szCs w:val="29"/>
          <w:lang w:eastAsia="zh-CN"/>
        </w:rPr>
        <w:t>四、</w:t>
      </w:r>
      <w:r>
        <w:rPr>
          <w:color w:val="auto"/>
          <w:sz w:val="29"/>
          <w:szCs w:val="29"/>
        </w:rPr>
        <w:t>资产管理情况</w:t>
      </w:r>
      <w:bookmarkEnd w:id="9"/>
    </w:p>
    <w:p w14:paraId="157A992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单位严格执行国有资产管理相关规定，全面规范资产配置、使用、处置全流程管理。</w:t>
      </w:r>
    </w:p>
    <w:p w14:paraId="431477A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制度建设方面，将资产管理纳入单位内部财务与后勤管理制度体系，明确资产购置、登记、使用、维护、处置各环节要求，落实资产管理责任。</w:t>
      </w:r>
    </w:p>
    <w:p w14:paraId="7604C90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管理措施方面，建立完整的资产台账，对固定资产逐一登记造册，定期开展资产盘点，确保账实相符；对救援车辆、专业装备等重点资产落实专人负责制，定期开展维护保养，保障装备性能完好，全年救援装备完好率保持在95％以上。</w:t>
      </w:r>
    </w:p>
    <w:p w14:paraId="0312618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配置与处置程序方面，资产配置严格对照预算标准与履职需求执行，2025年度无新增车辆，无新增单位价值50万元以上通用设备与100万元以上专用设备；资产处置严格履行报批程序，本年度无违规处置资产情况。</w:t>
      </w:r>
    </w:p>
    <w:p w14:paraId="217EDA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截至2025年末，单位共有车辆2辆，其中一般执法执勤用车1辆、特种专业技术用车1辆，各类资产运行状态良好，有效支撑了应急救援各项工作开展。</w:t>
      </w:r>
    </w:p>
    <w:p w14:paraId="31B28613">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0" w:name="heading_10"/>
      <w:r>
        <w:rPr>
          <w:rFonts w:hint="eastAsia"/>
          <w:color w:val="auto"/>
          <w:sz w:val="29"/>
          <w:szCs w:val="29"/>
          <w:lang w:eastAsia="zh-CN"/>
        </w:rPr>
        <w:t>五、</w:t>
      </w:r>
      <w:r>
        <w:rPr>
          <w:color w:val="auto"/>
          <w:sz w:val="29"/>
          <w:szCs w:val="29"/>
        </w:rPr>
        <w:t>政府性基金预算支出情况</w:t>
      </w:r>
      <w:bookmarkEnd w:id="10"/>
    </w:p>
    <w:p w14:paraId="54E02CF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2025年度，本单位无政府性基金预算拨款收入，无政府性基金预算支出。</w:t>
      </w:r>
    </w:p>
    <w:p w14:paraId="3EC50FF2">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1" w:name="heading_11"/>
      <w:r>
        <w:rPr>
          <w:rFonts w:hint="eastAsia"/>
          <w:color w:val="auto"/>
          <w:sz w:val="29"/>
          <w:szCs w:val="29"/>
          <w:lang w:eastAsia="zh-CN"/>
        </w:rPr>
        <w:t>六、</w:t>
      </w:r>
      <w:r>
        <w:rPr>
          <w:color w:val="auto"/>
          <w:sz w:val="29"/>
          <w:szCs w:val="29"/>
        </w:rPr>
        <w:t>国有资本经营预算支出情况</w:t>
      </w:r>
      <w:bookmarkEnd w:id="11"/>
    </w:p>
    <w:p w14:paraId="2316E0B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2025年度，本单位无国有资本经营预算拨款收入，无国有资本经营预算支出。</w:t>
      </w:r>
    </w:p>
    <w:p w14:paraId="1EA22C9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2" w:name="heading_12"/>
      <w:r>
        <w:rPr>
          <w:rFonts w:hint="eastAsia"/>
          <w:color w:val="auto"/>
          <w:sz w:val="29"/>
          <w:szCs w:val="29"/>
          <w:lang w:eastAsia="zh-CN"/>
        </w:rPr>
        <w:t>七、</w:t>
      </w:r>
      <w:r>
        <w:rPr>
          <w:color w:val="auto"/>
          <w:sz w:val="29"/>
          <w:szCs w:val="29"/>
        </w:rPr>
        <w:t>社会保险基金预算支出情况</w:t>
      </w:r>
      <w:bookmarkEnd w:id="12"/>
    </w:p>
    <w:p w14:paraId="51290B0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社会保险基金预算拨款收入，无社会保险基金预算支出。单位人员相关的机关事业单位基本养老保险缴费、职工基本医疗保险缴费等社保支出，全部纳入一般公共预算基本支出统筹安排与核算。</w:t>
      </w:r>
    </w:p>
    <w:p w14:paraId="0AB85400">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3" w:name="heading_13"/>
      <w:r>
        <w:rPr>
          <w:rFonts w:hint="eastAsia"/>
          <w:color w:val="auto"/>
          <w:sz w:val="29"/>
          <w:szCs w:val="29"/>
          <w:lang w:eastAsia="zh-CN"/>
        </w:rPr>
        <w:t>八、</w:t>
      </w:r>
      <w:r>
        <w:rPr>
          <w:color w:val="auto"/>
          <w:sz w:val="29"/>
          <w:szCs w:val="29"/>
        </w:rPr>
        <w:t>部门整体支出绩效情况</w:t>
      </w:r>
      <w:bookmarkEnd w:id="13"/>
    </w:p>
    <w:p w14:paraId="1B4D7D1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2025年度，部门整体支出各项绩效目标总体完成良好，综合自评得分为99分，资金使用效益显著，履职效能充分发挥，各项工作取得扎实成效。</w:t>
      </w:r>
    </w:p>
    <w:p w14:paraId="0CF0957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运行成本管控方面，全年总支出335.07万元，控制在全年预算额度内，预算执行偏差率为1.90％，整体成本可控；“三公”经费实际支出低于预算规模，厉行节约成效明显；事故处置社会成本节约率不低于0，全年未发生次生生态环境事故，成本管控与风险防控成效达标。</w:t>
      </w:r>
    </w:p>
    <w:p w14:paraId="2B33C70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管理运行效率方面，严格执行24小时值班备勤制度，全年365天不间断在岗值守，常态化开展闻警集合训练强化战备意识，突发事件响应迅速；内部财务、资产、业务、项目等各项管理制度健全，流程规范，全年各项工作均在2025年12月31日前完成，完成及时性100％，整体运转高效有序。</w:t>
      </w:r>
    </w:p>
    <w:p w14:paraId="6BB3DFC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履职效能发挥方面，全年累计参与事故应急处置及调查共7起，涵盖汽车坠河、水上交通、废弃矿井盗采窒息、生产安全车辆伤害、矿山中毒窒息等多类事故，救援处置规范达标率100％；常态化组织救援技能训练，累计覆盖110人次，队员理论水平与实操能力稳步提升；顺利通过湖南省2025年矿山救护队标准化考核，达标率100％；协助完成湖南省第三届乡镇应急能力比武，指导麻阳县吕家坪镇代表队荣获团体二等奖；圆满完成湖南省第五届旅游发展大会相关活动现场应急督导任务；落实乡村振兴帮扶责任，完成驻村工作队轮换调整，各项法定职责与交办任务均落地见效。</w:t>
      </w:r>
    </w:p>
    <w:p w14:paraId="317B2BB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社会效应方面，应急救援保障能力显著提升，高效处置各类突发事件，有效保障人民群众生命财产安全，维护全市安全生产形势稳定；指导基层应急救援队伍建设，带动全市应急救援整体能力提升；结合事故处置与宣传工作普及应急救援知识，增强社会公众安全意识，社会正面效应持续释放。</w:t>
      </w:r>
    </w:p>
    <w:p w14:paraId="7CD6906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可持续发展能力方面，队伍常态化训练、实战锤炼、标准化建设的能力提升机制稳固运行，救援能力长效支撑持续增强；办公驻训场地搬迁改造顺利推进，后续硬件保障条件将进一步改善；人才引进政策落地见效，队伍专业结构持续优化，为应急救援事业长期稳定发展筑牢了基础。</w:t>
      </w:r>
    </w:p>
    <w:p w14:paraId="64484D0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服务对象满意度方面，基层群众满意度达到94.5％，高于年度设定的90％目标，服务对象对应急救援与安全保障工作认可度较高。</w:t>
      </w:r>
    </w:p>
    <w:p w14:paraId="06D76FA4">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4" w:name="heading_14"/>
      <w:r>
        <w:rPr>
          <w:rFonts w:hint="eastAsia"/>
          <w:color w:val="auto"/>
          <w:sz w:val="29"/>
          <w:szCs w:val="29"/>
          <w:lang w:eastAsia="zh-CN"/>
        </w:rPr>
        <w:t>九、</w:t>
      </w:r>
      <w:r>
        <w:rPr>
          <w:color w:val="auto"/>
          <w:sz w:val="29"/>
          <w:szCs w:val="29"/>
        </w:rPr>
        <w:t>存在的问题及原因分析</w:t>
      </w:r>
      <w:bookmarkEnd w:id="14"/>
    </w:p>
    <w:p w14:paraId="2D5C196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（一）</w:t>
      </w:r>
      <w:r>
        <w:rPr>
          <w:rStyle w:val="18"/>
          <w:color w:val="auto"/>
          <w:sz w:val="29"/>
          <w:szCs w:val="29"/>
        </w:rPr>
        <w:t>预算编制精准性有待提升</w:t>
      </w:r>
      <w:r>
        <w:rPr>
          <w:rFonts w:ascii="Times New Roman" w:hAnsi="Times New Roman" w:eastAsia="仿宋_GB2312" w:cs="仿宋_GB2312"/>
          <w:color w:val="auto"/>
          <w:sz w:val="29"/>
          <w:szCs w:val="29"/>
        </w:rPr>
        <w:t>。年初预算与全年预算存在较大差异，部分项目预算执行率偏低，主要原因是年度内业务任务存在动态调整，部分专项工作的实际需求较年初预判发生变化，预算编制对年度工作变数的预判与统筹不够充分。</w:t>
      </w:r>
    </w:p>
    <w:p w14:paraId="18B7BF2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（二）</w:t>
      </w:r>
      <w:r>
        <w:rPr>
          <w:rStyle w:val="18"/>
          <w:color w:val="auto"/>
          <w:sz w:val="29"/>
          <w:szCs w:val="29"/>
        </w:rPr>
        <w:t>工作创新性与主动性仍有不足</w:t>
      </w:r>
      <w:r>
        <w:rPr>
          <w:rFonts w:ascii="Times New Roman" w:hAnsi="Times New Roman" w:eastAsia="仿宋_GB2312" w:cs="仿宋_GB2312"/>
          <w:color w:val="auto"/>
          <w:sz w:val="29"/>
          <w:szCs w:val="29"/>
        </w:rPr>
        <w:t>。日常应急值守、事故处置与训练任务繁重，工作精力更多投向实战保障，在管理机制创新、工作方法优化方面投入的研究力量有限，绩效管理与业务工作的深度融合仍有提升空间。</w:t>
      </w:r>
    </w:p>
    <w:p w14:paraId="1A1F610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（三）</w:t>
      </w:r>
      <w:r>
        <w:rPr>
          <w:rStyle w:val="18"/>
          <w:color w:val="auto"/>
          <w:sz w:val="29"/>
          <w:szCs w:val="29"/>
        </w:rPr>
        <w:t>人员配置与履职需求存在差距</w:t>
      </w:r>
      <w:r>
        <w:rPr>
          <w:rFonts w:ascii="Times New Roman" w:hAnsi="Times New Roman" w:eastAsia="仿宋_GB2312" w:cs="仿宋_GB2312"/>
          <w:color w:val="auto"/>
          <w:sz w:val="29"/>
          <w:szCs w:val="29"/>
        </w:rPr>
        <w:t>。单位编制22人，实际在职仅14人，人员缺口较大，一定程度上制约了训练深度拓展、业务精细化管理与工作创新推进，对队伍长期能力建设形成一定影响。</w:t>
      </w:r>
    </w:p>
    <w:p w14:paraId="533221D5">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5" w:name="heading_15"/>
      <w:r>
        <w:rPr>
          <w:rFonts w:hint="eastAsia"/>
          <w:color w:val="auto"/>
          <w:sz w:val="29"/>
          <w:szCs w:val="29"/>
          <w:lang w:eastAsia="zh-CN"/>
        </w:rPr>
        <w:t>十、</w:t>
      </w:r>
      <w:r>
        <w:rPr>
          <w:color w:val="auto"/>
          <w:sz w:val="29"/>
          <w:szCs w:val="29"/>
        </w:rPr>
        <w:t>下一步改进措施</w:t>
      </w:r>
      <w:bookmarkEnd w:id="15"/>
    </w:p>
    <w:p w14:paraId="0092D2A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（一）</w:t>
      </w:r>
      <w:r>
        <w:rPr>
          <w:rStyle w:val="18"/>
          <w:color w:val="auto"/>
          <w:sz w:val="29"/>
          <w:szCs w:val="29"/>
        </w:rPr>
        <w:t>提升预算编制精细化水平</w:t>
      </w:r>
      <w:r>
        <w:rPr>
          <w:rFonts w:ascii="Times New Roman" w:hAnsi="Times New Roman" w:eastAsia="仿宋_GB2312" w:cs="仿宋_GB2312"/>
          <w:color w:val="auto"/>
          <w:sz w:val="29"/>
          <w:szCs w:val="29"/>
        </w:rPr>
        <w:t>。在下一年度预算编制中，充分结合年度工作任务、训练计划与业务发展需求，逐项科学测算经费需求，提升预算预判的准确性；加强预算执行动态监控，定期梳理支出进度，分析执行偏差原因，及时优化支出安排，提升预算与实际业务的匹配度。</w:t>
      </w:r>
    </w:p>
    <w:p w14:paraId="1CBDFC0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（二）</w:t>
      </w:r>
      <w:r>
        <w:rPr>
          <w:rStyle w:val="18"/>
          <w:color w:val="auto"/>
          <w:sz w:val="29"/>
          <w:szCs w:val="29"/>
        </w:rPr>
        <w:t>强化创新驱动与绩效融合</w:t>
      </w:r>
      <w:r>
        <w:rPr>
          <w:rFonts w:ascii="Times New Roman" w:hAnsi="Times New Roman" w:eastAsia="仿宋_GB2312" w:cs="仿宋_GB2312"/>
          <w:color w:val="auto"/>
          <w:sz w:val="29"/>
          <w:szCs w:val="29"/>
        </w:rPr>
        <w:t>。将绩效管理深度嵌入业务工作全流程，实现绩效目标与业务计划同步制定、绩效监控与任务推进同步开展、绩效评价与工作总结同步开展；主动创新工作方法，优化训练模式与应急处置机制，增强工作的主动性与创新性，推动业务质效与管理水平双提升。</w:t>
      </w:r>
    </w:p>
    <w:p w14:paraId="0F7954A7">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（三）</w:t>
      </w:r>
      <w:r>
        <w:rPr>
          <w:rStyle w:val="18"/>
          <w:color w:val="auto"/>
          <w:sz w:val="29"/>
          <w:szCs w:val="29"/>
        </w:rPr>
        <w:t>持续加强队伍建设</w:t>
      </w:r>
      <w:r>
        <w:rPr>
          <w:rFonts w:ascii="Times New Roman" w:hAnsi="Times New Roman" w:eastAsia="仿宋_GB2312" w:cs="仿宋_GB2312"/>
          <w:color w:val="auto"/>
          <w:sz w:val="29"/>
          <w:szCs w:val="29"/>
        </w:rPr>
        <w:t>。积极争取人员补充支持，逐步缓解人员缺口压力；完善人才培养与引进机制，加大专业培训与实战锤炼力度，持续优化队伍结构，提升队伍整体专业能力与战斗力。</w:t>
      </w:r>
    </w:p>
    <w:p w14:paraId="0B061F2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bdr w:val="none" w:sz="0" w:space="0"/>
        </w:rPr>
      </w:pPr>
      <w:r>
        <w:rPr>
          <w:rStyle w:val="18"/>
          <w:rFonts w:hint="eastAsia" w:eastAsia="楷体_GB2312"/>
          <w:color w:val="auto"/>
          <w:sz w:val="29"/>
          <w:szCs w:val="29"/>
          <w:lang w:eastAsia="zh-CN"/>
        </w:rPr>
        <w:t>（四）</w:t>
      </w:r>
      <w:r>
        <w:rPr>
          <w:rStyle w:val="18"/>
          <w:color w:val="auto"/>
          <w:sz w:val="29"/>
          <w:szCs w:val="29"/>
        </w:rPr>
        <w:t>完善长效管理机制</w:t>
      </w:r>
      <w:r>
        <w:rPr>
          <w:rFonts w:ascii="Times New Roman" w:hAnsi="Times New Roman" w:eastAsia="仿宋_GB2312" w:cs="仿宋_GB2312"/>
          <w:color w:val="auto"/>
          <w:sz w:val="29"/>
          <w:szCs w:val="29"/>
        </w:rPr>
        <w:t>。进一步健全资金、资产、项目管理细则，细化管理流程，强化日常监督检查，及时发现并整改管理短板，持续提升单位内部管理规范化、精细化水平。</w:t>
      </w:r>
    </w:p>
    <w:p w14:paraId="1BA5B35A">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6" w:name="heading_16"/>
      <w:r>
        <w:rPr>
          <w:rFonts w:hint="eastAsia"/>
          <w:color w:val="auto"/>
          <w:sz w:val="29"/>
          <w:szCs w:val="29"/>
          <w:lang w:eastAsia="zh-CN"/>
        </w:rPr>
        <w:t>十一、</w:t>
      </w:r>
      <w:r>
        <w:rPr>
          <w:color w:val="auto"/>
          <w:sz w:val="29"/>
          <w:szCs w:val="29"/>
        </w:rPr>
        <w:t>绩效自评结果拟应用和公开情况</w:t>
      </w:r>
      <w:bookmarkEnd w:id="16"/>
    </w:p>
    <w:p w14:paraId="2761F2F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绩效自评结果将作为下一年度预算编制、资金分配、项目设置的重要依据，对绩效表现优良、成效显著的项目优先保障资金支持，对执行偏差较大、绩效有待提升的项目优化调整预算规模，切实发挥绩效评价的激励约束作用，推动财政资金提质增效。</w:t>
      </w:r>
      <w:r>
        <w:rPr>
          <w:rFonts w:ascii="Times New Roman" w:hAnsi="Times New Roman" w:eastAsia="仿宋_GB2312" w:cs="仿宋_GB2312"/>
          <w:color w:val="auto"/>
          <w:sz w:val="29"/>
          <w:szCs w:val="29"/>
        </w:rPr>
        <w:br w:type="textWrapping"/>
      </w:r>
      <w:r>
        <w:rPr>
          <w:rFonts w:ascii="Times New Roman" w:hAnsi="Times New Roman" w:eastAsia="仿宋_GB2312" w:cs="仿宋_GB2312"/>
          <w:color w:val="auto"/>
          <w:sz w:val="29"/>
          <w:szCs w:val="29"/>
        </w:rPr>
        <w:t>同时，将按照政务公开相关规定，依规将本部门整体支出绩效自评报告向社会公开，主动接受社会公众监督，推动绩效管理公开透明、规范运行。</w:t>
      </w:r>
    </w:p>
    <w:p w14:paraId="34421EF2">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7" w:name="heading_17"/>
      <w:r>
        <w:rPr>
          <w:rFonts w:hint="eastAsia"/>
          <w:color w:val="auto"/>
          <w:sz w:val="29"/>
          <w:szCs w:val="29"/>
          <w:lang w:eastAsia="zh-CN"/>
        </w:rPr>
        <w:t>十二、</w:t>
      </w:r>
      <w:r>
        <w:rPr>
          <w:color w:val="auto"/>
          <w:sz w:val="29"/>
          <w:szCs w:val="29"/>
        </w:rPr>
        <w:t>其他需要说明的情况</w:t>
      </w:r>
      <w:bookmarkEnd w:id="17"/>
    </w:p>
    <w:p w14:paraId="279A4CE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Fonts w:hint="eastAsia" w:cs="仿宋_GB2312"/>
          <w:color w:val="auto"/>
          <w:sz w:val="29"/>
          <w:szCs w:val="29"/>
          <w:lang w:eastAsia="zh-CN"/>
        </w:rPr>
        <w:t>1.</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本次绩效自评严格依据年度工作总结、财务决算资料、业务工作台账等真实材料开展，所有数据均有充分佐证，自评结果客观真实。</w:t>
      </w:r>
    </w:p>
    <w:p w14:paraId="6E129A8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Fonts w:hint="eastAsia" w:cs="仿宋_GB2312"/>
          <w:color w:val="auto"/>
          <w:sz w:val="29"/>
          <w:szCs w:val="29"/>
          <w:lang w:eastAsia="zh-CN"/>
        </w:rPr>
        <w:t>2.</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年度内发生的预算调整均按规定程序办理，调整流程合规，调整依据充分。</w:t>
      </w:r>
    </w:p>
    <w:p w14:paraId="04207F4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Fonts w:hint="eastAsia" w:cs="仿宋_GB2312"/>
          <w:color w:val="auto"/>
          <w:sz w:val="29"/>
          <w:szCs w:val="29"/>
          <w:lang w:eastAsia="zh-CN"/>
        </w:rPr>
        <w:t>3.</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办公驻训场地搬迁改造项目尚在有序推进，预计2026年2月完成搬迁，投入使用后将显著改善支队训练与战备条件，进一步提升应急救援保障能力。</w:t>
      </w:r>
    </w:p>
    <w:p w14:paraId="69E2B285">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color w:val="auto"/>
        </w:rPr>
      </w:pPr>
      <w:r>
        <w:rPr>
          <w:rFonts w:hint="eastAsia" w:cs="仿宋_GB2312"/>
          <w:color w:val="auto"/>
          <w:sz w:val="29"/>
          <w:szCs w:val="29"/>
          <w:lang w:eastAsia="zh-CN"/>
        </w:rPr>
        <w:t>4.</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本单位2025年度无政府性基金预算、国有资本经营预算、社会保险基金预算收支，相关情况已如实说明。</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5B842">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2639354">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62639354">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75FC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8816B3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48816B3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03FBD">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555FB">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721A69"/>
    <w:rsid w:val="3F443A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8"/>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2 Char"/>
    <w:link w:val="3"/>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4956</Words>
  <Characters>5151</Characters>
  <TotalTime>4</TotalTime>
  <ScaleCrop>false</ScaleCrop>
  <LinksUpToDate>false</LinksUpToDate>
  <CharactersWithSpaces>5284</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2026-06-28T13:36:00Z</dcterms:created>
  <dc:creator>Apache POI</dc:creator>
  <cp:lastModifiedBy>超级豆丁</cp:lastModifiedBy>
  <dcterms:modified xsi:type="dcterms:W3CDTF">2026-06-28T13:42:21Z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{"Label":"1","ContentProducer":"001191110102MACQD9K64010000","ProduceID":"7656439710190128101","ReservedCode1":"","ContentPropagator":"","PropagateID":"","ReservedCode2":""}</vt:lpwstr>
  </property>
  <property fmtid="{D5CDD505-2E9C-101B-9397-08002B2CF9AE}" pid="3" name="KSOTemplateDocerSaveRecord">
    <vt:lpwstr>eyJoZGlkIjoiYjk5ODM0YmMxOWJiYWQyNDU4MGIzYWRmYTA0ZmI5NDciLCJ1c2VySWQiOiIxNjQwNTUxMjk3In0=</vt:lpwstr>
  </property>
  <property fmtid="{D5CDD505-2E9C-101B-9397-08002B2CF9AE}" pid="4" name="KSOProductBuildVer">
    <vt:lpwstr>2052-12.1.0.26375</vt:lpwstr>
  </property>
  <property fmtid="{D5CDD505-2E9C-101B-9397-08002B2CF9AE}" pid="5" name="ICV">
    <vt:lpwstr>41F34636CA7D4FF782673BA499C2CF04_13</vt:lpwstr>
  </property>
</Properties>
</file>