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AD3FEF">
      <w:pPr>
        <w:pStyle w:val="2"/>
        <w:jc w:val="center"/>
        <w:rPr>
          <w:rFonts w:hint="eastAsia" w:ascii="方正小标宋_GBK" w:hAnsi="方正小标宋_GBK" w:eastAsia="方正小标宋_GBK" w:cs="方正小标宋_GBK"/>
          <w:sz w:val="84"/>
          <w:szCs w:val="84"/>
        </w:rPr>
      </w:pPr>
    </w:p>
    <w:p w14:paraId="09115600">
      <w:pPr>
        <w:pStyle w:val="2"/>
        <w:jc w:val="center"/>
        <w:rPr>
          <w:rFonts w:hint="eastAsia" w:ascii="方正小标宋_GBK" w:hAnsi="方正小标宋_GBK" w:eastAsia="方正小标宋_GBK" w:cs="方正小标宋_GBK"/>
          <w:sz w:val="84"/>
          <w:szCs w:val="84"/>
        </w:rPr>
      </w:pPr>
    </w:p>
    <w:p w14:paraId="71C2B8B4">
      <w:pPr>
        <w:pStyle w:val="2"/>
        <w:jc w:val="center"/>
        <w:rPr>
          <w:rFonts w:hint="eastAsia" w:ascii="方正小标宋_GBK" w:hAnsi="方正小标宋_GBK" w:eastAsia="方正小标宋_GBK" w:cs="方正小标宋_GBK"/>
          <w:sz w:val="84"/>
          <w:szCs w:val="84"/>
        </w:rPr>
      </w:pPr>
    </w:p>
    <w:p w14:paraId="37DCB0A6">
      <w:pPr>
        <w:pStyle w:val="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14:paraId="0C5C5FDB">
      <w:pPr>
        <w:pStyle w:val="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怀化市应急管理局</w:t>
      </w:r>
      <w:r>
        <w:rPr>
          <w:rFonts w:hint="eastAsia" w:ascii="方正小标宋_GBK" w:hAnsi="方正小标宋_GBK" w:eastAsia="方正小标宋_GBK" w:cs="方正小标宋_GBK"/>
          <w:sz w:val="84"/>
          <w:szCs w:val="84"/>
        </w:rPr>
        <w:t>部门决算</w:t>
      </w:r>
    </w:p>
    <w:p w14:paraId="04804B85">
      <w:pPr>
        <w:pStyle w:val="2"/>
        <w:jc w:val="center"/>
        <w:rPr>
          <w:rFonts w:hint="eastAsia" w:ascii="方正小标宋_GBK" w:hAnsi="方正小标宋_GBK" w:eastAsia="方正小标宋_GBK" w:cs="方正小标宋_GBK"/>
          <w:sz w:val="56"/>
          <w:szCs w:val="56"/>
        </w:rPr>
      </w:pPr>
    </w:p>
    <w:p w14:paraId="28EF6B29">
      <w:pPr>
        <w:pStyle w:val="2"/>
        <w:jc w:val="center"/>
        <w:rPr>
          <w:sz w:val="56"/>
          <w:szCs w:val="56"/>
        </w:rPr>
      </w:pPr>
    </w:p>
    <w:p w14:paraId="096EDD60">
      <w:pPr>
        <w:pStyle w:val="2"/>
        <w:jc w:val="center"/>
        <w:rPr>
          <w:sz w:val="56"/>
          <w:szCs w:val="56"/>
        </w:rPr>
      </w:pPr>
    </w:p>
    <w:p w14:paraId="56CC8221">
      <w:pPr>
        <w:pStyle w:val="2"/>
        <w:jc w:val="center"/>
        <w:rPr>
          <w:sz w:val="56"/>
          <w:szCs w:val="56"/>
        </w:rPr>
      </w:pPr>
    </w:p>
    <w:p w14:paraId="095A5CF8">
      <w:pPr>
        <w:pStyle w:val="2"/>
        <w:jc w:val="center"/>
        <w:rPr>
          <w:sz w:val="32"/>
          <w:szCs w:val="32"/>
        </w:rPr>
      </w:pPr>
    </w:p>
    <w:p w14:paraId="3DD1DBE3">
      <w:pPr>
        <w:pStyle w:val="2"/>
        <w:jc w:val="center"/>
        <w:rPr>
          <w:sz w:val="32"/>
          <w:szCs w:val="32"/>
        </w:rPr>
      </w:pPr>
    </w:p>
    <w:p w14:paraId="0CEC046A">
      <w:pPr>
        <w:pStyle w:val="2"/>
        <w:jc w:val="center"/>
        <w:rPr>
          <w:sz w:val="32"/>
          <w:szCs w:val="32"/>
        </w:rPr>
      </w:pPr>
    </w:p>
    <w:p w14:paraId="0B6DF60F">
      <w:pPr>
        <w:pStyle w:val="2"/>
        <w:jc w:val="center"/>
        <w:rPr>
          <w:sz w:val="32"/>
          <w:szCs w:val="32"/>
        </w:rPr>
      </w:pPr>
    </w:p>
    <w:p w14:paraId="269429D4">
      <w:pPr>
        <w:pStyle w:val="2"/>
        <w:jc w:val="center"/>
        <w:rPr>
          <w:sz w:val="32"/>
          <w:szCs w:val="32"/>
        </w:rPr>
      </w:pPr>
    </w:p>
    <w:p w14:paraId="793B5260">
      <w:pPr>
        <w:pStyle w:val="2"/>
        <w:spacing w:line="500" w:lineRule="exact"/>
        <w:jc w:val="both"/>
        <w:rPr>
          <w:b/>
          <w:sz w:val="36"/>
          <w:szCs w:val="28"/>
        </w:rPr>
      </w:pPr>
    </w:p>
    <w:p w14:paraId="3422AB5F">
      <w:pPr>
        <w:pStyle w:val="2"/>
        <w:spacing w:line="500" w:lineRule="exact"/>
        <w:jc w:val="center"/>
        <w:rPr>
          <w:b/>
          <w:sz w:val="36"/>
          <w:szCs w:val="28"/>
        </w:rPr>
      </w:pPr>
      <w:r>
        <w:rPr>
          <w:rFonts w:hint="eastAsia"/>
          <w:b/>
          <w:sz w:val="36"/>
          <w:szCs w:val="28"/>
        </w:rPr>
        <w:t>目录</w:t>
      </w:r>
    </w:p>
    <w:p w14:paraId="09B559D8">
      <w:pPr>
        <w:pStyle w:val="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怀化市应急管理局</w:t>
      </w:r>
      <w:r>
        <w:rPr>
          <w:rFonts w:hint="eastAsia" w:ascii="黑体" w:hAnsi="黑体" w:eastAsia="黑体" w:cs="黑体"/>
          <w:b w:val="0"/>
          <w:bCs/>
          <w:sz w:val="28"/>
          <w:szCs w:val="28"/>
        </w:rPr>
        <w:t>概况</w:t>
      </w:r>
    </w:p>
    <w:p w14:paraId="02608A02">
      <w:pPr>
        <w:pStyle w:val="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523FCF49">
      <w:pPr>
        <w:pStyle w:val="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5523BFD5">
      <w:pPr>
        <w:pStyle w:val="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51974BFC">
      <w:pPr>
        <w:pStyle w:val="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7C12042F">
      <w:pPr>
        <w:pStyle w:val="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543A4875">
      <w:pPr>
        <w:pStyle w:val="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19EB189F">
      <w:pPr>
        <w:pStyle w:val="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2E97B768">
      <w:pPr>
        <w:pStyle w:val="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5E511438">
      <w:pPr>
        <w:pStyle w:val="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51ED80F3">
      <w:pPr>
        <w:pStyle w:val="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12E4B3BF">
      <w:pPr>
        <w:pStyle w:val="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065999B2">
      <w:pPr>
        <w:pStyle w:val="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26A0C3F6">
      <w:pPr>
        <w:pStyle w:val="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404EFFD3">
      <w:pPr>
        <w:pStyle w:val="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0F58BC76">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7E9236B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1F1CD39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113B70F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6EC8525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7B4EE57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4560A9F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101E8DE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362A9BA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6BB33137">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20A95471">
      <w:pPr>
        <w:pStyle w:val="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4C1EF96A">
      <w:pPr>
        <w:pStyle w:val="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4</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6418F85A">
      <w:pPr>
        <w:pStyle w:val="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1A74B930">
      <w:pPr>
        <w:pStyle w:val="2"/>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7EBBB980">
      <w:pPr>
        <w:pStyle w:val="2"/>
        <w:spacing w:line="500" w:lineRule="exact"/>
        <w:rPr>
          <w:rFonts w:hint="eastAsia" w:ascii="黑体" w:hAnsi="黑体" w:eastAsia="黑体" w:cs="黑体"/>
          <w:b w:val="0"/>
          <w:bCs/>
          <w:sz w:val="28"/>
          <w:szCs w:val="28"/>
        </w:rPr>
      </w:pPr>
    </w:p>
    <w:p w14:paraId="3114A16F">
      <w:pPr>
        <w:jc w:val="center"/>
        <w:rPr>
          <w:sz w:val="72"/>
          <w:szCs w:val="72"/>
        </w:rPr>
      </w:pPr>
    </w:p>
    <w:p w14:paraId="5D9C82FE">
      <w:pPr>
        <w:jc w:val="center"/>
        <w:rPr>
          <w:sz w:val="72"/>
          <w:szCs w:val="72"/>
        </w:rPr>
      </w:pPr>
    </w:p>
    <w:p w14:paraId="1D330BCB">
      <w:pPr>
        <w:jc w:val="center"/>
        <w:rPr>
          <w:sz w:val="72"/>
          <w:szCs w:val="72"/>
        </w:rPr>
      </w:pPr>
    </w:p>
    <w:p w14:paraId="03B60B6D">
      <w:pPr>
        <w:jc w:val="center"/>
        <w:rPr>
          <w:sz w:val="72"/>
          <w:szCs w:val="72"/>
        </w:rPr>
      </w:pPr>
    </w:p>
    <w:p w14:paraId="79F0C14D">
      <w:pPr>
        <w:rPr>
          <w:rFonts w:hint="eastAsia" w:ascii="方正小标宋_GBK" w:hAnsi="方正小标宋_GBK" w:eastAsia="方正小标宋_GBK" w:cs="方正小标宋_GBK"/>
          <w:sz w:val="72"/>
          <w:szCs w:val="72"/>
        </w:rPr>
      </w:pPr>
    </w:p>
    <w:p w14:paraId="2CE07B57">
      <w:pPr>
        <w:pStyle w:val="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3A6FF459">
      <w:pPr>
        <w:pStyle w:val="2"/>
        <w:jc w:val="center"/>
        <w:rPr>
          <w:rFonts w:hint="eastAsia" w:ascii="方正小标宋_GBK" w:hAnsi="方正小标宋_GBK" w:eastAsia="方正小标宋_GBK" w:cs="方正小标宋_GBK"/>
          <w:sz w:val="84"/>
          <w:szCs w:val="84"/>
        </w:rPr>
      </w:pPr>
    </w:p>
    <w:p w14:paraId="630ECE98">
      <w:pPr>
        <w:pStyle w:val="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怀化市应急管理局</w:t>
      </w:r>
      <w:r>
        <w:rPr>
          <w:rFonts w:hint="eastAsia" w:ascii="方正小标宋_GBK" w:hAnsi="方正小标宋_GBK" w:eastAsia="方正小标宋_GBK" w:cs="方正小标宋_GBK"/>
          <w:sz w:val="84"/>
          <w:szCs w:val="84"/>
        </w:rPr>
        <w:t>概况</w:t>
      </w:r>
    </w:p>
    <w:p w14:paraId="15A1BD3D">
      <w:pPr>
        <w:jc w:val="center"/>
        <w:rPr>
          <w:rFonts w:hint="eastAsia" w:ascii="方正小标宋_GBK" w:hAnsi="方正小标宋_GBK" w:eastAsia="方正小标宋_GBK" w:cs="方正小标宋_GBK"/>
          <w:sz w:val="72"/>
          <w:szCs w:val="72"/>
        </w:rPr>
      </w:pPr>
    </w:p>
    <w:p w14:paraId="5BA6453F">
      <w:pPr>
        <w:jc w:val="center"/>
        <w:rPr>
          <w:rFonts w:hint="eastAsia" w:ascii="方正小标宋_GBK" w:hAnsi="方正小标宋_GBK" w:eastAsia="方正小标宋_GBK" w:cs="方正小标宋_GBK"/>
          <w:sz w:val="72"/>
          <w:szCs w:val="72"/>
        </w:rPr>
      </w:pPr>
    </w:p>
    <w:p w14:paraId="274C3882">
      <w:pPr>
        <w:jc w:val="center"/>
        <w:rPr>
          <w:sz w:val="72"/>
          <w:szCs w:val="72"/>
        </w:rPr>
      </w:pPr>
    </w:p>
    <w:p w14:paraId="0D3D1A5F">
      <w:pPr>
        <w:jc w:val="center"/>
        <w:rPr>
          <w:sz w:val="72"/>
          <w:szCs w:val="72"/>
        </w:rPr>
      </w:pPr>
    </w:p>
    <w:p w14:paraId="706F59FA">
      <w:pPr>
        <w:pStyle w:val="6"/>
        <w:numPr>
          <w:ilvl w:val="0"/>
          <w:numId w:val="0"/>
        </w:numPr>
        <w:ind w:leftChars="0"/>
        <w:jc w:val="left"/>
        <w:rPr>
          <w:rFonts w:hint="eastAsia" w:ascii="黑体" w:hAnsi="黑体" w:eastAsia="黑体" w:cs="黑体"/>
          <w:b w:val="0"/>
          <w:bCs w:val="0"/>
          <w:sz w:val="32"/>
          <w:szCs w:val="32"/>
        </w:rPr>
      </w:pPr>
    </w:p>
    <w:p w14:paraId="69803983">
      <w:pPr>
        <w:pStyle w:val="6"/>
        <w:numPr>
          <w:ilvl w:val="0"/>
          <w:numId w:val="0"/>
        </w:numPr>
        <w:ind w:firstLine="1280" w:firstLineChars="400"/>
        <w:jc w:val="left"/>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部门职责</w:t>
      </w:r>
    </w:p>
    <w:p w14:paraId="42D02D4E">
      <w:pPr>
        <w:numPr>
          <w:ilvl w:val="0"/>
          <w:numId w:val="1"/>
        </w:numPr>
        <w:ind w:left="830" w:leftChars="0" w:firstLine="640" w:firstLineChars="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负责应急管理工作，指导全市各地各部门应对安全生产类、自然灾害类等突发事件和综合防灾减灾救灾工作。负责安全生产综合监督管理和工矿商贸行业（含煤矿）安全生产监督管理工作。</w:t>
      </w:r>
    </w:p>
    <w:p w14:paraId="1B9D2709">
      <w:pPr>
        <w:numPr>
          <w:ilvl w:val="0"/>
          <w:numId w:val="1"/>
        </w:numPr>
        <w:ind w:left="830" w:leftChars="0" w:firstLine="640" w:firstLineChars="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贯彻实施相关法律法规、部门规章、规程和标准，组织编制全市应急体系建设、安全生产和综合防灾减灾规划，组织起草有关地方性法规、政府规章草案，组织拟订相关政策、规程和标准并监督实施。</w:t>
      </w:r>
    </w:p>
    <w:p w14:paraId="7F2B1835">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指导应急预案体系建设，建立完善事故灾难和自然灾害分级应对制度，组织编制怀化市总体应急预案和安全生产类、自然灾害类专项预案，综合协调应急预案衔接工作，组织开展预案演练，推动应急避难设施建设。</w:t>
      </w:r>
    </w:p>
    <w:p w14:paraId="3A19F2CC">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牵头推进全市统一的应急管理信息系统建设，负责信息传输渠道的规划和布局，建立监测预警和灾情报告制度，健全自然灾害信息资源获取和共享机制，依法统一发布灾情。</w:t>
      </w:r>
    </w:p>
    <w:p w14:paraId="79012501">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组织指导协调安全生产类、自然灾害类等突发事件应急救援，承担市应对较大灾害指挥部工作，综合研判突发事件发展态势并提出应对建议，协助市委、市政府指定的负责同志组织较大及以上灾害应急处置工作。</w:t>
      </w:r>
    </w:p>
    <w:p w14:paraId="4E24FBB9">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统一协调指挥各类应急专业队伍，建立应急协调联动机制，推进指挥平台对接，负责做好解放军和武警部队参与应急救援相关衔接工作。</w:t>
      </w:r>
    </w:p>
    <w:p w14:paraId="4170F4C6">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统筹全市应急救援力量建设，负责消防、森林和草原火灾扑救、抗洪抢险、地震和地质灾害救援、生产安全事故救援等专业应急救援力量建设，依权限做好驻市综合性应急救援队伍建设的相关工作，指导地方及社会应急救援力量建设。</w:t>
      </w:r>
    </w:p>
    <w:p w14:paraId="35A2E309">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负责全市消防管理有关工作，指导地方消防监督、火灾预防、火灾扑救等工作。</w:t>
      </w:r>
    </w:p>
    <w:p w14:paraId="7C5772FE">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指导协调全市森林和草原火灾、水旱灾害、地震和地质灾害等防治工作，负责自然灾害综合监测预警工作，指导开展自然灾害综合风险评估工作。</w:t>
      </w:r>
    </w:p>
    <w:p w14:paraId="386560D4">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组织协调灾害救助工作，组织指导灾情核查、损失评估、救灾捐赠工作，按权限管理、分配中央和省下达及市级救灾款物并监督使用。</w:t>
      </w:r>
    </w:p>
    <w:p w14:paraId="6DEC78E2">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依法行使安全生产综合监督管理职权，指导协调、监督检查市政府有关部门和各县市人民政府（经开区管委会）安全生产工作，组织开展安全生产巡查、考核工作。</w:t>
      </w:r>
    </w:p>
    <w:p w14:paraId="75933CE3">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按照分级、属地原则，依法监督检查工矿商贸生产经营单位贯彻执行安全生产法律法规情况及其安全生产条件和有关设备（特种设备除外）、材料、劳动防护用品的安全生产管理工作。负责监督管理工矿商贸行业市属企业安全生产工作。依法组织并指导监督实施安全生产准入制度。负责危险化学品安全 监督管理综合工作和烟花爆竹安全生产监督管理工作。</w:t>
      </w:r>
    </w:p>
    <w:p w14:paraId="492719F7">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负责全市非煤矿山安全生产地方监管和非煤矿山安全基础管理监督指导工作。</w:t>
      </w:r>
    </w:p>
    <w:p w14:paraId="0D5D5C6E">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依法组织指导生产安全事故调查处理，监督事故查处和责任追究落实情况。组织开展自然灾害类突发事件的调查评估工作。</w:t>
      </w:r>
    </w:p>
    <w:p w14:paraId="1FDE5474">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开展应急管理对外交流与合作，组织参与安全生产类、自然灾害类等突发事件的对外救援工作。</w:t>
      </w:r>
    </w:p>
    <w:p w14:paraId="133B9E1C">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制定全市应急物资储备和应急救援装备规划并组织实施，会同市粮食和物资储备局等部门建立健全应急物资信息平台和调拨制度，在救灾时统一调度。</w:t>
      </w:r>
    </w:p>
    <w:p w14:paraId="7342599E">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负责应急管理、安全生产宣传教育和培训工作，组织指导应急管理、安全生产的科学技术研究、推广应用和信息化建设工作。</w:t>
      </w:r>
    </w:p>
    <w:p w14:paraId="0FECD869">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承担市防汛抗旱指挥部日常工作，协调市防汛抗旱指挥部成员单位的相关工作，组织执行国家防汛抗旱总指挥部、省防汛抗旱指挥部、相关流域防汛抗旱指挥机构和市防汛抗旱指挥部的指示、命令。</w:t>
      </w:r>
    </w:p>
    <w:p w14:paraId="47F4A783">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完成市委、市政府交办的其他任务。</w:t>
      </w:r>
    </w:p>
    <w:p w14:paraId="6F4C3DE5">
      <w:pPr>
        <w:numPr>
          <w:ilvl w:val="0"/>
          <w:numId w:val="1"/>
        </w:numPr>
        <w:ind w:left="830" w:leftChars="0" w:firstLine="640" w:firstLineChars="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auto"/>
          <w:sz w:val="32"/>
          <w:szCs w:val="32"/>
          <w:lang w:val="en-US" w:eastAsia="zh-CN"/>
        </w:rPr>
        <w:t>职能转变。市应急局应加强、优化、统筹全市应急能力建设，构建统一领导、权责一致、权威高效的应急能力体系，推动形成统一指挥、专常兼备、反应灵敏、上下联动、平战结合的中国特色应急管理体制。坚持以防为主、防抗救结合，坚持常态减灾和非常态救灾相统一，努力实现从注重灾后救助向注重灾前预防转变，从应对单一灾种向综合减灾转变，从减少灾害损失向减轻灾害风险转变，提高全市应急管理水平和防灾减灾救灾能力，防范化解重特大安全风险。坚持以人为本，把确保人民群众生命安全放在首位，确保受灾群众基本生活，加强应急预案演练, 增强全民防灾减灾意识，提升公众知识普及和自救互救技能，切实减少人员伤亡和财产损失。树立安全发展理念，坚持生命至上、安全第一，完善安全生产责任制，坚决遏制重特大安全事故。</w:t>
      </w:r>
    </w:p>
    <w:p w14:paraId="054A2970">
      <w:pPr>
        <w:widowControl/>
        <w:spacing w:line="600" w:lineRule="exact"/>
        <w:ind w:firstLine="640" w:firstLineChars="200"/>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092A3811">
      <w:pPr>
        <w:keepNext w:val="0"/>
        <w:keepLines w:val="0"/>
        <w:pageBreakBefore w:val="0"/>
        <w:widowControl/>
        <w:shd w:val="clear" w:color="auto" w:fill="auto"/>
        <w:kinsoku/>
        <w:wordWrap/>
        <w:overflowPunct/>
        <w:topLinePunct w:val="0"/>
        <w:autoSpaceDE/>
        <w:autoSpaceDN/>
        <w:bidi w:val="0"/>
        <w:adjustRightInd/>
        <w:snapToGrid/>
        <w:spacing w:line="620" w:lineRule="exact"/>
        <w:ind w:firstLine="640" w:firstLineChars="200"/>
        <w:jc w:val="left"/>
        <w:textAlignment w:val="center"/>
        <w:rPr>
          <w:rFonts w:hint="eastAsia" w:ascii="仿宋_GB2312" w:hAnsi="仿宋_GB2312" w:eastAsia="仿宋_GB2312" w:cs="仿宋_GB2312"/>
          <w:bCs/>
          <w:color w:val="auto"/>
          <w:kern w:val="0"/>
          <w:sz w:val="32"/>
          <w:szCs w:val="32"/>
          <w:lang w:val="en-US" w:eastAsia="zh-CN"/>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color w:val="auto"/>
          <w:kern w:val="0"/>
          <w:sz w:val="32"/>
          <w:szCs w:val="32"/>
          <w:lang w:eastAsia="zh-CN"/>
        </w:rPr>
        <w:t>怀化市应急管理局</w:t>
      </w:r>
      <w:r>
        <w:rPr>
          <w:rFonts w:hint="eastAsia" w:ascii="Times New Roman" w:hAnsi="Times New Roman" w:eastAsia="仿宋_GB2312" w:cs="仿宋_GB2312"/>
          <w:bCs/>
          <w:color w:val="auto"/>
          <w:kern w:val="0"/>
          <w:sz w:val="32"/>
          <w:szCs w:val="32"/>
        </w:rPr>
        <w:t>内设机构包括：</w:t>
      </w:r>
      <w:r>
        <w:rPr>
          <w:rFonts w:hint="eastAsia" w:ascii="仿宋_GB2312" w:hAnsi="仿宋_GB2312" w:eastAsia="仿宋_GB2312" w:cs="仿宋_GB2312"/>
          <w:color w:val="auto"/>
          <w:sz w:val="32"/>
          <w:szCs w:val="32"/>
          <w:lang w:val="en-US" w:eastAsia="zh-CN"/>
        </w:rPr>
        <w:t>内设办公室（党委办公室）、应急指挥中心（科技和信息化科）、人事科、新闻宣传和教育培训科、风险监测和综合减灾科、救援协调和预案管理科、火灾防治管理科、防汛抗旱科（地震和地质灾害救援科）、危险化学品安全监督管理科（烟花爆竹安全监督管理科）、矿山安全监督管理科、工贸行业安全监督管理科、安全生产综合协调科（调查评估和统计科）、救灾和物资保障科、政策法规科、规划财务科、政治部、机关党委17个内设科室。二级单位包括应急事务中心、执法支队、专业应急救援支队、市地震局。截止2025年12月31日，本部门及直属机构经市编委核定的全额编制为61个，其中行政编制42个，全额拨款事业编制19个。本部门期末实有在职人员61人。</w:t>
      </w:r>
    </w:p>
    <w:p w14:paraId="6EF24E29">
      <w:pPr>
        <w:widowControl/>
        <w:spacing w:line="600" w:lineRule="exact"/>
        <w:ind w:firstLine="640" w:firstLineChars="200"/>
        <w:rPr>
          <w:rFonts w:hint="eastAsia" w:ascii="Times New Roman" w:hAnsi="Times New Roman" w:eastAsia="仿宋_GB2312" w:cs="仿宋_GB2312"/>
          <w:bCs/>
          <w:color w:val="auto"/>
          <w:kern w:val="0"/>
          <w:sz w:val="32"/>
          <w:szCs w:val="32"/>
          <w:lang w:eastAsia="zh-CN"/>
        </w:rPr>
      </w:pPr>
      <w:r>
        <w:rPr>
          <w:rFonts w:hint="eastAsia" w:ascii="Times New Roman" w:hAnsi="Times New Roman" w:eastAsia="仿宋_GB2312" w:cs="仿宋_GB2312"/>
          <w:bCs/>
          <w:color w:val="auto"/>
          <w:kern w:val="0"/>
          <w:sz w:val="32"/>
          <w:szCs w:val="32"/>
        </w:rPr>
        <w:t>（二）决算单位构成。</w:t>
      </w:r>
      <w:r>
        <w:rPr>
          <w:rFonts w:hint="eastAsia" w:ascii="Times New Roman" w:hAnsi="Times New Roman" w:eastAsia="仿宋_GB2312" w:cs="仿宋_GB2312"/>
          <w:bCs/>
          <w:color w:val="auto"/>
          <w:kern w:val="0"/>
          <w:sz w:val="32"/>
          <w:szCs w:val="32"/>
          <w:lang w:eastAsia="zh-CN"/>
        </w:rPr>
        <w:t>怀化市应急管理局</w:t>
      </w:r>
      <w:r>
        <w:rPr>
          <w:rFonts w:hint="eastAsia" w:ascii="Times New Roman" w:hAnsi="Times New Roman" w:eastAsia="仿宋_GB2312" w:cs="仿宋_GB2312"/>
          <w:bCs/>
          <w:color w:val="auto"/>
          <w:kern w:val="0"/>
          <w:sz w:val="32"/>
          <w:szCs w:val="32"/>
          <w:lang w:val="en-US" w:eastAsia="zh-CN"/>
        </w:rPr>
        <w:t>2</w:t>
      </w:r>
      <w:r>
        <w:rPr>
          <w:rFonts w:hint="eastAsia" w:ascii="Times New Roman" w:hAnsi="Times New Roman" w:eastAsia="仿宋_GB2312" w:cs="仿宋_GB2312"/>
          <w:bCs/>
          <w:color w:val="auto"/>
          <w:kern w:val="0"/>
          <w:sz w:val="32"/>
          <w:szCs w:val="32"/>
        </w:rPr>
        <w:t>02</w:t>
      </w:r>
      <w:r>
        <w:rPr>
          <w:rFonts w:hint="eastAsia" w:ascii="Times New Roman" w:hAnsi="Times New Roman" w:eastAsia="仿宋_GB2312" w:cs="仿宋_GB2312"/>
          <w:bCs/>
          <w:color w:val="auto"/>
          <w:kern w:val="0"/>
          <w:sz w:val="32"/>
          <w:szCs w:val="32"/>
          <w:lang w:val="en-US" w:eastAsia="zh-CN"/>
        </w:rPr>
        <w:t>5</w:t>
      </w:r>
      <w:r>
        <w:rPr>
          <w:rFonts w:hint="eastAsia" w:ascii="Times New Roman" w:hAnsi="Times New Roman" w:eastAsia="仿宋_GB2312" w:cs="仿宋_GB2312"/>
          <w:bCs/>
          <w:color w:val="auto"/>
          <w:kern w:val="0"/>
          <w:sz w:val="32"/>
          <w:szCs w:val="32"/>
        </w:rPr>
        <w:t>年部门决</w:t>
      </w:r>
      <w:r>
        <w:rPr>
          <w:rFonts w:hint="eastAsia" w:ascii="Times New Roman" w:hAnsi="Times New Roman" w:eastAsia="仿宋_GB2312" w:cs="仿宋_GB2312"/>
          <w:bCs/>
          <w:color w:val="auto"/>
          <w:kern w:val="0"/>
          <w:sz w:val="32"/>
          <w:szCs w:val="32"/>
          <w:lang w:eastAsia="zh-CN"/>
        </w:rPr>
        <w:t>算</w:t>
      </w:r>
      <w:r>
        <w:rPr>
          <w:rFonts w:hint="eastAsia" w:ascii="Times New Roman" w:hAnsi="Times New Roman" w:eastAsia="仿宋_GB2312" w:cs="仿宋_GB2312"/>
          <w:bCs/>
          <w:color w:val="auto"/>
          <w:kern w:val="0"/>
          <w:sz w:val="32"/>
          <w:szCs w:val="32"/>
        </w:rPr>
        <w:t>公开单位构成包括：</w:t>
      </w:r>
      <w:r>
        <w:rPr>
          <w:rFonts w:hint="eastAsia" w:ascii="Times New Roman" w:hAnsi="Times New Roman" w:eastAsia="仿宋_GB2312" w:cs="仿宋_GB2312"/>
          <w:bCs/>
          <w:color w:val="auto"/>
          <w:kern w:val="0"/>
          <w:sz w:val="32"/>
          <w:szCs w:val="32"/>
          <w:lang w:eastAsia="zh-CN"/>
        </w:rPr>
        <w:t>怀化市应急管理局本级。</w:t>
      </w:r>
    </w:p>
    <w:p w14:paraId="64CBFF28">
      <w:pPr>
        <w:jc w:val="left"/>
        <w:rPr>
          <w:rFonts w:ascii="仿宋_GB2312" w:eastAsia="仿宋_GB2312" w:hAnsiTheme="minorEastAsia"/>
          <w:sz w:val="28"/>
          <w:szCs w:val="32"/>
        </w:rPr>
      </w:pPr>
    </w:p>
    <w:p w14:paraId="28C29CDE">
      <w:pPr>
        <w:jc w:val="center"/>
        <w:rPr>
          <w:rFonts w:ascii="黑体" w:hAnsi="黑体" w:eastAsia="黑体"/>
          <w:sz w:val="28"/>
          <w:szCs w:val="28"/>
        </w:rPr>
      </w:pPr>
    </w:p>
    <w:p w14:paraId="4F51023D">
      <w:pPr>
        <w:jc w:val="center"/>
        <w:rPr>
          <w:rFonts w:ascii="黑体" w:hAnsi="黑体" w:eastAsia="黑体"/>
          <w:sz w:val="28"/>
          <w:szCs w:val="28"/>
        </w:rPr>
      </w:pPr>
    </w:p>
    <w:p w14:paraId="42FC8682">
      <w:pPr>
        <w:jc w:val="center"/>
        <w:rPr>
          <w:rFonts w:ascii="黑体" w:hAnsi="黑体" w:eastAsia="黑体"/>
          <w:sz w:val="28"/>
          <w:szCs w:val="28"/>
        </w:rPr>
      </w:pPr>
    </w:p>
    <w:p w14:paraId="5B5544A0">
      <w:pPr>
        <w:jc w:val="center"/>
        <w:rPr>
          <w:rFonts w:ascii="黑体" w:hAnsi="黑体" w:eastAsia="黑体"/>
          <w:sz w:val="28"/>
          <w:szCs w:val="28"/>
        </w:rPr>
      </w:pPr>
    </w:p>
    <w:p w14:paraId="12F45149">
      <w:pPr>
        <w:jc w:val="center"/>
        <w:rPr>
          <w:rFonts w:ascii="黑体" w:hAnsi="黑体" w:eastAsia="黑体"/>
          <w:sz w:val="28"/>
          <w:szCs w:val="28"/>
        </w:rPr>
      </w:pPr>
    </w:p>
    <w:p w14:paraId="5FEEDB4B">
      <w:pPr>
        <w:jc w:val="center"/>
        <w:rPr>
          <w:rFonts w:ascii="黑体" w:hAnsi="黑体" w:eastAsia="黑体"/>
          <w:sz w:val="28"/>
          <w:szCs w:val="28"/>
        </w:rPr>
      </w:pPr>
    </w:p>
    <w:p w14:paraId="4E0D51BE">
      <w:pPr>
        <w:jc w:val="center"/>
        <w:rPr>
          <w:rFonts w:ascii="黑体" w:hAnsi="黑体" w:eastAsia="黑体"/>
          <w:sz w:val="28"/>
          <w:szCs w:val="28"/>
        </w:rPr>
      </w:pPr>
    </w:p>
    <w:p w14:paraId="5C6416A2">
      <w:pPr>
        <w:jc w:val="center"/>
        <w:rPr>
          <w:rFonts w:ascii="黑体" w:hAnsi="黑体" w:eastAsia="黑体"/>
          <w:sz w:val="28"/>
          <w:szCs w:val="28"/>
        </w:rPr>
      </w:pPr>
    </w:p>
    <w:p w14:paraId="16A48179">
      <w:pPr>
        <w:jc w:val="center"/>
        <w:rPr>
          <w:rFonts w:ascii="黑体" w:hAnsi="黑体" w:eastAsia="黑体"/>
          <w:sz w:val="28"/>
          <w:szCs w:val="28"/>
        </w:rPr>
      </w:pPr>
    </w:p>
    <w:p w14:paraId="50611B3A">
      <w:pPr>
        <w:jc w:val="center"/>
        <w:rPr>
          <w:rFonts w:ascii="黑体" w:hAnsi="黑体" w:eastAsia="黑体"/>
          <w:sz w:val="28"/>
          <w:szCs w:val="28"/>
        </w:rPr>
      </w:pPr>
    </w:p>
    <w:p w14:paraId="600A603A">
      <w:pPr>
        <w:jc w:val="center"/>
        <w:rPr>
          <w:rFonts w:ascii="黑体" w:hAnsi="黑体" w:eastAsia="黑体"/>
          <w:sz w:val="28"/>
          <w:szCs w:val="28"/>
        </w:rPr>
      </w:pPr>
    </w:p>
    <w:p w14:paraId="223A811A">
      <w:pPr>
        <w:jc w:val="center"/>
        <w:rPr>
          <w:rFonts w:ascii="黑体" w:hAnsi="黑体" w:eastAsia="黑体"/>
          <w:sz w:val="28"/>
          <w:szCs w:val="28"/>
        </w:rPr>
      </w:pPr>
    </w:p>
    <w:p w14:paraId="418870C7">
      <w:pPr>
        <w:jc w:val="center"/>
        <w:rPr>
          <w:sz w:val="72"/>
          <w:szCs w:val="72"/>
        </w:rPr>
      </w:pPr>
    </w:p>
    <w:p w14:paraId="634BD7DA">
      <w:pPr>
        <w:jc w:val="center"/>
        <w:rPr>
          <w:sz w:val="72"/>
          <w:szCs w:val="72"/>
        </w:rPr>
      </w:pPr>
    </w:p>
    <w:p w14:paraId="430ED1D6">
      <w:pPr>
        <w:jc w:val="center"/>
        <w:rPr>
          <w:sz w:val="72"/>
          <w:szCs w:val="72"/>
        </w:rPr>
      </w:pPr>
    </w:p>
    <w:p w14:paraId="3F97DAA8">
      <w:pPr>
        <w:jc w:val="center"/>
        <w:rPr>
          <w:sz w:val="72"/>
          <w:szCs w:val="72"/>
        </w:rPr>
      </w:pPr>
    </w:p>
    <w:p w14:paraId="1A39FA5F">
      <w:pPr>
        <w:pStyle w:val="2"/>
        <w:jc w:val="center"/>
        <w:rPr>
          <w:rFonts w:hint="eastAsia" w:ascii="方正小标宋_GBK" w:hAnsi="方正小标宋_GBK" w:eastAsia="方正小标宋_GBK" w:cs="方正小标宋_GBK"/>
          <w:sz w:val="84"/>
          <w:szCs w:val="84"/>
        </w:rPr>
      </w:pPr>
    </w:p>
    <w:p w14:paraId="149897D0">
      <w:pPr>
        <w:pStyle w:val="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02E80B09">
      <w:pPr>
        <w:pStyle w:val="2"/>
        <w:jc w:val="center"/>
        <w:rPr>
          <w:rFonts w:hint="eastAsia" w:ascii="方正小标宋_GBK" w:hAnsi="方正小标宋_GBK" w:eastAsia="方正小标宋_GBK" w:cs="方正小标宋_GBK"/>
          <w:sz w:val="84"/>
          <w:szCs w:val="84"/>
        </w:rPr>
      </w:pPr>
    </w:p>
    <w:p w14:paraId="623E7791">
      <w:pPr>
        <w:pStyle w:val="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017D94C2">
      <w:pPr>
        <w:pStyle w:val="2"/>
        <w:jc w:val="center"/>
        <w:rPr>
          <w:rFonts w:hint="eastAsia" w:ascii="方正小标宋_GBK" w:hAnsi="方正小标宋_GBK" w:eastAsia="方正小标宋_GBK" w:cs="方正小标宋_GBK"/>
          <w:sz w:val="84"/>
          <w:szCs w:val="84"/>
        </w:rPr>
      </w:pPr>
    </w:p>
    <w:p w14:paraId="3BAD888E">
      <w:pPr>
        <w:jc w:val="center"/>
        <w:rPr>
          <w:rFonts w:hint="eastAsia" w:eastAsiaTheme="minorEastAsia"/>
          <w:sz w:val="72"/>
          <w:szCs w:val="72"/>
          <w:lang w:eastAsia="zh-CN"/>
        </w:rPr>
      </w:pPr>
      <w:r>
        <w:rPr>
          <w:rFonts w:hint="eastAsia"/>
          <w:sz w:val="72"/>
          <w:szCs w:val="72"/>
          <w:lang w:eastAsia="zh-CN"/>
        </w:rPr>
        <w:t>（详情见附件）</w:t>
      </w:r>
    </w:p>
    <w:p w14:paraId="1F18F630">
      <w:pPr>
        <w:widowControl/>
        <w:jc w:val="both"/>
        <w:rPr>
          <w:sz w:val="72"/>
          <w:szCs w:val="72"/>
        </w:rPr>
      </w:pPr>
    </w:p>
    <w:p w14:paraId="73192DE5">
      <w:pPr>
        <w:widowControl/>
        <w:jc w:val="both"/>
        <w:rPr>
          <w:sz w:val="72"/>
          <w:szCs w:val="72"/>
        </w:rPr>
        <w:sectPr>
          <w:pgSz w:w="11906" w:h="16838"/>
          <w:pgMar w:top="720" w:right="720" w:bottom="720" w:left="720" w:header="851" w:footer="992" w:gutter="0"/>
          <w:cols w:space="425" w:num="1"/>
          <w:docGrid w:type="lines" w:linePitch="312" w:charSpace="0"/>
        </w:sectPr>
      </w:pPr>
    </w:p>
    <w:p w14:paraId="28F2652D">
      <w:pPr>
        <w:pStyle w:val="2"/>
        <w:rPr>
          <w:sz w:val="72"/>
          <w:szCs w:val="72"/>
        </w:rPr>
      </w:pPr>
    </w:p>
    <w:p w14:paraId="6A325CF0">
      <w:pPr>
        <w:pStyle w:val="2"/>
        <w:rPr>
          <w:sz w:val="72"/>
          <w:szCs w:val="72"/>
        </w:rPr>
      </w:pPr>
    </w:p>
    <w:p w14:paraId="4B84BDD8">
      <w:pPr>
        <w:pStyle w:val="2"/>
        <w:rPr>
          <w:sz w:val="72"/>
          <w:szCs w:val="72"/>
        </w:rPr>
      </w:pPr>
    </w:p>
    <w:p w14:paraId="4F5D2524">
      <w:pPr>
        <w:pStyle w:val="2"/>
        <w:jc w:val="center"/>
        <w:rPr>
          <w:sz w:val="72"/>
          <w:szCs w:val="72"/>
        </w:rPr>
      </w:pPr>
    </w:p>
    <w:p w14:paraId="51322377">
      <w:pPr>
        <w:pStyle w:val="2"/>
        <w:jc w:val="center"/>
        <w:rPr>
          <w:rFonts w:hint="eastAsia" w:ascii="方正小标宋_GBK" w:hAnsi="方正小标宋_GBK" w:eastAsia="方正小标宋_GBK" w:cs="方正小标宋_GBK"/>
          <w:sz w:val="72"/>
          <w:szCs w:val="72"/>
        </w:rPr>
      </w:pPr>
    </w:p>
    <w:p w14:paraId="79A6BE41">
      <w:pPr>
        <w:pStyle w:val="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682D179B">
      <w:pPr>
        <w:pStyle w:val="2"/>
        <w:jc w:val="center"/>
        <w:rPr>
          <w:rFonts w:hint="eastAsia" w:ascii="方正小标宋_GBK" w:hAnsi="方正小标宋_GBK" w:eastAsia="方正小标宋_GBK" w:cs="方正小标宋_GBK"/>
          <w:sz w:val="70"/>
          <w:szCs w:val="70"/>
        </w:rPr>
      </w:pPr>
    </w:p>
    <w:p w14:paraId="57A3A491">
      <w:pPr>
        <w:pStyle w:val="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w:t>
      </w:r>
    </w:p>
    <w:p w14:paraId="3EDBE46A">
      <w:pPr>
        <w:pStyle w:val="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情况说明</w:t>
      </w:r>
    </w:p>
    <w:p w14:paraId="78E07EB4">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54419885">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08A79E9F">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年度收、支总计</w:t>
      </w:r>
      <w:r>
        <w:rPr>
          <w:rFonts w:hint="eastAsia" w:ascii="Times New Roman" w:hAnsi="Times New Roman" w:eastAsia="仿宋_GB2312"/>
          <w:color w:val="auto"/>
          <w:sz w:val="32"/>
          <w:szCs w:val="32"/>
          <w:lang w:val="en-US" w:eastAsia="zh-CN"/>
        </w:rPr>
        <w:t>2893.63</w:t>
      </w:r>
      <w:r>
        <w:rPr>
          <w:rFonts w:hint="eastAsia" w:ascii="Times New Roman" w:hAnsi="Times New Roman" w:eastAsia="仿宋_GB2312"/>
          <w:color w:val="auto"/>
          <w:sz w:val="32"/>
          <w:szCs w:val="32"/>
        </w:rPr>
        <w:t>万元。与上年相比，减少</w:t>
      </w:r>
      <w:r>
        <w:rPr>
          <w:rFonts w:hint="eastAsia" w:ascii="Times New Roman" w:hAnsi="Times New Roman" w:eastAsia="仿宋_GB2312"/>
          <w:color w:val="auto"/>
          <w:sz w:val="32"/>
          <w:szCs w:val="32"/>
          <w:lang w:val="en-US" w:eastAsia="zh-CN"/>
        </w:rPr>
        <w:t>963.1</w:t>
      </w:r>
      <w:r>
        <w:rPr>
          <w:rFonts w:hint="eastAsia" w:ascii="Times New Roman" w:hAnsi="Times New Roman" w:eastAsia="仿宋_GB2312"/>
          <w:color w:val="auto"/>
          <w:sz w:val="32"/>
          <w:szCs w:val="32"/>
        </w:rPr>
        <w:t>万元，减少</w:t>
      </w:r>
      <w:r>
        <w:rPr>
          <w:rFonts w:hint="eastAsia" w:ascii="Times New Roman" w:hAnsi="Times New Roman" w:eastAsia="仿宋_GB2312"/>
          <w:color w:val="auto"/>
          <w:sz w:val="32"/>
          <w:szCs w:val="32"/>
          <w:lang w:val="en-US" w:eastAsia="zh-CN"/>
        </w:rPr>
        <w:t>24.97</w:t>
      </w:r>
      <w:r>
        <w:rPr>
          <w:rFonts w:hint="eastAsia" w:ascii="Times New Roman" w:hAnsi="Times New Roman" w:eastAsia="仿宋_GB2312"/>
          <w:color w:val="auto"/>
          <w:sz w:val="32"/>
          <w:szCs w:val="32"/>
        </w:rPr>
        <w:t>%，主要是因为</w:t>
      </w:r>
      <w:r>
        <w:rPr>
          <w:rFonts w:hint="eastAsia" w:asciiTheme="minorEastAsia" w:hAnsiTheme="minorEastAsia" w:eastAsiaTheme="minorEastAsia"/>
          <w:color w:val="auto"/>
          <w:sz w:val="32"/>
          <w:szCs w:val="32"/>
          <w:lang w:val="en-US" w:eastAsia="zh-CN"/>
        </w:rPr>
        <w:t>：</w:t>
      </w:r>
      <w:r>
        <w:rPr>
          <w:rFonts w:hint="eastAsia" w:ascii="Times New Roman" w:hAnsi="Times New Roman" w:eastAsia="仿宋_GB2312"/>
          <w:color w:val="auto"/>
          <w:sz w:val="32"/>
          <w:szCs w:val="32"/>
          <w:lang w:val="en-US" w:eastAsia="zh-CN"/>
        </w:rPr>
        <w:t>“湖南区域应急救援怀化中心”、“怀化医疗物资储备仓库”两个中央、省级重大项目，在2021年度支付了建设进度款，2022年工程尚未完工，项目未进行审计验收，剩余30%建设款未付，2025年度项目建设进入逐步完善阶段。同时因财政资金紧张，2025年度部分预算内项目经费未下拨，已完成事项未支付资金，因此支出相对2024年度减少。</w:t>
      </w:r>
    </w:p>
    <w:p w14:paraId="3B048CE6">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二、收入决算情况说明</w:t>
      </w:r>
    </w:p>
    <w:p w14:paraId="2ED49971">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年度收入合计</w:t>
      </w:r>
      <w:r>
        <w:rPr>
          <w:rFonts w:hint="eastAsia" w:ascii="Times New Roman" w:hAnsi="Times New Roman" w:eastAsia="仿宋_GB2312"/>
          <w:color w:val="auto"/>
          <w:sz w:val="32"/>
          <w:szCs w:val="32"/>
          <w:lang w:val="en-US" w:eastAsia="zh-CN"/>
        </w:rPr>
        <w:t>2893.63</w:t>
      </w:r>
      <w:r>
        <w:rPr>
          <w:rFonts w:hint="eastAsia" w:ascii="Times New Roman" w:hAnsi="Times New Roman" w:eastAsia="仿宋_GB2312"/>
          <w:color w:val="auto"/>
          <w:sz w:val="32"/>
          <w:szCs w:val="32"/>
        </w:rPr>
        <w:t>万元，其中：财政拨款收入</w:t>
      </w:r>
      <w:r>
        <w:rPr>
          <w:rFonts w:hint="eastAsia" w:ascii="Times New Roman" w:hAnsi="Times New Roman" w:eastAsia="仿宋_GB2312"/>
          <w:color w:val="auto"/>
          <w:sz w:val="32"/>
          <w:szCs w:val="32"/>
          <w:lang w:val="en-US" w:eastAsia="zh-CN"/>
        </w:rPr>
        <w:t>2869.23</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val="en-US" w:eastAsia="zh-CN"/>
        </w:rPr>
        <w:t>99.16</w:t>
      </w:r>
      <w:r>
        <w:rPr>
          <w:rFonts w:hint="eastAsia" w:ascii="Times New Roman" w:hAnsi="Times New Roman" w:eastAsia="仿宋_GB2312"/>
          <w:color w:val="auto"/>
          <w:sz w:val="32"/>
          <w:szCs w:val="32"/>
        </w:rPr>
        <w:t>%；其他收入</w:t>
      </w:r>
      <w:r>
        <w:rPr>
          <w:rFonts w:hint="eastAsia" w:ascii="Times New Roman" w:hAnsi="Times New Roman" w:eastAsia="仿宋_GB2312"/>
          <w:color w:val="auto"/>
          <w:sz w:val="32"/>
          <w:szCs w:val="32"/>
          <w:lang w:val="en-US" w:eastAsia="zh-CN"/>
        </w:rPr>
        <w:t>24.4</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val="en-US" w:eastAsia="zh-CN"/>
        </w:rPr>
        <w:t>0.84</w:t>
      </w:r>
      <w:r>
        <w:rPr>
          <w:rFonts w:hint="eastAsia" w:ascii="Times New Roman" w:hAnsi="Times New Roman" w:eastAsia="仿宋_GB2312"/>
          <w:color w:val="auto"/>
          <w:sz w:val="32"/>
          <w:szCs w:val="32"/>
        </w:rPr>
        <w:t>%。</w:t>
      </w:r>
    </w:p>
    <w:p w14:paraId="269EB1E6">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三、支出决算情况说明</w:t>
      </w:r>
    </w:p>
    <w:p w14:paraId="0B4DA7C4">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年度支出合计</w:t>
      </w:r>
      <w:r>
        <w:rPr>
          <w:rFonts w:hint="eastAsia" w:ascii="Times New Roman" w:hAnsi="Times New Roman" w:eastAsia="仿宋_GB2312"/>
          <w:color w:val="auto"/>
          <w:sz w:val="32"/>
          <w:szCs w:val="32"/>
          <w:lang w:val="en-US" w:eastAsia="zh-CN"/>
        </w:rPr>
        <w:t>2893.63</w:t>
      </w:r>
      <w:r>
        <w:rPr>
          <w:rFonts w:hint="eastAsia" w:ascii="Times New Roman" w:hAnsi="Times New Roman" w:eastAsia="仿宋_GB2312"/>
          <w:color w:val="auto"/>
          <w:sz w:val="32"/>
          <w:szCs w:val="32"/>
        </w:rPr>
        <w:t>万元，其中：基本支出</w:t>
      </w:r>
      <w:r>
        <w:rPr>
          <w:rFonts w:hint="eastAsia" w:ascii="Times New Roman" w:hAnsi="Times New Roman" w:eastAsia="仿宋_GB2312"/>
          <w:color w:val="auto"/>
          <w:sz w:val="32"/>
          <w:szCs w:val="32"/>
          <w:lang w:val="en-US" w:eastAsia="zh-CN"/>
        </w:rPr>
        <w:t>1235.37</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val="en-US" w:eastAsia="zh-CN"/>
        </w:rPr>
        <w:t>42.69</w:t>
      </w:r>
      <w:r>
        <w:rPr>
          <w:rFonts w:hint="eastAsia" w:ascii="Times New Roman" w:hAnsi="Times New Roman" w:eastAsia="仿宋_GB2312"/>
          <w:color w:val="auto"/>
          <w:sz w:val="32"/>
          <w:szCs w:val="32"/>
        </w:rPr>
        <w:t>%；项目支出</w:t>
      </w:r>
      <w:r>
        <w:rPr>
          <w:rFonts w:hint="eastAsia" w:ascii="Times New Roman" w:hAnsi="Times New Roman" w:eastAsia="仿宋_GB2312"/>
          <w:color w:val="auto"/>
          <w:sz w:val="32"/>
          <w:szCs w:val="32"/>
          <w:lang w:val="en-US" w:eastAsia="zh-CN"/>
        </w:rPr>
        <w:t>1658.26</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val="en-US" w:eastAsia="zh-CN"/>
        </w:rPr>
        <w:t>57.31</w:t>
      </w:r>
      <w:r>
        <w:rPr>
          <w:rFonts w:hint="eastAsia" w:ascii="Times New Roman" w:hAnsi="Times New Roman" w:eastAsia="仿宋_GB2312"/>
          <w:color w:val="auto"/>
          <w:sz w:val="32"/>
          <w:szCs w:val="32"/>
        </w:rPr>
        <w:t>%。</w:t>
      </w:r>
    </w:p>
    <w:p w14:paraId="6270A6A0">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四、财政拨款收入支出决算总体情况说明</w:t>
      </w:r>
    </w:p>
    <w:p w14:paraId="27A48A63">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年度收、支总计</w:t>
      </w:r>
      <w:r>
        <w:rPr>
          <w:rFonts w:hint="eastAsia" w:ascii="Times New Roman" w:hAnsi="Times New Roman" w:eastAsia="仿宋_GB2312"/>
          <w:color w:val="auto"/>
          <w:sz w:val="32"/>
          <w:szCs w:val="32"/>
          <w:lang w:val="en-US" w:eastAsia="zh-CN"/>
        </w:rPr>
        <w:t>2869.23</w:t>
      </w:r>
      <w:r>
        <w:rPr>
          <w:rFonts w:hint="eastAsia" w:ascii="Times New Roman" w:hAnsi="Times New Roman" w:eastAsia="仿宋_GB2312"/>
          <w:color w:val="auto"/>
          <w:sz w:val="32"/>
          <w:szCs w:val="32"/>
        </w:rPr>
        <w:t>万元。与上年相比，减少</w:t>
      </w:r>
      <w:r>
        <w:rPr>
          <w:rFonts w:hint="eastAsia" w:ascii="Times New Roman" w:hAnsi="Times New Roman" w:eastAsia="仿宋_GB2312"/>
          <w:color w:val="auto"/>
          <w:sz w:val="32"/>
          <w:szCs w:val="32"/>
          <w:lang w:val="en-US" w:eastAsia="zh-CN"/>
        </w:rPr>
        <w:t>963.12</w:t>
      </w:r>
      <w:r>
        <w:rPr>
          <w:rFonts w:hint="eastAsia" w:ascii="Times New Roman" w:hAnsi="Times New Roman" w:eastAsia="仿宋_GB2312"/>
          <w:color w:val="auto"/>
          <w:sz w:val="32"/>
          <w:szCs w:val="32"/>
        </w:rPr>
        <w:t>万元，减少</w:t>
      </w:r>
      <w:r>
        <w:rPr>
          <w:rFonts w:hint="eastAsia" w:ascii="Times New Roman" w:hAnsi="Times New Roman" w:eastAsia="仿宋_GB2312"/>
          <w:color w:val="auto"/>
          <w:sz w:val="32"/>
          <w:szCs w:val="32"/>
          <w:lang w:val="en-US" w:eastAsia="zh-CN"/>
        </w:rPr>
        <w:t>25.13</w:t>
      </w:r>
      <w:r>
        <w:rPr>
          <w:rFonts w:hint="eastAsia" w:ascii="Times New Roman" w:hAnsi="Times New Roman" w:eastAsia="仿宋_GB2312"/>
          <w:color w:val="auto"/>
          <w:sz w:val="32"/>
          <w:szCs w:val="32"/>
        </w:rPr>
        <w:t>%，主要是因为</w:t>
      </w:r>
      <w:r>
        <w:rPr>
          <w:rFonts w:hint="eastAsia" w:asciiTheme="minorEastAsia" w:hAnsiTheme="minorEastAsia" w:eastAsiaTheme="minorEastAsia"/>
          <w:color w:val="auto"/>
          <w:sz w:val="32"/>
          <w:szCs w:val="32"/>
          <w:lang w:val="en-US" w:eastAsia="zh-CN"/>
        </w:rPr>
        <w:t>：</w:t>
      </w:r>
      <w:r>
        <w:rPr>
          <w:rFonts w:hint="eastAsia" w:ascii="Times New Roman" w:hAnsi="Times New Roman" w:eastAsia="仿宋_GB2312"/>
          <w:color w:val="auto"/>
          <w:sz w:val="32"/>
          <w:szCs w:val="32"/>
          <w:lang w:val="en-US" w:eastAsia="zh-CN"/>
        </w:rPr>
        <w:t>“湖南区域应急救援怀化中心”、“怀化医疗物资储备仓库”两个中央、省级重大项目，在2021年度支付了建设进度款，2022年工程尚未完工，项目未进行审计验收，剩余30%建设款未付，2025年度项目建设进入逐步完善阶段。同时因财政资金紧张，2025年度部分预算内项目经费未下拨，已完成事项未支付资金，因此支出相对2024年度减少。</w:t>
      </w:r>
    </w:p>
    <w:p w14:paraId="715C338A">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五、一般公共预算财政拨款支出决算情况说明</w:t>
      </w:r>
    </w:p>
    <w:p w14:paraId="2F23190A">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（一）一般公共预算财政拨款支出决算总体情况</w:t>
      </w:r>
    </w:p>
    <w:p w14:paraId="3DFE8CB6">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年度收、支总计</w:t>
      </w:r>
      <w:r>
        <w:rPr>
          <w:rFonts w:hint="eastAsia" w:ascii="Times New Roman" w:hAnsi="Times New Roman" w:eastAsia="仿宋_GB2312"/>
          <w:color w:val="auto"/>
          <w:sz w:val="32"/>
          <w:szCs w:val="32"/>
          <w:lang w:val="en-US" w:eastAsia="zh-CN"/>
        </w:rPr>
        <w:t>2869.23</w:t>
      </w:r>
      <w:r>
        <w:rPr>
          <w:rFonts w:hint="eastAsia" w:ascii="Times New Roman" w:hAnsi="Times New Roman" w:eastAsia="仿宋_GB2312"/>
          <w:color w:val="auto"/>
          <w:sz w:val="32"/>
          <w:szCs w:val="32"/>
        </w:rPr>
        <w:t>万元。与上年相比，减少</w:t>
      </w:r>
      <w:r>
        <w:rPr>
          <w:rFonts w:hint="eastAsia" w:ascii="Times New Roman" w:hAnsi="Times New Roman" w:eastAsia="仿宋_GB2312"/>
          <w:color w:val="auto"/>
          <w:sz w:val="32"/>
          <w:szCs w:val="32"/>
          <w:lang w:val="en-US" w:eastAsia="zh-CN"/>
        </w:rPr>
        <w:t>963.12</w:t>
      </w:r>
      <w:r>
        <w:rPr>
          <w:rFonts w:hint="eastAsia" w:ascii="Times New Roman" w:hAnsi="Times New Roman" w:eastAsia="仿宋_GB2312"/>
          <w:color w:val="auto"/>
          <w:sz w:val="32"/>
          <w:szCs w:val="32"/>
        </w:rPr>
        <w:t>万元，减少</w:t>
      </w:r>
      <w:r>
        <w:rPr>
          <w:rFonts w:hint="eastAsia" w:ascii="Times New Roman" w:hAnsi="Times New Roman" w:eastAsia="仿宋_GB2312"/>
          <w:color w:val="auto"/>
          <w:sz w:val="32"/>
          <w:szCs w:val="32"/>
          <w:lang w:val="en-US" w:eastAsia="zh-CN"/>
        </w:rPr>
        <w:t>25.13</w:t>
      </w:r>
      <w:r>
        <w:rPr>
          <w:rFonts w:hint="eastAsia" w:ascii="Times New Roman" w:hAnsi="Times New Roman" w:eastAsia="仿宋_GB2312"/>
          <w:color w:val="auto"/>
          <w:sz w:val="32"/>
          <w:szCs w:val="32"/>
        </w:rPr>
        <w:t>%，主要是因为</w:t>
      </w:r>
      <w:r>
        <w:rPr>
          <w:rFonts w:hint="eastAsia" w:asciiTheme="minorEastAsia" w:hAnsiTheme="minorEastAsia" w:eastAsiaTheme="minorEastAsia"/>
          <w:color w:val="auto"/>
          <w:sz w:val="32"/>
          <w:szCs w:val="32"/>
          <w:lang w:val="en-US" w:eastAsia="zh-CN"/>
        </w:rPr>
        <w:t>：</w:t>
      </w:r>
      <w:r>
        <w:rPr>
          <w:rFonts w:hint="eastAsia" w:ascii="Times New Roman" w:hAnsi="Times New Roman" w:eastAsia="仿宋_GB2312"/>
          <w:color w:val="auto"/>
          <w:sz w:val="32"/>
          <w:szCs w:val="32"/>
          <w:lang w:val="en-US" w:eastAsia="zh-CN"/>
        </w:rPr>
        <w:t>“湖南区域应急救援怀化中心”、“怀化医疗物资储备仓库”两个中央、省级重大项目，在2021年度支付了建设进度款，2022年工程尚未完工，项目未进行审计验收，剩余30%建设款未付，2025年度项目建设进入逐步完善阶段。同时因财政资金紧张，2025年度部分预算内项目经费未下拨，已完成事项未支付资金，因此支出相对2024年度减少。</w:t>
      </w:r>
    </w:p>
    <w:p w14:paraId="537225C9">
      <w:pPr>
        <w:pStyle w:val="2"/>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（二）一般公共预算财政拨款支出决算结构情况</w:t>
      </w:r>
    </w:p>
    <w:p w14:paraId="0D87013A">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年度财政拨款支出</w:t>
      </w:r>
      <w:r>
        <w:rPr>
          <w:rFonts w:hint="eastAsia" w:ascii="Times New Roman" w:hAnsi="Times New Roman" w:eastAsia="仿宋_GB2312"/>
          <w:color w:val="auto"/>
          <w:sz w:val="32"/>
          <w:szCs w:val="32"/>
          <w:lang w:val="en-US" w:eastAsia="zh-CN"/>
        </w:rPr>
        <w:t>2869.23</w:t>
      </w:r>
      <w:r>
        <w:rPr>
          <w:rFonts w:hint="eastAsia" w:ascii="Times New Roman" w:hAnsi="Times New Roman" w:eastAsia="仿宋_GB2312"/>
          <w:color w:val="auto"/>
          <w:sz w:val="32"/>
          <w:szCs w:val="32"/>
        </w:rPr>
        <w:t>万元，主要用于以下方面：</w:t>
      </w:r>
      <w:r>
        <w:rPr>
          <w:rFonts w:hint="eastAsia" w:ascii="Times New Roman" w:hAnsi="Times New Roman" w:eastAsia="仿宋_GB2312"/>
          <w:color w:val="auto"/>
          <w:sz w:val="32"/>
          <w:szCs w:val="32"/>
          <w:lang w:eastAsia="zh-CN"/>
        </w:rPr>
        <w:t>一般公共服务支出（类）</w:t>
      </w:r>
      <w:r>
        <w:rPr>
          <w:rFonts w:hint="eastAsia" w:ascii="Times New Roman" w:hAnsi="Times New Roman" w:eastAsia="仿宋_GB2312"/>
          <w:color w:val="auto"/>
          <w:sz w:val="32"/>
          <w:szCs w:val="32"/>
          <w:lang w:val="en-US" w:eastAsia="zh-CN"/>
        </w:rPr>
        <w:t>156.8万元，占比5.46%；科学性支出（类）6万元，占比0.21%；</w:t>
      </w:r>
      <w:r>
        <w:rPr>
          <w:rFonts w:hint="eastAsia" w:ascii="Times New Roman" w:hAnsi="Times New Roman" w:eastAsia="仿宋_GB2312"/>
          <w:color w:val="auto"/>
          <w:sz w:val="32"/>
          <w:szCs w:val="32"/>
          <w:lang w:eastAsia="zh-CN"/>
        </w:rPr>
        <w:t>社会保障和就业支出（类）</w:t>
      </w:r>
      <w:r>
        <w:rPr>
          <w:rFonts w:hint="eastAsia" w:ascii="Times New Roman" w:hAnsi="Times New Roman" w:eastAsia="仿宋_GB2312"/>
          <w:color w:val="auto"/>
          <w:sz w:val="32"/>
          <w:szCs w:val="32"/>
          <w:lang w:val="en-US" w:eastAsia="zh-CN"/>
        </w:rPr>
        <w:t>194.25万元，占比6.77%</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卫生健康支出（类）</w:t>
      </w:r>
      <w:r>
        <w:rPr>
          <w:rFonts w:hint="eastAsia" w:ascii="Times New Roman" w:hAnsi="Times New Roman" w:eastAsia="仿宋_GB2312"/>
          <w:color w:val="auto"/>
          <w:sz w:val="32"/>
          <w:szCs w:val="32"/>
          <w:lang w:val="en-US" w:eastAsia="zh-CN"/>
        </w:rPr>
        <w:t>40.37万元，占比1.41%；</w:t>
      </w:r>
      <w:r>
        <w:rPr>
          <w:rFonts w:hint="eastAsia" w:ascii="Times New Roman" w:hAnsi="Times New Roman" w:eastAsia="仿宋_GB2312"/>
          <w:color w:val="auto"/>
          <w:sz w:val="32"/>
          <w:szCs w:val="32"/>
          <w:lang w:eastAsia="zh-CN"/>
        </w:rPr>
        <w:t>住房保障支出（类）</w:t>
      </w:r>
      <w:r>
        <w:rPr>
          <w:rFonts w:hint="eastAsia" w:ascii="Times New Roman" w:hAnsi="Times New Roman" w:eastAsia="仿宋_GB2312"/>
          <w:color w:val="auto"/>
          <w:sz w:val="32"/>
          <w:szCs w:val="32"/>
          <w:lang w:val="en-US" w:eastAsia="zh-CN"/>
        </w:rPr>
        <w:t>84.91万元，占比2.96%；灾害防治及应急管理支出（类）2386.89万元，占比83.19%。</w:t>
      </w:r>
    </w:p>
    <w:p w14:paraId="4D5C67AD">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（三）一般公共预算财政拨款支出决算具体情况</w:t>
      </w:r>
    </w:p>
    <w:p w14:paraId="2F8094B7">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年度财政拨款支出年初预算数为</w:t>
      </w:r>
      <w:r>
        <w:rPr>
          <w:rFonts w:hint="eastAsia" w:ascii="Times New Roman" w:hAnsi="Times New Roman" w:eastAsia="仿宋_GB2312"/>
          <w:color w:val="auto"/>
          <w:sz w:val="32"/>
          <w:szCs w:val="32"/>
          <w:lang w:val="en-US" w:eastAsia="zh-CN"/>
        </w:rPr>
        <w:t>2186.71</w:t>
      </w:r>
      <w:r>
        <w:rPr>
          <w:rFonts w:hint="eastAsia" w:ascii="Times New Roman" w:hAnsi="Times New Roman" w:eastAsia="仿宋_GB2312"/>
          <w:color w:val="auto"/>
          <w:sz w:val="32"/>
          <w:szCs w:val="32"/>
        </w:rPr>
        <w:t>万元，支出决算数为</w:t>
      </w:r>
      <w:r>
        <w:rPr>
          <w:rFonts w:hint="eastAsia" w:ascii="Times New Roman" w:hAnsi="Times New Roman" w:eastAsia="仿宋_GB2312"/>
          <w:color w:val="auto"/>
          <w:sz w:val="32"/>
          <w:szCs w:val="32"/>
          <w:lang w:val="en-US" w:eastAsia="zh-CN"/>
        </w:rPr>
        <w:t>2869.23</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131.21</w:t>
      </w:r>
      <w:r>
        <w:rPr>
          <w:rFonts w:hint="eastAsia" w:ascii="Times New Roman" w:hAnsi="Times New Roman" w:eastAsia="仿宋_GB2312"/>
          <w:color w:val="auto"/>
          <w:sz w:val="32"/>
          <w:szCs w:val="32"/>
        </w:rPr>
        <w:t>%，其中：</w:t>
      </w:r>
    </w:p>
    <w:p w14:paraId="344E0853">
      <w:pPr>
        <w:pStyle w:val="2"/>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一般公共服务支出（类）其他一般公共服务支出（款）其他一般公共服务支出（项）</w:t>
      </w:r>
    </w:p>
    <w:p w14:paraId="5C877537">
      <w:pPr>
        <w:pStyle w:val="2"/>
        <w:keepNext w:val="0"/>
        <w:keepLines w:val="0"/>
        <w:pageBreakBefore w:val="0"/>
        <w:widowControl w:val="0"/>
        <w:numPr>
          <w:ilvl w:val="0"/>
          <w:numId w:val="0"/>
        </w:numPr>
        <w:kinsoku/>
        <w:wordWrap/>
        <w:overflowPunct/>
        <w:topLinePunct w:val="0"/>
        <w:bidi w:val="0"/>
        <w:snapToGrid/>
        <w:spacing w:line="600" w:lineRule="exact"/>
        <w:ind w:firstLine="64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年初预算为56.8万元，支出决算为156.8万元。决算数大于年初预算数的主要原因是：2024年省厅划拨的100万元“湖南区域应急救援怀化中心”运维经费未纳入2025年预算保障。</w:t>
      </w:r>
    </w:p>
    <w:p w14:paraId="5BFD2716">
      <w:pPr>
        <w:pStyle w:val="2"/>
        <w:keepNext w:val="0"/>
        <w:keepLines w:val="0"/>
        <w:pageBreakBefore w:val="0"/>
        <w:widowControl w:val="0"/>
        <w:numPr>
          <w:ilvl w:val="0"/>
          <w:numId w:val="2"/>
        </w:numPr>
        <w:kinsoku/>
        <w:wordWrap/>
        <w:overflowPunct/>
        <w:topLinePunct w:val="0"/>
        <w:bidi w:val="0"/>
        <w:snapToGrid/>
        <w:spacing w:line="600" w:lineRule="exact"/>
        <w:ind w:left="0" w:leftChars="0"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科学技术支出（类）其他科学技术支出（款）其他科学技术支出（项）</w:t>
      </w:r>
    </w:p>
    <w:p w14:paraId="1D9240AA">
      <w:pPr>
        <w:pStyle w:val="2"/>
        <w:keepNext w:val="0"/>
        <w:keepLines w:val="0"/>
        <w:pageBreakBefore w:val="0"/>
        <w:widowControl w:val="0"/>
        <w:numPr>
          <w:ilvl w:val="0"/>
          <w:numId w:val="0"/>
        </w:numPr>
        <w:kinsoku/>
        <w:wordWrap/>
        <w:overflowPunct/>
        <w:topLinePunct w:val="0"/>
        <w:bidi w:val="0"/>
        <w:snapToGrid/>
        <w:spacing w:line="600" w:lineRule="exact"/>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 xml:space="preserve">    年初预算为0万元，支出决算为6万元。决算数大于年初预算数的主要原因是：该笔经费为怀化市“五溪智汇”柔性引才2024-2025年度工作补助(个人）专项经费，相关支出未纳入我局2025年预算保障。</w:t>
      </w:r>
    </w:p>
    <w:p w14:paraId="2D5C56A8">
      <w:pPr>
        <w:pStyle w:val="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社会保障和就业支出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行政事业单位养老支出</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机关事业单位基本养老保险缴费支出</w:t>
      </w:r>
      <w:r>
        <w:rPr>
          <w:rFonts w:hint="eastAsia" w:ascii="Times New Roman" w:hAnsi="Times New Roman" w:eastAsia="仿宋_GB2312"/>
          <w:color w:val="auto"/>
          <w:sz w:val="32"/>
          <w:szCs w:val="32"/>
        </w:rPr>
        <w:t>（项）。</w:t>
      </w:r>
    </w:p>
    <w:p w14:paraId="542A95E7">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99.9</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99.9</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val="en-US" w:eastAsia="zh-CN"/>
        </w:rPr>
        <w:t>。年初预算数与决算数一致。</w:t>
      </w:r>
    </w:p>
    <w:p w14:paraId="5BB9EFBE">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社会保障和就业支出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其他社会保障和</w:t>
      </w:r>
      <w:bookmarkStart w:id="0" w:name="_GoBack"/>
      <w:bookmarkEnd w:id="0"/>
      <w:r>
        <w:rPr>
          <w:rFonts w:hint="eastAsia" w:ascii="Times New Roman" w:hAnsi="Times New Roman" w:eastAsia="仿宋_GB2312"/>
          <w:color w:val="auto"/>
          <w:sz w:val="32"/>
          <w:szCs w:val="32"/>
          <w:lang w:eastAsia="zh-CN"/>
        </w:rPr>
        <w:t>就业支出</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其他社会保障就业支出</w:t>
      </w:r>
      <w:r>
        <w:rPr>
          <w:rFonts w:hint="eastAsia" w:ascii="Times New Roman" w:hAnsi="Times New Roman" w:eastAsia="仿宋_GB2312"/>
          <w:color w:val="auto"/>
          <w:sz w:val="32"/>
          <w:szCs w:val="32"/>
        </w:rPr>
        <w:t>（项）。</w:t>
      </w:r>
    </w:p>
    <w:p w14:paraId="4F2AC7D3">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94.35</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94.35</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年初预算数与决算数一致。</w:t>
      </w:r>
    </w:p>
    <w:p w14:paraId="7ADE983A">
      <w:pPr>
        <w:pStyle w:val="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eastAsia="zh-CN"/>
        </w:rPr>
        <w:t>卫生健康支出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行政事业单位医疗</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行政单位医疗</w:t>
      </w:r>
      <w:r>
        <w:rPr>
          <w:rFonts w:hint="eastAsia" w:ascii="Times New Roman" w:hAnsi="Times New Roman" w:eastAsia="仿宋_GB2312"/>
          <w:color w:val="auto"/>
          <w:sz w:val="32"/>
          <w:szCs w:val="32"/>
        </w:rPr>
        <w:t>（项）</w:t>
      </w:r>
      <w:r>
        <w:rPr>
          <w:rFonts w:hint="eastAsia" w:ascii="Times New Roman" w:hAnsi="Times New Roman" w:eastAsia="仿宋_GB2312"/>
          <w:color w:val="auto"/>
          <w:sz w:val="32"/>
          <w:szCs w:val="32"/>
          <w:lang w:eastAsia="zh-CN"/>
        </w:rPr>
        <w:t>。</w:t>
      </w:r>
    </w:p>
    <w:p w14:paraId="3AE1A970">
      <w:pPr>
        <w:pStyle w:val="2"/>
        <w:keepNext w:val="0"/>
        <w:keepLines w:val="0"/>
        <w:pageBreakBefore w:val="0"/>
        <w:widowControl w:val="0"/>
        <w:numPr>
          <w:ilvl w:val="0"/>
          <w:numId w:val="0"/>
        </w:numPr>
        <w:kinsoku/>
        <w:wordWrap/>
        <w:overflowPunct/>
        <w:topLinePunct w:val="0"/>
        <w:bidi w:val="0"/>
        <w:snapToGrid/>
        <w:spacing w:line="600" w:lineRule="exact"/>
        <w:ind w:firstLine="64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38.41</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40.37</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完成年初预算数的105.1%。决算数大于预算数的原因是：年中有人员新增，导致决算数大于预算数。</w:t>
      </w:r>
    </w:p>
    <w:p w14:paraId="013E9D0F">
      <w:pPr>
        <w:pStyle w:val="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6、住房保障支出（类）住房改革支出（款）住房公积金（项）。</w:t>
      </w:r>
    </w:p>
    <w:p w14:paraId="7F1576F8">
      <w:pPr>
        <w:pStyle w:val="2"/>
        <w:keepNext w:val="0"/>
        <w:keepLines w:val="0"/>
        <w:pageBreakBefore w:val="0"/>
        <w:widowControl w:val="0"/>
        <w:numPr>
          <w:ilvl w:val="0"/>
          <w:numId w:val="0"/>
        </w:numPr>
        <w:kinsoku/>
        <w:wordWrap/>
        <w:overflowPunct/>
        <w:topLinePunct w:val="0"/>
        <w:bidi w:val="0"/>
        <w:snapToGrid/>
        <w:spacing w:line="600" w:lineRule="exact"/>
        <w:ind w:firstLine="64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年初预算为79.86万元，支出决算为84.91万元，完成年初预算数的106.32%。决算数大于预算数的原因是：年中有人员新增，导致决算数大于预算数。</w:t>
      </w:r>
    </w:p>
    <w:p w14:paraId="595F9F4F">
      <w:pPr>
        <w:pStyle w:val="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7、灾害防治及应急管理支出（类）应急管理支出事务（款）行政运行（项）。</w:t>
      </w:r>
    </w:p>
    <w:p w14:paraId="129EBCDD">
      <w:pPr>
        <w:pStyle w:val="2"/>
        <w:keepNext w:val="0"/>
        <w:keepLines w:val="0"/>
        <w:pageBreakBefore w:val="0"/>
        <w:widowControl w:val="0"/>
        <w:numPr>
          <w:ilvl w:val="0"/>
          <w:numId w:val="0"/>
        </w:numPr>
        <w:kinsoku/>
        <w:wordWrap/>
        <w:overflowPunct/>
        <w:topLinePunct w:val="0"/>
        <w:bidi w:val="0"/>
        <w:snapToGrid/>
        <w:spacing w:line="600" w:lineRule="exact"/>
        <w:ind w:firstLine="64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年初预算为927.61万元，支出决算为925.18万元，完成年初预算数的99.74%。决算数与年初预算数基本持平。</w:t>
      </w:r>
    </w:p>
    <w:p w14:paraId="54C31C18">
      <w:pPr>
        <w:pStyle w:val="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8、灾害防治及应急管理支出（类）应急管理支出事务（款）一般行政事务管理（项）。</w:t>
      </w:r>
    </w:p>
    <w:p w14:paraId="24C3A57F">
      <w:pPr>
        <w:pStyle w:val="2"/>
        <w:keepNext w:val="0"/>
        <w:keepLines w:val="0"/>
        <w:pageBreakBefore w:val="0"/>
        <w:widowControl w:val="0"/>
        <w:numPr>
          <w:ilvl w:val="0"/>
          <w:numId w:val="0"/>
        </w:numPr>
        <w:kinsoku/>
        <w:wordWrap/>
        <w:overflowPunct/>
        <w:topLinePunct w:val="0"/>
        <w:bidi w:val="0"/>
        <w:snapToGrid/>
        <w:spacing w:line="600" w:lineRule="exact"/>
        <w:ind w:firstLine="64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年初预算为40.43万元，支出决算为36.43万元，完成年初预算数的90.11%。决算数小于年初预算数的主要原因是：财政资金紧张，部分预算项目经费未下达。</w:t>
      </w:r>
    </w:p>
    <w:p w14:paraId="39E61EDC">
      <w:pPr>
        <w:pStyle w:val="2"/>
        <w:keepNext w:val="0"/>
        <w:keepLines w:val="0"/>
        <w:pageBreakBefore w:val="0"/>
        <w:widowControl w:val="0"/>
        <w:numPr>
          <w:ilvl w:val="0"/>
          <w:numId w:val="0"/>
        </w:numPr>
        <w:kinsoku/>
        <w:wordWrap/>
        <w:overflowPunct/>
        <w:topLinePunct w:val="0"/>
        <w:bidi w:val="0"/>
        <w:snapToGrid/>
        <w:spacing w:line="600" w:lineRule="exact"/>
        <w:ind w:firstLine="64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9、灾害防治及应急管理支出（类）应急管理支出事务（款）安全监管（项）。</w:t>
      </w:r>
    </w:p>
    <w:p w14:paraId="61B9AEE0">
      <w:pPr>
        <w:pStyle w:val="2"/>
        <w:keepNext w:val="0"/>
        <w:keepLines w:val="0"/>
        <w:pageBreakBefore w:val="0"/>
        <w:widowControl w:val="0"/>
        <w:numPr>
          <w:ilvl w:val="0"/>
          <w:numId w:val="0"/>
        </w:numPr>
        <w:kinsoku/>
        <w:wordWrap/>
        <w:overflowPunct/>
        <w:topLinePunct w:val="0"/>
        <w:bidi w:val="0"/>
        <w:snapToGrid/>
        <w:spacing w:line="600" w:lineRule="exact"/>
        <w:ind w:firstLine="64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年初预算为19.5万，支出决算为7.5万元，完成年初预算数的38.46%。决算数小于年初预算数的主要原因是：财政资金紧张，纳入预算的部分项目经费未下达。</w:t>
      </w:r>
    </w:p>
    <w:p w14:paraId="1D027DE7">
      <w:pPr>
        <w:pStyle w:val="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10、灾害防治及应急管理支出（类）应急管理支出事务（款）应急救援（项）。</w:t>
      </w:r>
    </w:p>
    <w:p w14:paraId="164592CB">
      <w:pPr>
        <w:pStyle w:val="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年初预算为115万，支出决算为70.8万元，完成年初预算数的61.57%。决算数小于年初预算数的主要原因是：财政资金紧张，纳入预算的部分项目经费未下达。</w:t>
      </w:r>
    </w:p>
    <w:p w14:paraId="0F12EFA4">
      <w:pPr>
        <w:pStyle w:val="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11、灾害防治及应急管理支出（类）应急管理支出事务（款）应急管理（项）。</w:t>
      </w:r>
    </w:p>
    <w:p w14:paraId="5CA46074">
      <w:pPr>
        <w:pStyle w:val="2"/>
        <w:keepNext w:val="0"/>
        <w:keepLines w:val="0"/>
        <w:pageBreakBefore w:val="0"/>
        <w:widowControl w:val="0"/>
        <w:numPr>
          <w:ilvl w:val="0"/>
          <w:numId w:val="0"/>
        </w:numPr>
        <w:kinsoku/>
        <w:wordWrap/>
        <w:overflowPunct/>
        <w:topLinePunct w:val="0"/>
        <w:bidi w:val="0"/>
        <w:snapToGrid/>
        <w:spacing w:line="600" w:lineRule="exact"/>
        <w:ind w:firstLine="64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年初预算为419.05万，支出决算为187.19万元，完成年初预算数的44.67%。决算数小于年初预算数的主要原因是：财政资金紧张，纳入预算的部分项目经费未下达。</w:t>
      </w:r>
    </w:p>
    <w:p w14:paraId="4961A911">
      <w:pPr>
        <w:pStyle w:val="2"/>
        <w:keepNext w:val="0"/>
        <w:keepLines w:val="0"/>
        <w:pageBreakBefore w:val="0"/>
        <w:widowControl w:val="0"/>
        <w:numPr>
          <w:ilvl w:val="0"/>
          <w:numId w:val="0"/>
        </w:numPr>
        <w:kinsoku/>
        <w:wordWrap/>
        <w:overflowPunct/>
        <w:topLinePunct w:val="0"/>
        <w:bidi w:val="0"/>
        <w:snapToGrid/>
        <w:spacing w:line="600" w:lineRule="exact"/>
        <w:ind w:firstLine="64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12、灾害防治及应急管理支出（类）应急管理支出事务（款）其他应急管理支出（项）。</w:t>
      </w:r>
    </w:p>
    <w:p w14:paraId="7C9A3F19">
      <w:pPr>
        <w:pStyle w:val="2"/>
        <w:keepNext w:val="0"/>
        <w:keepLines w:val="0"/>
        <w:pageBreakBefore w:val="0"/>
        <w:widowControl w:val="0"/>
        <w:numPr>
          <w:ilvl w:val="0"/>
          <w:numId w:val="0"/>
        </w:numPr>
        <w:kinsoku/>
        <w:wordWrap/>
        <w:overflowPunct/>
        <w:topLinePunct w:val="0"/>
        <w:bidi w:val="0"/>
        <w:snapToGrid/>
        <w:spacing w:line="600" w:lineRule="exact"/>
        <w:ind w:firstLine="64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355.95万，支出决算为626.76万元，完成年初预算数的176.08%。决算数大于年初预算数的主要原因是：因财政资金紧张纳入预算保障的项目经费未全额划拨，同时未纳入预算的为上级拨付，之前年度结转的“工程项目建设资金”和“湖南区域应急救援怀化中心运维资金”，导致预算数与决算数存在较大差异。</w:t>
      </w:r>
    </w:p>
    <w:p w14:paraId="6D75C00B">
      <w:pPr>
        <w:pStyle w:val="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13、灾害防治及应急管理支出（类）自然灾害防治（款）其他自然灾害防治支出（项）。</w:t>
      </w:r>
    </w:p>
    <w:p w14:paraId="12633054">
      <w:pPr>
        <w:pStyle w:val="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0万元，支出决算为359.7万元。决算数大于年初预算数的主要原因是：该项资金主要是往年结转的工程项目资金，未纳入2025年度预算，主要用于支付项目建设及农民工工资。因此导致决算数与预算数存在差异。</w:t>
      </w:r>
    </w:p>
    <w:p w14:paraId="02D6F722">
      <w:pPr>
        <w:pStyle w:val="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14、灾害防治及应急管理支出（类）自然灾害救灾及恢复重建支出（款）其他自然灾害救灾及恢复重建支出（项）</w:t>
      </w:r>
    </w:p>
    <w:p w14:paraId="6E9FC55E">
      <w:pPr>
        <w:pStyle w:val="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数为0万元，支出决算数24.4万元。决算数大于年初预算数的主要原因是：该项资金主要是2024年中央财政转移支付洪涝灾害救灾资金，2025年未编入预算支出，在本级财政资金紧张的情况下，使用该资金对“自然灾害防治工作”进行保障。因此导致决算数与预算数存在差异。</w:t>
      </w:r>
    </w:p>
    <w:p w14:paraId="1544D016">
      <w:pPr>
        <w:pStyle w:val="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15、灾害防治及应急管理支出（类）其他灾害防治及应急管理支出（款）其他灾害防治及应急管理支出（项）</w:t>
      </w:r>
    </w:p>
    <w:p w14:paraId="250567FC">
      <w:pPr>
        <w:pStyle w:val="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数为0万元，支出决算数148.93万元。决算数大于年初预算数的主要原因是：该项资金主要是2020年中央自然灾害防治体系建设补助资金，2025年未编入预算支出，用于支付2023年特种设施设备采购的质保金。因此导致决算数与预算数存在差异。</w:t>
      </w:r>
    </w:p>
    <w:p w14:paraId="3774FC48">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六、一般公共预算财政拨款基本支出决算情况说明</w:t>
      </w:r>
    </w:p>
    <w:p w14:paraId="1F9127A8">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年度财政拨款基本支出</w:t>
      </w:r>
      <w:r>
        <w:rPr>
          <w:rFonts w:hint="eastAsia" w:ascii="Times New Roman" w:hAnsi="Times New Roman" w:eastAsia="仿宋_GB2312"/>
          <w:color w:val="auto"/>
          <w:sz w:val="32"/>
          <w:szCs w:val="32"/>
          <w:lang w:val="en-US" w:eastAsia="zh-CN"/>
        </w:rPr>
        <w:t>1234.63</w:t>
      </w:r>
      <w:r>
        <w:rPr>
          <w:rFonts w:hint="eastAsia" w:ascii="Times New Roman" w:hAnsi="Times New Roman" w:eastAsia="仿宋_GB2312"/>
          <w:color w:val="auto"/>
          <w:sz w:val="32"/>
          <w:szCs w:val="32"/>
        </w:rPr>
        <w:t>万元，其中：</w:t>
      </w:r>
    </w:p>
    <w:p w14:paraId="29A47B4A">
      <w:pPr>
        <w:pStyle w:val="2"/>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b/>
          <w:bCs/>
          <w:color w:val="auto"/>
          <w:sz w:val="32"/>
          <w:szCs w:val="32"/>
        </w:rPr>
        <w:t>人员经费</w:t>
      </w:r>
      <w:r>
        <w:rPr>
          <w:rFonts w:hint="eastAsia" w:ascii="Times New Roman" w:hAnsi="Times New Roman" w:eastAsia="仿宋_GB2312"/>
          <w:color w:val="auto"/>
          <w:sz w:val="32"/>
          <w:szCs w:val="32"/>
          <w:lang w:val="en-US" w:eastAsia="zh-CN"/>
        </w:rPr>
        <w:t>999.27</w:t>
      </w:r>
      <w:r>
        <w:rPr>
          <w:rFonts w:hint="eastAsia" w:ascii="Times New Roman" w:hAnsi="Times New Roman" w:eastAsia="仿宋_GB2312"/>
          <w:color w:val="auto"/>
          <w:sz w:val="32"/>
          <w:szCs w:val="32"/>
        </w:rPr>
        <w:t>万元，占基本支出的</w:t>
      </w:r>
      <w:r>
        <w:rPr>
          <w:rFonts w:hint="eastAsia" w:ascii="Times New Roman" w:hAnsi="Times New Roman" w:eastAsia="仿宋_GB2312"/>
          <w:color w:val="auto"/>
          <w:sz w:val="32"/>
          <w:szCs w:val="32"/>
          <w:lang w:val="en-US" w:eastAsia="zh-CN"/>
        </w:rPr>
        <w:t>80.94</w:t>
      </w:r>
      <w:r>
        <w:rPr>
          <w:rFonts w:hint="eastAsia" w:ascii="Times New Roman" w:hAnsi="Times New Roman" w:eastAsia="仿宋_GB2312"/>
          <w:color w:val="auto"/>
          <w:sz w:val="32"/>
          <w:szCs w:val="32"/>
        </w:rPr>
        <w:t>%,主要包括</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rPr>
        <w:t>基本工资</w:t>
      </w:r>
      <w:r>
        <w:rPr>
          <w:rFonts w:hint="eastAsia" w:ascii="Times New Roman" w:hAnsi="Times New Roman" w:eastAsia="仿宋_GB2312"/>
          <w:color w:val="auto"/>
          <w:sz w:val="32"/>
          <w:szCs w:val="32"/>
          <w:lang w:val="en-US" w:eastAsia="zh-CN"/>
        </w:rPr>
        <w:t>407.87万元</w:t>
      </w:r>
      <w:r>
        <w:rPr>
          <w:rFonts w:hint="eastAsia" w:ascii="Times New Roman" w:hAnsi="Times New Roman" w:eastAsia="仿宋_GB2312"/>
          <w:color w:val="auto"/>
          <w:sz w:val="32"/>
          <w:szCs w:val="32"/>
        </w:rPr>
        <w:t>、津贴补贴</w:t>
      </w:r>
      <w:r>
        <w:rPr>
          <w:rFonts w:hint="eastAsia" w:ascii="Times New Roman" w:hAnsi="Times New Roman" w:eastAsia="仿宋_GB2312"/>
          <w:color w:val="auto"/>
          <w:sz w:val="32"/>
          <w:szCs w:val="32"/>
          <w:lang w:val="en-US" w:eastAsia="zh-CN"/>
        </w:rPr>
        <w:t>127.5万元</w:t>
      </w:r>
      <w:r>
        <w:rPr>
          <w:rFonts w:hint="eastAsia" w:ascii="Times New Roman" w:hAnsi="Times New Roman" w:eastAsia="仿宋_GB2312"/>
          <w:color w:val="auto"/>
          <w:sz w:val="32"/>
          <w:szCs w:val="32"/>
        </w:rPr>
        <w:t>、奖金</w:t>
      </w:r>
      <w:r>
        <w:rPr>
          <w:rFonts w:hint="eastAsia" w:ascii="Times New Roman" w:hAnsi="Times New Roman" w:eastAsia="仿宋_GB2312"/>
          <w:color w:val="auto"/>
          <w:sz w:val="32"/>
          <w:szCs w:val="32"/>
          <w:lang w:val="en-US" w:eastAsia="zh-CN"/>
        </w:rPr>
        <w:t>69.98万元</w:t>
      </w:r>
      <w:r>
        <w:rPr>
          <w:rFonts w:hint="eastAsia" w:ascii="Times New Roman" w:hAnsi="Times New Roman" w:eastAsia="仿宋_GB2312"/>
          <w:color w:val="auto"/>
          <w:sz w:val="32"/>
          <w:szCs w:val="32"/>
        </w:rPr>
        <w:t>、伙食补助费</w:t>
      </w:r>
      <w:r>
        <w:rPr>
          <w:rFonts w:hint="eastAsia" w:ascii="Times New Roman" w:hAnsi="Times New Roman" w:eastAsia="仿宋_GB2312"/>
          <w:color w:val="auto"/>
          <w:sz w:val="32"/>
          <w:szCs w:val="32"/>
          <w:lang w:val="en-US" w:eastAsia="zh-CN"/>
        </w:rPr>
        <w:t>38.23万元、绩效工资130.43万元、机关事业单位基本养老保险缴费93.61万元、职工基本医疗保险缴费42.1万元、其他社会保障缴费0.84万元、住房公积金88.7万元。</w:t>
      </w:r>
    </w:p>
    <w:p w14:paraId="39C2F1D6">
      <w:pPr>
        <w:pStyle w:val="2"/>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b/>
          <w:bCs/>
          <w:color w:val="auto"/>
          <w:sz w:val="32"/>
          <w:szCs w:val="32"/>
        </w:rPr>
        <w:t>公用经费</w:t>
      </w:r>
      <w:r>
        <w:rPr>
          <w:rFonts w:hint="eastAsia" w:ascii="Times New Roman" w:hAnsi="Times New Roman" w:eastAsia="仿宋_GB2312"/>
          <w:color w:val="auto"/>
          <w:sz w:val="32"/>
          <w:szCs w:val="32"/>
          <w:lang w:val="en-US" w:eastAsia="zh-CN"/>
        </w:rPr>
        <w:t>141.14</w:t>
      </w:r>
      <w:r>
        <w:rPr>
          <w:rFonts w:hint="eastAsia" w:ascii="Times New Roman" w:hAnsi="Times New Roman" w:eastAsia="仿宋_GB2312"/>
          <w:color w:val="auto"/>
          <w:sz w:val="32"/>
          <w:szCs w:val="32"/>
        </w:rPr>
        <w:t>万元，占基本支出的</w:t>
      </w:r>
      <w:r>
        <w:rPr>
          <w:rFonts w:hint="eastAsia" w:ascii="Times New Roman" w:hAnsi="Times New Roman" w:eastAsia="仿宋_GB2312"/>
          <w:color w:val="auto"/>
          <w:sz w:val="32"/>
          <w:szCs w:val="32"/>
          <w:lang w:val="en-US" w:eastAsia="zh-CN"/>
        </w:rPr>
        <w:t>11.43</w:t>
      </w:r>
      <w:r>
        <w:rPr>
          <w:rFonts w:hint="eastAsia" w:ascii="Times New Roman" w:hAnsi="Times New Roman" w:eastAsia="仿宋_GB2312"/>
          <w:color w:val="auto"/>
          <w:sz w:val="32"/>
          <w:szCs w:val="32"/>
        </w:rPr>
        <w:t>%，主要包括办公费</w:t>
      </w:r>
      <w:r>
        <w:rPr>
          <w:rFonts w:hint="eastAsia" w:ascii="Times New Roman" w:hAnsi="Times New Roman" w:eastAsia="仿宋_GB2312"/>
          <w:color w:val="auto"/>
          <w:sz w:val="32"/>
          <w:szCs w:val="32"/>
          <w:lang w:val="en-US" w:eastAsia="zh-CN"/>
        </w:rPr>
        <w:t>0.59万元</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差旅</w:t>
      </w:r>
      <w:r>
        <w:rPr>
          <w:rFonts w:hint="eastAsia" w:ascii="Times New Roman" w:hAnsi="Times New Roman" w:eastAsia="仿宋_GB2312"/>
          <w:color w:val="auto"/>
          <w:sz w:val="32"/>
          <w:szCs w:val="32"/>
        </w:rPr>
        <w:t>费</w:t>
      </w:r>
      <w:r>
        <w:rPr>
          <w:rFonts w:hint="eastAsia" w:ascii="Times New Roman" w:hAnsi="Times New Roman" w:eastAsia="仿宋_GB2312"/>
          <w:color w:val="auto"/>
          <w:sz w:val="32"/>
          <w:szCs w:val="32"/>
          <w:lang w:val="en-US" w:eastAsia="zh-CN"/>
        </w:rPr>
        <w:t>0.23万元、会议费4万元、培训费0.22万元、公务接待费0.4万元、专用材料费0.85万元、委托业务费1.69万元、工会经费50万元、福利费2.81万元、公务用车运行维护费23.5万元、其他交通费用47.33万元、其他商品和服务支出9.52万元。</w:t>
      </w:r>
    </w:p>
    <w:p w14:paraId="0A6D36F2">
      <w:pPr>
        <w:rPr>
          <w:rFonts w:hint="default" w:ascii="仿宋_GB2312" w:hAnsi="仿宋_GB2312" w:eastAsia="仿宋_GB2312" w:cs="仿宋_GB2312"/>
          <w:color w:val="auto"/>
          <w:lang w:val="en-US" w:eastAsia="zh-CN"/>
        </w:rPr>
      </w:pPr>
      <w:r>
        <w:rPr>
          <w:rFonts w:hint="eastAsia" w:ascii="Times New Roman" w:hAnsi="Times New Roman" w:eastAsia="仿宋_GB2312"/>
          <w:color w:val="auto"/>
          <w:sz w:val="32"/>
          <w:szCs w:val="32"/>
          <w:lang w:val="en-US" w:eastAsia="zh-CN"/>
        </w:rPr>
        <w:t xml:space="preserve">    </w:t>
      </w:r>
      <w:r>
        <w:rPr>
          <w:rFonts w:hint="eastAsia" w:ascii="仿宋_GB2312" w:hAnsi="仿宋_GB2312" w:eastAsia="仿宋_GB2312" w:cs="仿宋_GB2312"/>
          <w:b/>
          <w:bCs/>
          <w:color w:val="auto"/>
          <w:sz w:val="32"/>
          <w:szCs w:val="32"/>
          <w:lang w:val="en-US" w:eastAsia="zh-CN"/>
        </w:rPr>
        <w:t>对个人和家庭的补助94.23</w:t>
      </w:r>
      <w:r>
        <w:rPr>
          <w:rFonts w:hint="eastAsia" w:ascii="仿宋_GB2312" w:hAnsi="仿宋_GB2312" w:eastAsia="仿宋_GB2312" w:cs="仿宋_GB2312"/>
          <w:color w:val="auto"/>
          <w:sz w:val="32"/>
          <w:szCs w:val="32"/>
          <w:lang w:val="en-US" w:eastAsia="zh-CN"/>
        </w:rPr>
        <w:t>万元，占基本支出的7.63%，主要包括生活补助9.67万元、其他对个人和家庭的补助84.55万元。</w:t>
      </w:r>
    </w:p>
    <w:p w14:paraId="69E19CC8">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黑体" w:hAnsi="黑体" w:eastAsia="黑体" w:cs="黑体"/>
          <w:b w:val="0"/>
          <w:bCs/>
          <w:color w:val="auto"/>
          <w:sz w:val="32"/>
          <w:szCs w:val="32"/>
        </w:rPr>
        <w:t>七、财政拨款三公经费支出决算情况说明</w:t>
      </w:r>
      <w:r>
        <w:rPr>
          <w:rFonts w:hint="eastAsia" w:ascii="楷体" w:hAnsi="楷体" w:eastAsia="楷体" w:cs="楷体"/>
          <w:b/>
          <w:bCs/>
          <w:i/>
          <w:color w:val="auto"/>
          <w:sz w:val="32"/>
          <w:szCs w:val="32"/>
          <w:lang w:eastAsia="zh-CN"/>
        </w:rPr>
        <w:t>（注意：三公经费情况说明，往年为一般公共预算财政拨款口径，今年为财政拨款口径）</w:t>
      </w:r>
    </w:p>
    <w:p w14:paraId="16C28FFD">
      <w:pPr>
        <w:pStyle w:val="2"/>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楷体" w:hAnsi="楷体" w:eastAsia="楷体" w:cs="楷体"/>
          <w:b/>
          <w:bCs w:val="0"/>
          <w:color w:val="auto"/>
          <w:sz w:val="32"/>
          <w:szCs w:val="32"/>
        </w:rPr>
      </w:pPr>
      <w:r>
        <w:rPr>
          <w:rFonts w:hint="eastAsia" w:ascii="楷体" w:hAnsi="楷体" w:eastAsia="楷体" w:cs="楷体"/>
          <w:b/>
          <w:bCs w:val="0"/>
          <w:color w:val="auto"/>
          <w:sz w:val="32"/>
          <w:szCs w:val="32"/>
        </w:rPr>
        <w:t>（一）“三公”经费财政拨款支出决算总体情况说明</w:t>
      </w:r>
    </w:p>
    <w:p w14:paraId="651D0350">
      <w:pPr>
        <w:pStyle w:val="2"/>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“三公”经费财政拨款支出预算为</w:t>
      </w:r>
      <w:r>
        <w:rPr>
          <w:rFonts w:hint="eastAsia" w:ascii="Times New Roman" w:hAnsi="Times New Roman" w:eastAsia="仿宋_GB2312"/>
          <w:color w:val="auto"/>
          <w:sz w:val="32"/>
          <w:szCs w:val="32"/>
          <w:lang w:val="en-US" w:eastAsia="zh-CN"/>
        </w:rPr>
        <w:t>75.5</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40.27</w:t>
      </w:r>
      <w:r>
        <w:rPr>
          <w:rFonts w:hint="eastAsia" w:ascii="Times New Roman" w:hAnsi="Times New Roman" w:eastAsia="仿宋_GB2312"/>
          <w:color w:val="auto"/>
          <w:sz w:val="32"/>
          <w:szCs w:val="32"/>
        </w:rPr>
        <w:t>万元，完成预算的</w:t>
      </w:r>
      <w:r>
        <w:rPr>
          <w:rFonts w:hint="eastAsia" w:ascii="Times New Roman" w:hAnsi="Times New Roman" w:eastAsia="仿宋_GB2312"/>
          <w:color w:val="auto"/>
          <w:sz w:val="32"/>
          <w:szCs w:val="32"/>
          <w:lang w:val="en-US" w:eastAsia="zh-CN"/>
        </w:rPr>
        <w:t>53.34</w:t>
      </w:r>
      <w:r>
        <w:rPr>
          <w:rFonts w:hint="eastAsia" w:ascii="Times New Roman" w:hAnsi="Times New Roman" w:eastAsia="仿宋_GB2312"/>
          <w:color w:val="auto"/>
          <w:sz w:val="32"/>
          <w:szCs w:val="32"/>
        </w:rPr>
        <w:t>%，决算数小于预算数的主要原因是</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2025年</w:t>
      </w:r>
      <w:r>
        <w:rPr>
          <w:rFonts w:hint="eastAsia" w:ascii="Times New Roman" w:hAnsi="Times New Roman" w:eastAsia="仿宋_GB2312"/>
          <w:color w:val="auto"/>
          <w:sz w:val="32"/>
          <w:szCs w:val="32"/>
          <w:lang w:eastAsia="zh-CN"/>
        </w:rPr>
        <w:t>财政资金紧张，未按预算拨付“公务用车运行维护费”。</w:t>
      </w:r>
    </w:p>
    <w:p w14:paraId="1A1C34A4">
      <w:pPr>
        <w:pStyle w:val="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因公出国（境）费支出预算为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w:t>
      </w:r>
    </w:p>
    <w:p w14:paraId="49946521">
      <w:pPr>
        <w:pStyle w:val="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公务接待费支出预算为</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0.4</w:t>
      </w:r>
      <w:r>
        <w:rPr>
          <w:rFonts w:hint="eastAsia" w:ascii="Times New Roman" w:hAnsi="Times New Roman" w:eastAsia="仿宋_GB2312"/>
          <w:color w:val="auto"/>
          <w:sz w:val="32"/>
          <w:szCs w:val="32"/>
        </w:rPr>
        <w:t>万元，完成预算的</w:t>
      </w:r>
      <w:r>
        <w:rPr>
          <w:rFonts w:hint="eastAsia" w:ascii="Times New Roman" w:hAnsi="Times New Roman" w:eastAsia="仿宋_GB2312"/>
          <w:color w:val="auto"/>
          <w:sz w:val="32"/>
          <w:szCs w:val="32"/>
          <w:lang w:val="en-US" w:eastAsia="zh-CN"/>
        </w:rPr>
        <w:t>8</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小于</w:t>
      </w:r>
      <w:r>
        <w:rPr>
          <w:rFonts w:hint="eastAsia" w:ascii="Times New Roman" w:hAnsi="Times New Roman" w:eastAsia="仿宋_GB2312"/>
          <w:color w:val="auto"/>
          <w:sz w:val="32"/>
          <w:szCs w:val="32"/>
        </w:rPr>
        <w:t>预算数的主要原因是</w:t>
      </w:r>
      <w:r>
        <w:rPr>
          <w:rFonts w:hint="eastAsia" w:ascii="Times New Roman" w:hAnsi="Times New Roman" w:eastAsia="仿宋_GB2312"/>
          <w:color w:val="auto"/>
          <w:sz w:val="32"/>
          <w:szCs w:val="32"/>
          <w:lang w:val="en-US" w:eastAsia="zh-CN"/>
        </w:rPr>
        <w:t>:2025年次数相对减少，且省内工作组不接待，公务接待费支出降低</w:t>
      </w:r>
      <w:r>
        <w:rPr>
          <w:rFonts w:hint="eastAsia" w:ascii="Times New Roman" w:hAnsi="Times New Roman" w:eastAsia="仿宋_GB2312"/>
          <w:color w:val="auto"/>
          <w:sz w:val="32"/>
          <w:szCs w:val="32"/>
        </w:rPr>
        <w:t>。</w:t>
      </w:r>
    </w:p>
    <w:p w14:paraId="5D472B5D">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公务用车购置费支出预算为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w:t>
      </w:r>
    </w:p>
    <w:p w14:paraId="0E7F41F1">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公务用车运行维护费支出预算为</w:t>
      </w:r>
      <w:r>
        <w:rPr>
          <w:rFonts w:hint="eastAsia" w:ascii="Times New Roman" w:hAnsi="Times New Roman" w:eastAsia="仿宋_GB2312"/>
          <w:color w:val="auto"/>
          <w:sz w:val="32"/>
          <w:szCs w:val="32"/>
          <w:lang w:val="en-US" w:eastAsia="zh-CN"/>
        </w:rPr>
        <w:t>70.5</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39.87</w:t>
      </w:r>
      <w:r>
        <w:rPr>
          <w:rFonts w:hint="eastAsia" w:ascii="Times New Roman" w:hAnsi="Times New Roman" w:eastAsia="仿宋_GB2312"/>
          <w:color w:val="auto"/>
          <w:sz w:val="32"/>
          <w:szCs w:val="32"/>
        </w:rPr>
        <w:t>万元，完成预算的</w:t>
      </w:r>
      <w:r>
        <w:rPr>
          <w:rFonts w:hint="eastAsia" w:ascii="Times New Roman" w:hAnsi="Times New Roman" w:eastAsia="仿宋_GB2312"/>
          <w:color w:val="auto"/>
          <w:sz w:val="32"/>
          <w:szCs w:val="32"/>
          <w:lang w:val="en-US" w:eastAsia="zh-CN"/>
        </w:rPr>
        <w:t>56.55</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小于</w:t>
      </w:r>
      <w:r>
        <w:rPr>
          <w:rFonts w:hint="eastAsia" w:ascii="Times New Roman" w:hAnsi="Times New Roman" w:eastAsia="仿宋_GB2312"/>
          <w:color w:val="auto"/>
          <w:sz w:val="32"/>
          <w:szCs w:val="32"/>
        </w:rPr>
        <w:t>预算数的主要原因是</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2025年</w:t>
      </w:r>
      <w:r>
        <w:rPr>
          <w:rFonts w:hint="eastAsia" w:ascii="Times New Roman" w:hAnsi="Times New Roman" w:eastAsia="仿宋_GB2312"/>
          <w:color w:val="auto"/>
          <w:sz w:val="32"/>
          <w:szCs w:val="32"/>
          <w:lang w:eastAsia="zh-CN"/>
        </w:rPr>
        <w:t>财政资金紧张，未按预算拨付“公务用车运行维护费”</w:t>
      </w:r>
      <w:r>
        <w:rPr>
          <w:rFonts w:hint="eastAsia" w:ascii="Times New Roman" w:hAnsi="Times New Roman" w:eastAsia="仿宋_GB2312"/>
          <w:color w:val="auto"/>
          <w:sz w:val="32"/>
          <w:szCs w:val="32"/>
          <w:lang w:val="en-US" w:eastAsia="zh-CN"/>
        </w:rPr>
        <w:t>。</w:t>
      </w:r>
    </w:p>
    <w:p w14:paraId="386BF0A3">
      <w:pPr>
        <w:pStyle w:val="2"/>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楷体" w:hAnsi="楷体" w:eastAsia="楷体" w:cs="楷体"/>
          <w:b/>
          <w:bCs w:val="0"/>
          <w:color w:val="auto"/>
          <w:sz w:val="32"/>
          <w:szCs w:val="32"/>
        </w:rPr>
      </w:pPr>
      <w:r>
        <w:rPr>
          <w:rFonts w:hint="eastAsia" w:ascii="楷体" w:hAnsi="楷体" w:eastAsia="楷体" w:cs="楷体"/>
          <w:b/>
          <w:bCs w:val="0"/>
          <w:color w:val="auto"/>
          <w:sz w:val="32"/>
          <w:szCs w:val="32"/>
        </w:rPr>
        <w:t>（二）“三公”经费财政拨款支出决算具体情况说明</w:t>
      </w:r>
    </w:p>
    <w:p w14:paraId="3C09D93A">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年度“三公”经费财政拨款支出决算</w:t>
      </w:r>
      <w:r>
        <w:rPr>
          <w:rFonts w:hint="eastAsia" w:ascii="Times New Roman" w:hAnsi="Times New Roman" w:eastAsia="仿宋_GB2312"/>
          <w:color w:val="auto"/>
          <w:sz w:val="32"/>
          <w:szCs w:val="32"/>
          <w:lang w:val="en-US" w:eastAsia="zh-CN"/>
        </w:rPr>
        <w:t>40.27万元，其</w:t>
      </w:r>
      <w:r>
        <w:rPr>
          <w:rFonts w:hint="eastAsia" w:ascii="Times New Roman" w:hAnsi="Times New Roman" w:eastAsia="仿宋_GB2312"/>
          <w:color w:val="auto"/>
          <w:sz w:val="32"/>
          <w:szCs w:val="32"/>
        </w:rPr>
        <w:t>中</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公务接待费支出决算</w:t>
      </w:r>
      <w:r>
        <w:rPr>
          <w:rFonts w:hint="eastAsia" w:ascii="Times New Roman" w:hAnsi="Times New Roman" w:eastAsia="仿宋_GB2312"/>
          <w:color w:val="auto"/>
          <w:sz w:val="32"/>
          <w:szCs w:val="32"/>
          <w:lang w:val="en-US" w:eastAsia="zh-CN"/>
        </w:rPr>
        <w:t>0.4</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val="en-US" w:eastAsia="zh-CN"/>
        </w:rPr>
        <w:t>0.99</w:t>
      </w:r>
      <w:r>
        <w:rPr>
          <w:rFonts w:hint="eastAsia" w:ascii="Times New Roman" w:hAnsi="Times New Roman" w:eastAsia="仿宋_GB2312"/>
          <w:color w:val="auto"/>
          <w:sz w:val="32"/>
          <w:szCs w:val="32"/>
        </w:rPr>
        <w:t>%,因公出国（境）费支出决算</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%,公务用车购置费及运行维护费支出决算</w:t>
      </w:r>
      <w:r>
        <w:rPr>
          <w:rFonts w:hint="eastAsia" w:ascii="Times New Roman" w:hAnsi="Times New Roman" w:eastAsia="仿宋_GB2312"/>
          <w:color w:val="auto"/>
          <w:sz w:val="32"/>
          <w:szCs w:val="32"/>
          <w:lang w:val="en-US" w:eastAsia="zh-CN"/>
        </w:rPr>
        <w:t>39.87</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val="en-US" w:eastAsia="zh-CN"/>
        </w:rPr>
        <w:t>99.01</w:t>
      </w:r>
      <w:r>
        <w:rPr>
          <w:rFonts w:hint="eastAsia" w:ascii="Times New Roman" w:hAnsi="Times New Roman" w:eastAsia="仿宋_GB2312"/>
          <w:color w:val="auto"/>
          <w:sz w:val="32"/>
          <w:szCs w:val="32"/>
        </w:rPr>
        <w:t>%。其中：</w:t>
      </w:r>
    </w:p>
    <w:p w14:paraId="4DC1DB23">
      <w:pPr>
        <w:pStyle w:val="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因公出国（境）费支出决算为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万元，全年安排因公出国（境）团组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个，累计</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人次</w:t>
      </w:r>
      <w:r>
        <w:rPr>
          <w:rFonts w:hint="eastAsia" w:ascii="Times New Roman" w:hAnsi="Times New Roman" w:eastAsia="仿宋_GB2312"/>
          <w:color w:val="auto"/>
          <w:sz w:val="32"/>
          <w:szCs w:val="32"/>
          <w:lang w:eastAsia="zh-CN"/>
        </w:rPr>
        <w:t>。</w:t>
      </w:r>
    </w:p>
    <w:p w14:paraId="28833B28">
      <w:pPr>
        <w:pStyle w:val="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2、公务接待费支出决算为</w:t>
      </w:r>
      <w:r>
        <w:rPr>
          <w:rFonts w:hint="eastAsia" w:ascii="Times New Roman" w:hAnsi="Times New Roman" w:eastAsia="仿宋_GB2312"/>
          <w:color w:val="auto"/>
          <w:sz w:val="32"/>
          <w:szCs w:val="32"/>
          <w:lang w:val="en-US" w:eastAsia="zh-CN"/>
        </w:rPr>
        <w:t>0.4</w:t>
      </w:r>
      <w:r>
        <w:rPr>
          <w:rFonts w:hint="eastAsia" w:ascii="Times New Roman" w:hAnsi="Times New Roman" w:eastAsia="仿宋_GB2312"/>
          <w:color w:val="auto"/>
          <w:sz w:val="32"/>
          <w:szCs w:val="32"/>
        </w:rPr>
        <w:t>万元，全年共接待来访团组</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个、来宾</w:t>
      </w:r>
      <w:r>
        <w:rPr>
          <w:rFonts w:hint="eastAsia" w:ascii="Times New Roman" w:hAnsi="Times New Roman" w:eastAsia="仿宋_GB2312"/>
          <w:color w:val="auto"/>
          <w:sz w:val="32"/>
          <w:szCs w:val="32"/>
          <w:lang w:val="en-US" w:eastAsia="zh-CN"/>
        </w:rPr>
        <w:t>20</w:t>
      </w:r>
      <w:r>
        <w:rPr>
          <w:rFonts w:hint="eastAsia" w:ascii="Times New Roman" w:hAnsi="Times New Roman" w:eastAsia="仿宋_GB2312"/>
          <w:color w:val="auto"/>
          <w:sz w:val="32"/>
          <w:szCs w:val="32"/>
        </w:rPr>
        <w:t>人次，主要是</w:t>
      </w:r>
      <w:r>
        <w:rPr>
          <w:rFonts w:hint="eastAsia" w:ascii="Times New Roman" w:hAnsi="Times New Roman" w:eastAsia="仿宋_GB2312"/>
          <w:color w:val="auto"/>
          <w:sz w:val="32"/>
          <w:szCs w:val="32"/>
          <w:lang w:eastAsia="zh-CN"/>
        </w:rPr>
        <w:t>上级安委会工作组、应急管理厅工作组以及下级应急系统来怀</w:t>
      </w:r>
      <w:r>
        <w:rPr>
          <w:rFonts w:hint="eastAsia" w:ascii="Times New Roman" w:hAnsi="Times New Roman" w:eastAsia="仿宋_GB2312"/>
          <w:color w:val="auto"/>
          <w:sz w:val="32"/>
          <w:szCs w:val="32"/>
        </w:rPr>
        <w:t>发生的接待支出。</w:t>
      </w:r>
    </w:p>
    <w:p w14:paraId="0ED85513">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color w:val="auto"/>
          <w:sz w:val="32"/>
          <w:szCs w:val="32"/>
        </w:rPr>
        <w:t>3、公务用车购置费及运行维护费支出决算为</w:t>
      </w:r>
      <w:r>
        <w:rPr>
          <w:rFonts w:hint="eastAsia" w:ascii="Times New Roman" w:hAnsi="Times New Roman" w:eastAsia="仿宋_GB2312"/>
          <w:color w:val="auto"/>
          <w:sz w:val="32"/>
          <w:szCs w:val="32"/>
          <w:lang w:val="en-US" w:eastAsia="zh-CN"/>
        </w:rPr>
        <w:t>39.87</w:t>
      </w:r>
      <w:r>
        <w:rPr>
          <w:rFonts w:hint="eastAsia" w:ascii="Times New Roman" w:hAnsi="Times New Roman" w:eastAsia="仿宋_GB2312"/>
          <w:color w:val="auto"/>
          <w:sz w:val="32"/>
          <w:szCs w:val="32"/>
        </w:rPr>
        <w:t>万元，其中：公务用车购置费</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万元。公务用车运行维护费</w:t>
      </w:r>
      <w:r>
        <w:rPr>
          <w:rFonts w:hint="eastAsia" w:ascii="Times New Roman" w:hAnsi="Times New Roman" w:eastAsia="仿宋_GB2312"/>
          <w:color w:val="auto"/>
          <w:sz w:val="32"/>
          <w:szCs w:val="32"/>
          <w:lang w:val="en-US" w:eastAsia="zh-CN"/>
        </w:rPr>
        <w:t>39.87</w:t>
      </w:r>
      <w:r>
        <w:rPr>
          <w:rFonts w:hint="eastAsia" w:ascii="Times New Roman" w:hAnsi="Times New Roman" w:eastAsia="仿宋_GB2312"/>
          <w:color w:val="auto"/>
          <w:sz w:val="32"/>
          <w:szCs w:val="32"/>
        </w:rPr>
        <w:t>万元，主要是</w:t>
      </w:r>
      <w:r>
        <w:rPr>
          <w:rFonts w:hint="eastAsia" w:ascii="Times New Roman" w:hAnsi="Times New Roman" w:eastAsia="仿宋_GB2312"/>
          <w:color w:val="auto"/>
          <w:sz w:val="32"/>
          <w:szCs w:val="32"/>
          <w:lang w:eastAsia="zh-CN"/>
        </w:rPr>
        <w:t>公务车辆油料、车辆保险、公务出行过路费、公务车辆维修</w:t>
      </w:r>
      <w:r>
        <w:rPr>
          <w:rFonts w:hint="eastAsia" w:ascii="Times New Roman" w:hAnsi="Times New Roman" w:eastAsia="仿宋_GB2312"/>
          <w:color w:val="auto"/>
          <w:sz w:val="32"/>
          <w:szCs w:val="32"/>
        </w:rPr>
        <w:t>支出，截止202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年12月31日，我单位开支财政拨款的公务用车保有量为</w:t>
      </w:r>
      <w:r>
        <w:rPr>
          <w:rFonts w:hint="eastAsia" w:ascii="Times New Roman" w:hAnsi="Times New Roman" w:eastAsia="仿宋_GB2312"/>
          <w:color w:val="auto"/>
          <w:sz w:val="32"/>
          <w:szCs w:val="32"/>
          <w:lang w:val="en-US" w:eastAsia="zh-CN"/>
        </w:rPr>
        <w:t>29</w:t>
      </w:r>
      <w:r>
        <w:rPr>
          <w:rFonts w:hint="eastAsia" w:ascii="Times New Roman" w:hAnsi="Times New Roman" w:eastAsia="仿宋_GB2312"/>
          <w:color w:val="auto"/>
          <w:sz w:val="32"/>
          <w:szCs w:val="32"/>
        </w:rPr>
        <w:t>辆。</w:t>
      </w:r>
    </w:p>
    <w:p w14:paraId="6240A849">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八、政府性基金预算收入支出决算情况</w:t>
      </w:r>
    </w:p>
    <w:p w14:paraId="1F59D0BB">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年度政府性基金预算财政拨款收入</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万元；年初结转和结余</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万元，其中基本支出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万元，项目支出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万元；年末结转和结余</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w:t>
      </w:r>
    </w:p>
    <w:p w14:paraId="039A2D10">
      <w:pPr>
        <w:pStyle w:val="2"/>
        <w:keepNext w:val="0"/>
        <w:keepLines w:val="0"/>
        <w:pageBreakBefore w:val="0"/>
        <w:widowControl w:val="0"/>
        <w:kinsoku/>
        <w:wordWrap/>
        <w:overflowPunct/>
        <w:topLinePunct w:val="0"/>
        <w:bidi w:val="0"/>
        <w:snapToGrid/>
        <w:spacing w:line="600" w:lineRule="exact"/>
        <w:ind w:firstLine="643"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2565C2DD">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本部门202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年度机关运行经费支出</w:t>
      </w:r>
      <w:r>
        <w:rPr>
          <w:rFonts w:hint="eastAsia" w:ascii="Times New Roman" w:hAnsi="Times New Roman" w:eastAsia="仿宋_GB2312"/>
          <w:color w:val="auto"/>
          <w:sz w:val="32"/>
          <w:szCs w:val="32"/>
          <w:lang w:val="en-US" w:eastAsia="zh-CN"/>
        </w:rPr>
        <w:t>141.14</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比上年决算数</w:t>
      </w:r>
      <w:r>
        <w:rPr>
          <w:rFonts w:hint="eastAsia" w:ascii="Times New Roman" w:hAnsi="Times New Roman" w:eastAsia="仿宋_GB2312"/>
          <w:color w:val="auto"/>
          <w:sz w:val="32"/>
          <w:szCs w:val="32"/>
          <w:lang w:eastAsia="zh-CN"/>
        </w:rPr>
        <w:t>增加</w:t>
      </w:r>
      <w:r>
        <w:rPr>
          <w:rFonts w:hint="eastAsia" w:ascii="Times New Roman" w:hAnsi="Times New Roman" w:eastAsia="仿宋_GB2312"/>
          <w:color w:val="auto"/>
          <w:sz w:val="32"/>
          <w:szCs w:val="32"/>
          <w:lang w:val="en-US" w:eastAsia="zh-CN"/>
        </w:rPr>
        <w:t>17.23</w:t>
      </w:r>
      <w:r>
        <w:rPr>
          <w:rFonts w:hint="eastAsia" w:ascii="Times New Roman" w:hAnsi="Times New Roman" w:eastAsia="仿宋_GB2312"/>
          <w:color w:val="auto"/>
          <w:sz w:val="32"/>
          <w:szCs w:val="32"/>
        </w:rPr>
        <w:t>万元，降低</w:t>
      </w:r>
      <w:r>
        <w:rPr>
          <w:rFonts w:hint="eastAsia" w:ascii="Times New Roman" w:hAnsi="Times New Roman" w:eastAsia="仿宋_GB2312"/>
          <w:color w:val="auto"/>
          <w:sz w:val="32"/>
          <w:szCs w:val="32"/>
          <w:lang w:val="en-US" w:eastAsia="zh-CN"/>
        </w:rPr>
        <w:t>13.9</w:t>
      </w:r>
      <w:r>
        <w:rPr>
          <w:rFonts w:hint="eastAsia" w:ascii="Times New Roman" w:hAnsi="Times New Roman" w:eastAsia="仿宋_GB2312"/>
          <w:color w:val="auto"/>
          <w:sz w:val="32"/>
          <w:szCs w:val="32"/>
        </w:rPr>
        <w:t>%。主要原因是：</w:t>
      </w:r>
      <w:r>
        <w:rPr>
          <w:rFonts w:hint="eastAsia" w:ascii="Times New Roman" w:hAnsi="Times New Roman" w:eastAsia="仿宋_GB2312"/>
          <w:color w:val="auto"/>
          <w:sz w:val="32"/>
          <w:szCs w:val="32"/>
          <w:lang w:val="en-US" w:eastAsia="zh-CN"/>
        </w:rPr>
        <w:t>2025年将23.5万元“公务车辆运行维护费”纳入“公用经费”核算，导致机关运行经费数值增加。</w:t>
      </w:r>
    </w:p>
    <w:p w14:paraId="11FF5EC5">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十、一般性支出情况说明</w:t>
      </w:r>
    </w:p>
    <w:p w14:paraId="395996E6">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年本部门开支会议费</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用于召开</w:t>
      </w:r>
      <w:r>
        <w:rPr>
          <w:rFonts w:hint="eastAsia" w:ascii="Times New Roman" w:hAnsi="Times New Roman" w:eastAsia="仿宋_GB2312"/>
          <w:color w:val="auto"/>
          <w:sz w:val="32"/>
          <w:szCs w:val="32"/>
          <w:lang w:eastAsia="zh-CN"/>
        </w:rPr>
        <w:t>“全市森林防火建设项目申报工作座谈会”</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参会</w:t>
      </w:r>
      <w:r>
        <w:rPr>
          <w:rFonts w:hint="eastAsia" w:ascii="Times New Roman" w:hAnsi="Times New Roman" w:eastAsia="仿宋_GB2312"/>
          <w:color w:val="auto"/>
          <w:sz w:val="32"/>
          <w:szCs w:val="32"/>
          <w:lang w:val="en-US" w:eastAsia="zh-CN"/>
        </w:rPr>
        <w:t>14</w:t>
      </w:r>
      <w:r>
        <w:rPr>
          <w:rFonts w:hint="eastAsia" w:ascii="Times New Roman" w:hAnsi="Times New Roman" w:eastAsia="仿宋_GB2312"/>
          <w:color w:val="auto"/>
          <w:sz w:val="32"/>
          <w:szCs w:val="32"/>
        </w:rPr>
        <w:t>人，</w:t>
      </w:r>
      <w:r>
        <w:rPr>
          <w:rFonts w:hint="eastAsia" w:ascii="Times New Roman" w:hAnsi="Times New Roman" w:eastAsia="仿宋_GB2312"/>
          <w:color w:val="auto"/>
          <w:sz w:val="32"/>
          <w:szCs w:val="32"/>
          <w:lang w:eastAsia="zh-CN"/>
        </w:rPr>
        <w:t>开支会议费</w:t>
      </w:r>
      <w:r>
        <w:rPr>
          <w:rFonts w:hint="eastAsia" w:ascii="Times New Roman" w:hAnsi="Times New Roman" w:eastAsia="仿宋_GB2312"/>
          <w:color w:val="auto"/>
          <w:sz w:val="32"/>
          <w:szCs w:val="32"/>
          <w:lang w:val="en-US" w:eastAsia="zh-CN"/>
        </w:rPr>
        <w:t>0.14万元；2.用于召开“全市安全生产调度会”，参会119人，开支会议费0.81万元；3.用于召开“全市安全生产暨市应安委第二次全体会议”，开支0.83万元；4.用于召开“全市安全生产电视电话会议”，参会55人，开支会议费0.8万元；5.用于召开“怀化市应急和安全生产委员会2025第1次全体会议”，参会80人，开支会议费0.85万元；6.用于“年终安全生产考核会议场地租赁”，开支会议费0.57万元。</w:t>
      </w:r>
    </w:p>
    <w:p w14:paraId="3353366D">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2025年本部门</w:t>
      </w:r>
      <w:r>
        <w:rPr>
          <w:rFonts w:hint="eastAsia" w:ascii="Times New Roman" w:hAnsi="Times New Roman" w:eastAsia="仿宋_GB2312"/>
          <w:color w:val="auto"/>
          <w:sz w:val="32"/>
          <w:szCs w:val="32"/>
        </w:rPr>
        <w:t>开支培训费</w:t>
      </w:r>
      <w:r>
        <w:rPr>
          <w:rFonts w:hint="eastAsia" w:ascii="Times New Roman" w:hAnsi="Times New Roman" w:eastAsia="仿宋_GB2312"/>
          <w:color w:val="auto"/>
          <w:sz w:val="32"/>
          <w:szCs w:val="32"/>
          <w:lang w:val="en-US" w:eastAsia="zh-CN"/>
        </w:rPr>
        <w:t>2.34</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lang w:eastAsia="zh-CN"/>
        </w:rPr>
        <w:t>“应急管理新闻宣传业务培训费”</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培训</w:t>
      </w:r>
      <w:r>
        <w:rPr>
          <w:rFonts w:hint="eastAsia" w:ascii="Times New Roman" w:hAnsi="Times New Roman" w:eastAsia="仿宋_GB2312"/>
          <w:color w:val="auto"/>
          <w:sz w:val="32"/>
          <w:szCs w:val="32"/>
        </w:rPr>
        <w:t>人数</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人，</w:t>
      </w:r>
      <w:r>
        <w:rPr>
          <w:rFonts w:hint="eastAsia" w:ascii="Times New Roman" w:hAnsi="Times New Roman" w:eastAsia="仿宋_GB2312"/>
          <w:color w:val="auto"/>
          <w:sz w:val="32"/>
          <w:szCs w:val="32"/>
          <w:lang w:eastAsia="zh-CN"/>
        </w:rPr>
        <w:t>开支培训费</w:t>
      </w:r>
      <w:r>
        <w:rPr>
          <w:rFonts w:hint="eastAsia" w:ascii="Times New Roman" w:hAnsi="Times New Roman" w:eastAsia="仿宋_GB2312"/>
          <w:color w:val="auto"/>
          <w:sz w:val="32"/>
          <w:szCs w:val="32"/>
          <w:lang w:val="en-US" w:eastAsia="zh-CN"/>
        </w:rPr>
        <w:t>0.07万元；2.“全国金属冶炼企业落实安全生产主责培训费”，培训人数1人，开支培训费0.15万元；3.“第三届乡镇应急救援能力比武队伍培训费”，培训14人，开支培训费1.8万元；4.“应急管理干部培训第三期安全生产考试机构和考试点管理培训”，培训人数2人，开支培训费0.26万元;5.“2025年全民安全法规知识竞赛实操培训费”，培训1人，开支培训费0.06万元。</w:t>
      </w:r>
    </w:p>
    <w:p w14:paraId="39EFCAF5">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十一、关于政府采购支出说明</w:t>
      </w:r>
    </w:p>
    <w:p w14:paraId="7539C0F0">
      <w:pPr>
        <w:pStyle w:val="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color w:val="auto"/>
          <w:sz w:val="32"/>
          <w:szCs w:val="32"/>
        </w:rPr>
        <w:t>本部门202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年度政府采购支出总额</w:t>
      </w:r>
      <w:r>
        <w:rPr>
          <w:rFonts w:hint="eastAsia" w:ascii="Times New Roman" w:hAnsi="Times New Roman" w:eastAsia="仿宋_GB2312"/>
          <w:color w:val="auto"/>
          <w:sz w:val="32"/>
          <w:szCs w:val="32"/>
          <w:lang w:val="en-US" w:eastAsia="zh-CN"/>
        </w:rPr>
        <w:t>564.31</w:t>
      </w:r>
      <w:r>
        <w:rPr>
          <w:rFonts w:hint="eastAsia" w:ascii="Times New Roman" w:hAnsi="Times New Roman" w:eastAsia="仿宋_GB2312"/>
          <w:color w:val="auto"/>
          <w:sz w:val="32"/>
          <w:szCs w:val="32"/>
        </w:rPr>
        <w:t>万元，其中：政府采购货物支出</w:t>
      </w:r>
      <w:r>
        <w:rPr>
          <w:rFonts w:hint="eastAsia" w:ascii="Times New Roman" w:hAnsi="Times New Roman" w:eastAsia="仿宋_GB2312"/>
          <w:color w:val="auto"/>
          <w:sz w:val="32"/>
          <w:szCs w:val="32"/>
          <w:lang w:val="en-US" w:eastAsia="zh-CN"/>
        </w:rPr>
        <w:t>510.31</w:t>
      </w:r>
      <w:r>
        <w:rPr>
          <w:rFonts w:hint="eastAsia" w:ascii="Times New Roman" w:hAnsi="Times New Roman" w:eastAsia="仿宋_GB2312"/>
          <w:color w:val="auto"/>
          <w:sz w:val="32"/>
          <w:szCs w:val="32"/>
        </w:rPr>
        <w:t>万元、政府采购工程支出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万元、政府采购服务支出</w:t>
      </w:r>
      <w:r>
        <w:rPr>
          <w:rFonts w:hint="eastAsia" w:ascii="Times New Roman" w:hAnsi="Times New Roman" w:eastAsia="仿宋_GB2312"/>
          <w:color w:val="auto"/>
          <w:sz w:val="32"/>
          <w:szCs w:val="32"/>
          <w:lang w:val="en-US" w:eastAsia="zh-CN"/>
        </w:rPr>
        <w:t>54</w:t>
      </w:r>
      <w:r>
        <w:rPr>
          <w:rFonts w:hint="eastAsia" w:ascii="Times New Roman" w:hAnsi="Times New Roman" w:eastAsia="仿宋_GB2312"/>
          <w:color w:val="auto"/>
          <w:sz w:val="32"/>
          <w:szCs w:val="32"/>
        </w:rPr>
        <w:t>万元。授予中小企业合同金额</w:t>
      </w:r>
      <w:r>
        <w:rPr>
          <w:rFonts w:hint="eastAsia" w:ascii="Times New Roman" w:hAnsi="Times New Roman" w:eastAsia="仿宋_GB2312"/>
          <w:color w:val="auto"/>
          <w:sz w:val="32"/>
          <w:szCs w:val="32"/>
          <w:lang w:val="en-US" w:eastAsia="zh-CN"/>
        </w:rPr>
        <w:t>30</w:t>
      </w:r>
      <w:r>
        <w:rPr>
          <w:rFonts w:hint="eastAsia" w:ascii="Times New Roman" w:hAnsi="Times New Roman" w:eastAsia="仿宋_GB2312"/>
          <w:color w:val="auto"/>
          <w:sz w:val="32"/>
          <w:szCs w:val="32"/>
        </w:rPr>
        <w:t>万元，占政府采购支出总额的</w:t>
      </w:r>
      <w:r>
        <w:rPr>
          <w:rFonts w:hint="eastAsia" w:ascii="Times New Roman" w:hAnsi="Times New Roman" w:eastAsia="仿宋_GB2312"/>
          <w:color w:val="auto"/>
          <w:sz w:val="32"/>
          <w:szCs w:val="32"/>
          <w:lang w:val="en-US" w:eastAsia="zh-CN"/>
        </w:rPr>
        <w:t>5.32</w:t>
      </w:r>
      <w:r>
        <w:rPr>
          <w:rFonts w:hint="eastAsia" w:ascii="Times New Roman" w:hAnsi="Times New Roman" w:eastAsia="仿宋_GB2312"/>
          <w:color w:val="auto"/>
          <w:sz w:val="32"/>
          <w:szCs w:val="32"/>
        </w:rPr>
        <w:t>%，其中：授予小微企业合同金额</w:t>
      </w:r>
      <w:r>
        <w:rPr>
          <w:rFonts w:hint="eastAsia" w:ascii="Times New Roman" w:hAnsi="Times New Roman" w:eastAsia="仿宋_GB2312"/>
          <w:color w:val="auto"/>
          <w:sz w:val="32"/>
          <w:szCs w:val="32"/>
          <w:lang w:val="en-US" w:eastAsia="zh-CN"/>
        </w:rPr>
        <w:t>20</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66.67</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5.88</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55.56</w:t>
      </w:r>
      <w:r>
        <w:rPr>
          <w:rFonts w:hint="eastAsia" w:ascii="Times New Roman" w:hAnsi="Times New Roman" w:eastAsia="仿宋_GB2312"/>
          <w:color w:val="auto"/>
          <w:sz w:val="32"/>
          <w:szCs w:val="32"/>
        </w:rPr>
        <w:t>%。</w:t>
      </w:r>
    </w:p>
    <w:p w14:paraId="12419773">
      <w:pPr>
        <w:pStyle w:val="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66392EEA">
      <w:pPr>
        <w:pStyle w:val="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29</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24</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rPr>
        <w:t>辆，其他用车主要是</w:t>
      </w:r>
      <w:r>
        <w:rPr>
          <w:rFonts w:hint="eastAsia" w:ascii="Times New Roman" w:hAnsi="Times New Roman" w:eastAsia="仿宋_GB2312"/>
          <w:color w:val="auto"/>
          <w:sz w:val="32"/>
          <w:szCs w:val="32"/>
          <w:lang w:eastAsia="zh-CN"/>
        </w:rPr>
        <w:t>省级配发的应急保障用车的配套使用车辆</w:t>
      </w:r>
      <w:r>
        <w:rPr>
          <w:rFonts w:hint="eastAsia" w:ascii="Times New Roman" w:hAnsi="Times New Roman" w:eastAsia="仿宋_GB2312"/>
          <w:color w:val="auto"/>
          <w:sz w:val="32"/>
          <w:szCs w:val="32"/>
        </w:rPr>
        <w:t>；单位价值100万元以上设备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14:paraId="206B54C5">
      <w:pPr>
        <w:pStyle w:val="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0D662E78">
      <w:pPr>
        <w:keepNext w:val="0"/>
        <w:keepLines w:val="0"/>
        <w:pageBreakBefore w:val="0"/>
        <w:widowControl/>
        <w:suppressLineNumbers w:val="0"/>
        <w:shd w:val="clear" w:color="auto" w:fill="auto"/>
        <w:kinsoku/>
        <w:wordWrap/>
        <w:overflowPunct/>
        <w:topLinePunct w:val="0"/>
        <w:bidi w:val="0"/>
        <w:snapToGrid/>
        <w:spacing w:line="240" w:lineRule="auto"/>
        <w:ind w:left="0" w:leftChars="0" w:firstLine="640" w:firstLineChars="200"/>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我局20</w:t>
      </w:r>
      <w:r>
        <w:rPr>
          <w:rFonts w:hint="default" w:ascii="Times New Roman" w:hAnsi="Times New Roman" w:eastAsia="仿宋_GB2312" w:cs="黑体"/>
          <w:color w:val="auto"/>
          <w:kern w:val="0"/>
          <w:sz w:val="32"/>
          <w:szCs w:val="32"/>
          <w:lang w:val="en-US" w:eastAsia="zh-CN" w:bidi="ar-SA"/>
        </w:rPr>
        <w:t>2</w:t>
      </w:r>
      <w:r>
        <w:rPr>
          <w:rFonts w:hint="eastAsia" w:ascii="Times New Roman" w:hAnsi="Times New Roman" w:eastAsia="仿宋_GB2312" w:cs="黑体"/>
          <w:color w:val="auto"/>
          <w:kern w:val="0"/>
          <w:sz w:val="32"/>
          <w:szCs w:val="32"/>
          <w:lang w:val="en-US" w:eastAsia="zh-CN" w:bidi="ar-SA"/>
        </w:rPr>
        <w:t>5年预算编制完整精细，收支项目不漏项，收支活动全部纳入预算编制。绩效落实到位，整体和专项绩效均持续推进，促进全市安全生产工作协调有序发展。</w:t>
      </w:r>
    </w:p>
    <w:p w14:paraId="3D6B2EE2">
      <w:pPr>
        <w:pStyle w:val="3"/>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pacing w:val="-6"/>
          <w:sz w:val="32"/>
          <w:szCs w:val="32"/>
          <w:lang w:val="en-US" w:eastAsia="zh-CN"/>
        </w:rPr>
        <w:t>2025年，</w:t>
      </w:r>
      <w:r>
        <w:rPr>
          <w:rFonts w:hint="default" w:ascii="Times New Roman" w:hAnsi="Times New Roman" w:eastAsia="仿宋_GB2312" w:cs="Times New Roman"/>
          <w:color w:val="auto"/>
          <w:sz w:val="32"/>
          <w:szCs w:val="32"/>
          <w:lang w:eastAsia="zh-CN"/>
        </w:rPr>
        <w:t>怀化</w:t>
      </w:r>
      <w:r>
        <w:rPr>
          <w:rFonts w:hint="default" w:ascii="Times New Roman" w:hAnsi="Times New Roman" w:eastAsia="仿宋_GB2312" w:cs="Times New Roman"/>
          <w:color w:val="auto"/>
          <w:sz w:val="32"/>
          <w:szCs w:val="32"/>
          <w:lang w:val="en-US" w:eastAsia="zh-CN"/>
        </w:rPr>
        <w:t>市</w:t>
      </w:r>
      <w:r>
        <w:rPr>
          <w:rFonts w:hint="default" w:ascii="Times New Roman" w:hAnsi="Times New Roman" w:eastAsia="仿宋_GB2312" w:cs="Times New Roman"/>
          <w:color w:val="auto"/>
          <w:sz w:val="32"/>
          <w:szCs w:val="32"/>
          <w:lang w:eastAsia="zh-CN"/>
        </w:rPr>
        <w:t>以习近平新时代中国特色社会主义思想为指导，全面贯彻党的二十大和二十届</w:t>
      </w:r>
      <w:r>
        <w:rPr>
          <w:rFonts w:hint="eastAsia" w:ascii="Times New Roman" w:hAnsi="Times New Roman" w:eastAsia="仿宋_GB2312" w:cs="Times New Roman"/>
          <w:color w:val="auto"/>
          <w:sz w:val="32"/>
          <w:szCs w:val="32"/>
          <w:lang w:val="en-US" w:eastAsia="zh-CN"/>
        </w:rPr>
        <w:t>历次</w:t>
      </w:r>
      <w:r>
        <w:rPr>
          <w:rFonts w:hint="default" w:ascii="Times New Roman" w:hAnsi="Times New Roman" w:eastAsia="仿宋_GB2312" w:cs="Times New Roman"/>
          <w:color w:val="auto"/>
          <w:sz w:val="32"/>
          <w:szCs w:val="32"/>
          <w:lang w:eastAsia="zh-CN"/>
        </w:rPr>
        <w:t>全会精神，认真学习贯彻习近平总书记关于应急管理、安全生产的重要论述和指示批示精神</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坚决落实省委省政府决策部署，</w:t>
      </w:r>
      <w:r>
        <w:rPr>
          <w:rFonts w:hint="default" w:ascii="Times New Roman" w:hAnsi="Times New Roman" w:eastAsia="仿宋_GB2312" w:cs="Times New Roman"/>
          <w:b w:val="0"/>
          <w:bCs w:val="0"/>
          <w:color w:val="auto"/>
          <w:sz w:val="32"/>
          <w:szCs w:val="32"/>
          <w:shd w:val="clear" w:color="auto" w:fill="FFFFFF"/>
          <w:lang w:val="en-US" w:eastAsia="zh-CN"/>
        </w:rPr>
        <w:t>突出“大安全”“大应急”“大救援”三个重点，</w:t>
      </w:r>
      <w:r>
        <w:rPr>
          <w:rFonts w:hint="default" w:ascii="Times New Roman" w:hAnsi="Times New Roman" w:eastAsia="仿宋_GB2312" w:cs="Times New Roman"/>
          <w:b w:val="0"/>
          <w:bCs w:val="0"/>
          <w:color w:val="auto"/>
          <w:sz w:val="32"/>
          <w:szCs w:val="32"/>
          <w:lang w:eastAsia="zh-CN"/>
        </w:rPr>
        <w:t>全力以赴推进治本攻坚</w:t>
      </w:r>
      <w:r>
        <w:rPr>
          <w:rFonts w:hint="default" w:ascii="Times New Roman" w:hAnsi="Times New Roman" w:eastAsia="仿宋_GB2312" w:cs="Times New Roman"/>
          <w:b w:val="0"/>
          <w:bCs w:val="0"/>
          <w:color w:val="auto"/>
          <w:sz w:val="32"/>
          <w:szCs w:val="32"/>
          <w:lang w:val="en-US" w:eastAsia="zh-CN"/>
        </w:rPr>
        <w:t>和强基固本攻坚行动</w:t>
      </w:r>
      <w:r>
        <w:rPr>
          <w:rFonts w:hint="default" w:ascii="Times New Roman" w:hAnsi="Times New Roman" w:eastAsia="仿宋_GB2312" w:cs="Times New Roman"/>
          <w:b w:val="0"/>
          <w:bCs w:val="0"/>
          <w:color w:val="auto"/>
          <w:sz w:val="32"/>
          <w:szCs w:val="32"/>
          <w:lang w:eastAsia="zh-CN"/>
        </w:rPr>
        <w:t>，防范化解重大风险隐患，</w:t>
      </w:r>
      <w:r>
        <w:rPr>
          <w:rFonts w:hint="default" w:ascii="Times New Roman" w:hAnsi="Times New Roman" w:eastAsia="仿宋_GB2312" w:cs="Times New Roman"/>
          <w:b w:val="0"/>
          <w:bCs w:val="0"/>
          <w:color w:val="auto"/>
          <w:sz w:val="32"/>
          <w:szCs w:val="32"/>
          <w:lang w:val="en-US" w:eastAsia="zh-CN"/>
        </w:rPr>
        <w:t>尽全力将事故灾害损失降到最低，</w:t>
      </w:r>
      <w:r>
        <w:rPr>
          <w:rFonts w:hint="default" w:ascii="Times New Roman" w:hAnsi="Times New Roman" w:eastAsia="仿宋_GB2312" w:cs="Times New Roman"/>
          <w:b w:val="0"/>
          <w:bCs w:val="0"/>
          <w:color w:val="auto"/>
          <w:sz w:val="32"/>
          <w:szCs w:val="32"/>
          <w:lang w:eastAsia="zh-CN"/>
        </w:rPr>
        <w:t>确保怀化一方安澜</w:t>
      </w:r>
      <w:r>
        <w:rPr>
          <w:rFonts w:hint="default"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color w:val="auto"/>
          <w:sz w:val="32"/>
          <w:szCs w:val="32"/>
          <w:lang w:eastAsia="zh-CN"/>
        </w:rPr>
        <w:t>全</w:t>
      </w:r>
      <w:r>
        <w:rPr>
          <w:rFonts w:hint="default" w:ascii="Times New Roman" w:hAnsi="Times New Roman" w:eastAsia="仿宋_GB2312" w:cs="Times New Roman"/>
          <w:color w:val="auto"/>
          <w:sz w:val="32"/>
          <w:szCs w:val="32"/>
          <w:lang w:val="en-US" w:eastAsia="zh-CN"/>
        </w:rPr>
        <w:t>市</w:t>
      </w:r>
      <w:r>
        <w:rPr>
          <w:rFonts w:hint="default" w:ascii="Times New Roman" w:hAnsi="Times New Roman" w:eastAsia="仿宋_GB2312" w:cs="Times New Roman"/>
          <w:color w:val="auto"/>
          <w:sz w:val="32"/>
          <w:szCs w:val="32"/>
          <w:lang w:eastAsia="zh-CN"/>
        </w:rPr>
        <w:t>累计发生生产安全事故</w:t>
      </w:r>
      <w:r>
        <w:rPr>
          <w:rFonts w:hint="eastAsia" w:ascii="Times New Roman" w:hAnsi="Times New Roman" w:eastAsia="仿宋_GB2312" w:cs="Times New Roman"/>
          <w:color w:val="auto"/>
          <w:sz w:val="32"/>
          <w:szCs w:val="32"/>
          <w:lang w:val="en-US" w:eastAsia="zh-CN"/>
        </w:rPr>
        <w:t>54</w:t>
      </w:r>
      <w:r>
        <w:rPr>
          <w:rFonts w:hint="default" w:ascii="Times New Roman" w:hAnsi="Times New Roman" w:eastAsia="仿宋_GB2312" w:cs="Times New Roman"/>
          <w:color w:val="auto"/>
          <w:sz w:val="32"/>
          <w:szCs w:val="32"/>
          <w:lang w:eastAsia="zh-CN"/>
        </w:rPr>
        <w:t>起、死亡</w:t>
      </w:r>
      <w:r>
        <w:rPr>
          <w:rFonts w:hint="eastAsia" w:ascii="Times New Roman" w:hAnsi="Times New Roman" w:eastAsia="仿宋_GB2312" w:cs="Times New Roman"/>
          <w:color w:val="auto"/>
          <w:sz w:val="32"/>
          <w:szCs w:val="32"/>
          <w:lang w:val="en-US" w:eastAsia="zh-CN"/>
        </w:rPr>
        <w:t>72</w:t>
      </w:r>
      <w:r>
        <w:rPr>
          <w:rFonts w:hint="default" w:ascii="Times New Roman" w:hAnsi="Times New Roman" w:eastAsia="仿宋_GB2312" w:cs="Times New Roman"/>
          <w:color w:val="auto"/>
          <w:sz w:val="32"/>
          <w:szCs w:val="32"/>
          <w:lang w:eastAsia="zh-CN"/>
        </w:rPr>
        <w:t>人，同比分别下降</w:t>
      </w:r>
      <w:r>
        <w:rPr>
          <w:rFonts w:hint="eastAsia" w:ascii="Times New Roman" w:hAnsi="Times New Roman" w:eastAsia="仿宋_GB2312" w:cs="Times New Roman"/>
          <w:color w:val="auto"/>
          <w:sz w:val="32"/>
          <w:szCs w:val="32"/>
          <w:lang w:val="en-US" w:eastAsia="zh-CN"/>
        </w:rPr>
        <w:t>16</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92</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上升</w:t>
      </w:r>
      <w:r>
        <w:rPr>
          <w:rFonts w:hint="eastAsia" w:ascii="Times New Roman" w:hAnsi="Times New Roman" w:eastAsia="仿宋_GB2312" w:cs="Times New Roman"/>
          <w:color w:val="auto"/>
          <w:sz w:val="32"/>
          <w:szCs w:val="32"/>
          <w:lang w:val="en-US" w:eastAsia="zh-CN"/>
        </w:rPr>
        <w:t>16</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13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其中重大事故1起，较大事故2起。</w:t>
      </w:r>
      <w:r>
        <w:rPr>
          <w:rFonts w:hint="default" w:ascii="Times New Roman" w:hAnsi="Times New Roman" w:eastAsia="仿宋_GB2312" w:cs="Times New Roman"/>
          <w:b w:val="0"/>
          <w:bCs w:val="0"/>
          <w:color w:val="auto"/>
          <w:sz w:val="32"/>
          <w:szCs w:val="32"/>
          <w:lang w:eastAsia="zh-CN"/>
        </w:rPr>
        <w:t>扎实落实</w:t>
      </w:r>
      <w:r>
        <w:rPr>
          <w:rFonts w:hint="default" w:ascii="Times New Roman" w:hAnsi="Times New Roman" w:eastAsia="仿宋_GB2312" w:cs="Times New Roman"/>
          <w:b w:val="0"/>
          <w:bCs w:val="0"/>
          <w:color w:val="auto"/>
          <w:kern w:val="2"/>
          <w:sz w:val="32"/>
          <w:szCs w:val="32"/>
          <w:lang w:val="en-US" w:eastAsia="zh-CN" w:bidi="ar-SA"/>
        </w:rPr>
        <w:t>防汛抗灾“六条硬措施”，</w:t>
      </w:r>
      <w:r>
        <w:rPr>
          <w:rFonts w:hint="default" w:ascii="Times New Roman" w:hAnsi="Times New Roman" w:eastAsia="仿宋_GB2312" w:cs="Times New Roman"/>
          <w:b w:val="0"/>
          <w:bCs w:val="0"/>
          <w:color w:val="auto"/>
          <w:sz w:val="32"/>
          <w:szCs w:val="32"/>
          <w:lang w:val="en-US" w:eastAsia="zh-CN"/>
        </w:rPr>
        <w:t>成功应对11轮强降雨过程，</w:t>
      </w:r>
      <w:r>
        <w:rPr>
          <w:rFonts w:hint="default" w:ascii="Times New Roman" w:hAnsi="Times New Roman" w:eastAsia="仿宋_GB2312" w:cs="Times New Roman"/>
          <w:b w:val="0"/>
          <w:bCs w:val="0"/>
          <w:color w:val="auto"/>
          <w:kern w:val="2"/>
          <w:sz w:val="32"/>
          <w:szCs w:val="32"/>
          <w:lang w:val="en-US" w:eastAsia="zh-CN" w:bidi="ar-SA"/>
        </w:rPr>
        <w:t>成功避险77起，</w:t>
      </w:r>
      <w:r>
        <w:rPr>
          <w:rFonts w:hint="default" w:ascii="Times New Roman" w:hAnsi="Times New Roman" w:eastAsia="仿宋_GB2312" w:cs="Times New Roman"/>
          <w:b w:val="0"/>
          <w:bCs w:val="0"/>
          <w:color w:val="auto"/>
          <w:sz w:val="32"/>
          <w:szCs w:val="32"/>
          <w:lang w:val="en-US" w:eastAsia="zh-CN"/>
        </w:rPr>
        <w:t>实现防汛抗灾“四不一确保”工作目标</w:t>
      </w:r>
      <w:r>
        <w:rPr>
          <w:rFonts w:hint="default" w:ascii="Times New Roman" w:hAnsi="Times New Roman" w:eastAsia="仿宋_GB2312" w:cs="Times New Roman"/>
          <w:b w:val="0"/>
          <w:bCs w:val="0"/>
          <w:color w:val="auto"/>
          <w:kern w:val="2"/>
          <w:sz w:val="32"/>
          <w:szCs w:val="32"/>
          <w:lang w:val="en-US" w:eastAsia="zh-CN" w:bidi="ar-SA"/>
        </w:rPr>
        <w:t>。构建网格化森林防灭火管控体系，</w:t>
      </w:r>
      <w:r>
        <w:rPr>
          <w:rFonts w:hint="default" w:ascii="Times New Roman" w:hAnsi="Times New Roman" w:eastAsia="仿宋_GB2312" w:cs="Times New Roman"/>
          <w:b w:val="0"/>
          <w:bCs w:val="0"/>
          <w:color w:val="auto"/>
          <w:sz w:val="32"/>
          <w:szCs w:val="32"/>
          <w:lang w:val="en-US" w:eastAsia="zh-CN"/>
        </w:rPr>
        <w:t>强化县、乡森防救援队伍建设，全年未发生森林火灾。</w:t>
      </w:r>
    </w:p>
    <w:p w14:paraId="24DE2AEF">
      <w:pPr>
        <w:rPr>
          <w:color w:val="auto"/>
        </w:rPr>
      </w:pPr>
      <w:r>
        <w:rPr>
          <w:rFonts w:hint="eastAsia" w:ascii="Times New Roman" w:hAnsi="Times New Roman" w:eastAsia="仿宋_GB2312" w:cs="黑体"/>
          <w:color w:val="auto"/>
          <w:kern w:val="0"/>
          <w:sz w:val="32"/>
          <w:szCs w:val="32"/>
          <w:lang w:val="en-US" w:eastAsia="zh-CN" w:bidi="ar-SA"/>
        </w:rPr>
        <w:t>（见附件《怀化市应急管理局部门整体支出绩效评价报告》）</w:t>
      </w:r>
    </w:p>
    <w:p w14:paraId="250D6C8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F363BE"/>
    <w:multiLevelType w:val="singleLevel"/>
    <w:tmpl w:val="3BF363BE"/>
    <w:lvl w:ilvl="0" w:tentative="0">
      <w:start w:val="1"/>
      <w:numFmt w:val="decimal"/>
      <w:suff w:val="nothing"/>
      <w:lvlText w:val="%1、"/>
      <w:lvlJc w:val="left"/>
    </w:lvl>
  </w:abstractNum>
  <w:abstractNum w:abstractNumId="1">
    <w:nsid w:val="6DEAF959"/>
    <w:multiLevelType w:val="singleLevel"/>
    <w:tmpl w:val="6DEAF959"/>
    <w:lvl w:ilvl="0" w:tentative="0">
      <w:start w:val="1"/>
      <w:numFmt w:val="chineseCounting"/>
      <w:suff w:val="nothing"/>
      <w:lvlText w:val="（%1）"/>
      <w:lvlJc w:val="left"/>
      <w:pPr>
        <w:ind w:left="83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E55EEA"/>
    <w:rsid w:val="08631653"/>
    <w:rsid w:val="0C0A61AA"/>
    <w:rsid w:val="1DC51951"/>
    <w:rsid w:val="47040ADB"/>
    <w:rsid w:val="6FB7415A"/>
    <w:rsid w:val="7C616000"/>
    <w:rsid w:val="7E182106"/>
    <w:rsid w:val="FEFF1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Default"/>
    <w:next w:val="1"/>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3">
    <w:name w:val="endnote text"/>
    <w:basedOn w:val="1"/>
    <w:qFormat/>
    <w:uiPriority w:val="0"/>
    <w:rPr>
      <w:rFonts w:ascii="Calibri" w:hAnsi="Calibri" w:eastAsia="宋体" w:cs="黑体"/>
      <w:szCs w:val="22"/>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7525</Words>
  <Characters>8322</Characters>
  <Lines>0</Lines>
  <Paragraphs>0</Paragraphs>
  <TotalTime>4</TotalTime>
  <ScaleCrop>false</ScaleCrop>
  <LinksUpToDate>false</LinksUpToDate>
  <CharactersWithSpaces>8338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lenovo</dc:creator>
  <cp:lastModifiedBy>A梦</cp:lastModifiedBy>
  <dcterms:modified xsi:type="dcterms:W3CDTF">2026-10-10T10:51:03Z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KSOTemplateDocerSaveRecord">
    <vt:lpwstr>eyJoZGlkIjoiYzY3MjJlNDc4NjQyMDk4NTgwNWY3NDBhOTI0ZmNmNmYifQ==</vt:lpwstr>
  </property>
  <property fmtid="{D5CDD505-2E9C-101B-9397-08002B2CF9AE}" pid="4" name="ICV">
    <vt:lpwstr>D87EA077C0F54C83A315AFDEC238B955_12</vt:lpwstr>
  </property>
</Properties>
</file>