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3FEF">
      <w:pPr>
        <w:pStyle w:val="4"/>
        <w:jc w:val="center"/>
        <w:rPr>
          <w:rFonts w:hint="eastAsia" w:ascii="方正小标宋_GBK" w:hAnsi="方正小标宋_GBK" w:eastAsia="方正小标宋_GBK" w:cs="方正小标宋_GBK"/>
          <w:sz w:val="84"/>
          <w:szCs w:val="84"/>
        </w:rPr>
      </w:pPr>
    </w:p>
    <w:p w14:paraId="09115600">
      <w:pPr>
        <w:pStyle w:val="4"/>
        <w:jc w:val="center"/>
        <w:rPr>
          <w:rFonts w:hint="eastAsia" w:ascii="方正小标宋_GBK" w:hAnsi="方正小标宋_GBK" w:eastAsia="方正小标宋_GBK" w:cs="方正小标宋_GBK"/>
          <w:sz w:val="84"/>
          <w:szCs w:val="84"/>
        </w:rPr>
      </w:pPr>
    </w:p>
    <w:p w14:paraId="71C2B8B4">
      <w:pPr>
        <w:pStyle w:val="4"/>
        <w:jc w:val="center"/>
        <w:rPr>
          <w:rFonts w:hint="eastAsia" w:ascii="方正小标宋_GBK" w:hAnsi="方正小标宋_GBK" w:eastAsia="方正小标宋_GBK" w:cs="方正小标宋_GBK"/>
          <w:sz w:val="84"/>
          <w:szCs w:val="84"/>
        </w:rPr>
      </w:pPr>
    </w:p>
    <w:p w14:paraId="37DCB0A6">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0C5C5FDB">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部门决算</w:t>
      </w:r>
    </w:p>
    <w:p w14:paraId="04804B85">
      <w:pPr>
        <w:pStyle w:val="4"/>
        <w:jc w:val="center"/>
        <w:rPr>
          <w:rFonts w:hint="eastAsia" w:ascii="方正小标宋_GBK" w:hAnsi="方正小标宋_GBK" w:eastAsia="方正小标宋_GBK" w:cs="方正小标宋_GBK"/>
          <w:sz w:val="56"/>
          <w:szCs w:val="56"/>
        </w:rPr>
      </w:pPr>
    </w:p>
    <w:p w14:paraId="28EF6B29">
      <w:pPr>
        <w:pStyle w:val="4"/>
        <w:jc w:val="center"/>
        <w:rPr>
          <w:sz w:val="56"/>
          <w:szCs w:val="56"/>
        </w:rPr>
      </w:pPr>
    </w:p>
    <w:p w14:paraId="096EDD60">
      <w:pPr>
        <w:pStyle w:val="4"/>
        <w:jc w:val="center"/>
        <w:rPr>
          <w:sz w:val="56"/>
          <w:szCs w:val="56"/>
        </w:rPr>
      </w:pPr>
    </w:p>
    <w:p w14:paraId="56CC8221">
      <w:pPr>
        <w:pStyle w:val="4"/>
        <w:jc w:val="center"/>
        <w:rPr>
          <w:sz w:val="56"/>
          <w:szCs w:val="56"/>
        </w:rPr>
      </w:pPr>
    </w:p>
    <w:p w14:paraId="095A5CF8">
      <w:pPr>
        <w:pStyle w:val="4"/>
        <w:jc w:val="center"/>
        <w:rPr>
          <w:sz w:val="32"/>
          <w:szCs w:val="32"/>
        </w:rPr>
      </w:pPr>
    </w:p>
    <w:p w14:paraId="3DD1DBE3">
      <w:pPr>
        <w:pStyle w:val="4"/>
        <w:jc w:val="center"/>
        <w:rPr>
          <w:sz w:val="32"/>
          <w:szCs w:val="32"/>
        </w:rPr>
      </w:pPr>
    </w:p>
    <w:p w14:paraId="0CEC046A">
      <w:pPr>
        <w:pStyle w:val="4"/>
        <w:jc w:val="center"/>
        <w:rPr>
          <w:sz w:val="32"/>
          <w:szCs w:val="32"/>
        </w:rPr>
      </w:pPr>
    </w:p>
    <w:p w14:paraId="0B6DF60F">
      <w:pPr>
        <w:pStyle w:val="4"/>
        <w:jc w:val="center"/>
        <w:rPr>
          <w:sz w:val="32"/>
          <w:szCs w:val="32"/>
        </w:rPr>
      </w:pPr>
    </w:p>
    <w:p w14:paraId="269429D4">
      <w:pPr>
        <w:pStyle w:val="4"/>
        <w:jc w:val="center"/>
        <w:rPr>
          <w:sz w:val="32"/>
          <w:szCs w:val="32"/>
        </w:rPr>
      </w:pPr>
    </w:p>
    <w:p w14:paraId="793B5260">
      <w:pPr>
        <w:pStyle w:val="4"/>
        <w:spacing w:line="500" w:lineRule="exact"/>
        <w:jc w:val="both"/>
        <w:rPr>
          <w:b/>
          <w:sz w:val="36"/>
          <w:szCs w:val="28"/>
        </w:rPr>
      </w:pPr>
    </w:p>
    <w:p w14:paraId="3422AB5F">
      <w:pPr>
        <w:pStyle w:val="4"/>
        <w:spacing w:line="500" w:lineRule="exact"/>
        <w:jc w:val="center"/>
        <w:rPr>
          <w:b/>
          <w:sz w:val="36"/>
          <w:szCs w:val="28"/>
        </w:rPr>
      </w:pPr>
      <w:r>
        <w:rPr>
          <w:rFonts w:hint="eastAsia"/>
          <w:b/>
          <w:sz w:val="36"/>
          <w:szCs w:val="28"/>
        </w:rPr>
        <w:t>目录</w:t>
      </w:r>
    </w:p>
    <w:p w14:paraId="09B559D8">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怀化市应急管理局</w:t>
      </w:r>
      <w:r>
        <w:rPr>
          <w:rFonts w:hint="eastAsia" w:ascii="黑体" w:hAnsi="黑体" w:eastAsia="黑体" w:cs="黑体"/>
          <w:b w:val="0"/>
          <w:bCs/>
          <w:sz w:val="28"/>
          <w:szCs w:val="28"/>
        </w:rPr>
        <w:t>概况</w:t>
      </w:r>
    </w:p>
    <w:p w14:paraId="02608A02">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23FCF49">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523BFD5">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1974BFC">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C12042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43A4875">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9EB189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E97B768">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E511438">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1ED80F3">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E4B3BF">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65999B2">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A0C3F6">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04EFFD3">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F58BC7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E9236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1CD3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3B70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EC852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B4EE5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560A9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01E8D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62A9B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BB331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0A95471">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C1EF96A">
      <w:pPr>
        <w:pStyle w:val="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418F85A">
      <w:pPr>
        <w:pStyle w:val="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A74B930">
      <w:pPr>
        <w:pStyle w:val="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EBBB980">
      <w:pPr>
        <w:pStyle w:val="4"/>
        <w:spacing w:line="500" w:lineRule="exact"/>
        <w:rPr>
          <w:rFonts w:hint="eastAsia" w:ascii="黑体" w:hAnsi="黑体" w:eastAsia="黑体" w:cs="黑体"/>
          <w:b w:val="0"/>
          <w:bCs/>
          <w:sz w:val="28"/>
          <w:szCs w:val="28"/>
        </w:rPr>
      </w:pPr>
    </w:p>
    <w:p w14:paraId="3114A16F">
      <w:pPr>
        <w:jc w:val="center"/>
        <w:rPr>
          <w:sz w:val="72"/>
          <w:szCs w:val="72"/>
        </w:rPr>
      </w:pPr>
    </w:p>
    <w:p w14:paraId="5D9C82FE">
      <w:pPr>
        <w:jc w:val="center"/>
        <w:rPr>
          <w:sz w:val="72"/>
          <w:szCs w:val="72"/>
        </w:rPr>
      </w:pPr>
    </w:p>
    <w:p w14:paraId="1D330BCB">
      <w:pPr>
        <w:jc w:val="center"/>
        <w:rPr>
          <w:sz w:val="72"/>
          <w:szCs w:val="72"/>
        </w:rPr>
      </w:pPr>
    </w:p>
    <w:p w14:paraId="03B60B6D">
      <w:pPr>
        <w:jc w:val="center"/>
        <w:rPr>
          <w:sz w:val="72"/>
          <w:szCs w:val="72"/>
        </w:rPr>
      </w:pPr>
    </w:p>
    <w:p w14:paraId="79F0C14D">
      <w:pPr>
        <w:rPr>
          <w:rFonts w:hint="eastAsia" w:ascii="方正小标宋_GBK" w:hAnsi="方正小标宋_GBK" w:eastAsia="方正小标宋_GBK" w:cs="方正小标宋_GBK"/>
          <w:sz w:val="72"/>
          <w:szCs w:val="72"/>
        </w:rPr>
      </w:pPr>
    </w:p>
    <w:p w14:paraId="2CE07B57">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A6FF459">
      <w:pPr>
        <w:pStyle w:val="4"/>
        <w:jc w:val="center"/>
        <w:rPr>
          <w:rFonts w:hint="eastAsia" w:ascii="方正小标宋_GBK" w:hAnsi="方正小标宋_GBK" w:eastAsia="方正小标宋_GBK" w:cs="方正小标宋_GBK"/>
          <w:sz w:val="84"/>
          <w:szCs w:val="84"/>
        </w:rPr>
      </w:pPr>
    </w:p>
    <w:p w14:paraId="630ECE98">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概况</w:t>
      </w:r>
    </w:p>
    <w:p w14:paraId="15A1BD3D">
      <w:pPr>
        <w:jc w:val="center"/>
        <w:rPr>
          <w:rFonts w:hint="eastAsia" w:ascii="方正小标宋_GBK" w:hAnsi="方正小标宋_GBK" w:eastAsia="方正小标宋_GBK" w:cs="方正小标宋_GBK"/>
          <w:sz w:val="72"/>
          <w:szCs w:val="72"/>
        </w:rPr>
      </w:pPr>
    </w:p>
    <w:p w14:paraId="5BA6453F">
      <w:pPr>
        <w:jc w:val="center"/>
        <w:rPr>
          <w:rFonts w:hint="eastAsia" w:ascii="方正小标宋_GBK" w:hAnsi="方正小标宋_GBK" w:eastAsia="方正小标宋_GBK" w:cs="方正小标宋_GBK"/>
          <w:sz w:val="72"/>
          <w:szCs w:val="72"/>
        </w:rPr>
      </w:pPr>
    </w:p>
    <w:p w14:paraId="274C3882">
      <w:pPr>
        <w:jc w:val="center"/>
        <w:rPr>
          <w:sz w:val="72"/>
          <w:szCs w:val="72"/>
        </w:rPr>
      </w:pPr>
    </w:p>
    <w:p w14:paraId="0D3D1A5F">
      <w:pPr>
        <w:jc w:val="center"/>
        <w:rPr>
          <w:sz w:val="72"/>
          <w:szCs w:val="72"/>
        </w:rPr>
      </w:pPr>
    </w:p>
    <w:p w14:paraId="706F59FA">
      <w:pPr>
        <w:pStyle w:val="5"/>
        <w:numPr>
          <w:ilvl w:val="0"/>
          <w:numId w:val="0"/>
        </w:numPr>
        <w:ind w:leftChars="0"/>
        <w:jc w:val="left"/>
        <w:rPr>
          <w:rFonts w:hint="eastAsia" w:ascii="黑体" w:hAnsi="黑体" w:eastAsia="黑体" w:cs="黑体"/>
          <w:b w:val="0"/>
          <w:bCs w:val="0"/>
          <w:sz w:val="32"/>
          <w:szCs w:val="32"/>
        </w:rPr>
      </w:pPr>
    </w:p>
    <w:p w14:paraId="69803983">
      <w:pPr>
        <w:pStyle w:val="5"/>
        <w:numPr>
          <w:ilvl w:val="0"/>
          <w:numId w:val="0"/>
        </w:numPr>
        <w:ind w:firstLine="1280" w:firstLineChars="4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42D02D4E">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负责应急管理工作，指导全市各地各部门应对安全生产类、自然灾害类等突发事件和综合防灾减灾救灾工作。负责安全生产综合监督管理和工矿商贸行业（含煤矿）安全生产监督管理工作。</w:t>
      </w:r>
    </w:p>
    <w:p w14:paraId="1B9D2709">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贯彻实施相关法律法规、部门规章、规程和标准，组织编制全市应急体系建设、安全生产和综合防灾减灾规划，组织起草有关地方性法规、政府规章草案，组织拟订相关政策、规程和标准并监督实施。</w:t>
      </w:r>
    </w:p>
    <w:p w14:paraId="7F2B183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应急预案体系建设，建立完善事故灾难和自然灾害分级应对制度，组织编制怀化市总体应急预案和安全生产类、自然灾害类专项预案，综合协调应急预案衔接工作，组织开展预案演练，推动应急避难设施建设。</w:t>
      </w:r>
    </w:p>
    <w:p w14:paraId="3A19F2C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牵头推进全市统一的应急管理信息系统建设，负责信息传输渠道的规划和布局，建立监测预警和灾情报告制度，健全自然灾害信息资源获取和共享机制，依法统一发布灾情。</w:t>
      </w:r>
    </w:p>
    <w:p w14:paraId="79012501">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组织指导协调安全生产类、自然灾害类等突发事件应急救援，承担市应对较大灾害指挥部工作，综合研判突发事件发展态势并提出应对建议，协助市委、市政府指定的负责同志组织较大及以上灾害应急处置工作。</w:t>
      </w:r>
    </w:p>
    <w:p w14:paraId="4E24FBB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统一协调指挥各类应急专业队伍，建立应急协调联动机制，推进指挥平台对接，负责做好解放军和武警部队参与应急救援相关衔接工作。</w:t>
      </w:r>
    </w:p>
    <w:p w14:paraId="4170F4C6">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筹全市应急救援力量建设，负责消防、森林和草原火灾扑救、抗洪抢险、地震和地质灾害救援、生产安全事故救援等专业应急救援力量建设，依权限做好驻市综合性应急救援队伍建设的相关工作，指导地方及社会应急救援力量建设。</w:t>
      </w:r>
    </w:p>
    <w:p w14:paraId="35A2E30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负责全市消防管理有关工作，指导地方消防监督、火灾预防、火灾扑救等工作。</w:t>
      </w:r>
    </w:p>
    <w:p w14:paraId="7C5772F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指导协调全市森林和草原火灾、水旱灾害、地震和地质灾害等防治工作，负责自然灾害综合监测预警工作，指导开展自然灾害综合风险评估工作。</w:t>
      </w:r>
    </w:p>
    <w:p w14:paraId="386560D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组织协调灾害救助工作，组织指导灾情核查、损失评估、救灾捐赠工作，按权限管理、分配中央和省下达及市级救灾款物并监督使用。</w:t>
      </w:r>
    </w:p>
    <w:p w14:paraId="6DEC78E2">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依法行使安全生产综合监督管理职权，指导协调、监督检查市政府有关部门和各县市人民政府（经开区管委会）安全生产工作，组织开展安全生产巡查、考核工作。</w:t>
      </w:r>
    </w:p>
    <w:p w14:paraId="75933CE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 监督管理综合工作和烟花爆竹安全生产监督管理工作。</w:t>
      </w:r>
    </w:p>
    <w:p w14:paraId="492719F7">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负责全市非煤矿山安全生产地方监管和非煤矿山安全基础管理监督指导工作。</w:t>
      </w:r>
    </w:p>
    <w:p w14:paraId="0D5D5C6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依法组织指导生产安全事故调查处理，监督事故查处和责任追究落实情况。组织开展自然灾害类突发事件的调查评估工作。</w:t>
      </w:r>
    </w:p>
    <w:p w14:paraId="1FDE547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开展应急管理对外交流与合作，组织参与安全生产类、自然灾害类等突发事件的对外救援工作。</w:t>
      </w:r>
    </w:p>
    <w:p w14:paraId="133B9E1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制定全市应急物资储备和应急救援装备规划并组织实施，会同市粮食和物资储备局等部门建立健全应急物资信息平台和调拨制度，在救灾时统一调度。</w:t>
      </w:r>
    </w:p>
    <w:p w14:paraId="7342599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负责应急管理、安全生产宣传教育和培训工作，组织指导应急管理、安全生产的科学技术研究、推广应用和信息化建设工作。</w:t>
      </w:r>
    </w:p>
    <w:p w14:paraId="0FECD86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承担市防汛抗旱指挥部日常工作，协调市防汛抗旱指挥部成员单位的相关工作，组织执行国家防汛抗旱总指挥部、省防汛抗旱指挥部、相关流域防汛抗旱指挥机构和市防汛抗旱指挥部的指示、命令。</w:t>
      </w:r>
    </w:p>
    <w:p w14:paraId="47F4A78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完成市委、市政府交办的其他任务。</w:t>
      </w:r>
    </w:p>
    <w:p w14:paraId="6F4C3DE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职能转变。市应急局应加强、优化、统筹全市应急能力建设，构建统一领导、权责一致、权威高效的应急能力体系，推动形成统一指挥、专常兼备、反应灵敏、上下联动、平战结合的中国特色应急管理体制。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坚持以人为本，把确保人民群众生命安全放在首位，确保受灾群众基本生活，加强应急预案演练, 增强全民防灾减灾意识，提升公众知识普及和自救互救技能，切实减少人员伤亡和财产损失。树立安全发展理念，坚持生命至上、安全第一，完善安全生产责任制，坚决遏制重特大安全事故。</w:t>
      </w:r>
    </w:p>
    <w:p w14:paraId="054A2970">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92A3811">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color w:val="auto"/>
          <w:kern w:val="0"/>
          <w:sz w:val="32"/>
          <w:szCs w:val="32"/>
          <w:lang w:eastAsia="zh-CN"/>
        </w:rPr>
        <w:t>怀化市应急管理局</w:t>
      </w:r>
      <w:r>
        <w:rPr>
          <w:rFonts w:hint="eastAsia" w:ascii="Times New Roman" w:hAnsi="Times New Roman" w:eastAsia="仿宋_GB2312" w:cs="仿宋_GB2312"/>
          <w:bCs/>
          <w:color w:val="auto"/>
          <w:kern w:val="0"/>
          <w:sz w:val="32"/>
          <w:szCs w:val="32"/>
        </w:rPr>
        <w:t>内设机构包括：</w:t>
      </w:r>
      <w:r>
        <w:rPr>
          <w:rFonts w:hint="eastAsia" w:ascii="仿宋_GB2312" w:hAnsi="仿宋_GB2312" w:eastAsia="仿宋_GB2312" w:cs="仿宋_GB2312"/>
          <w:color w:val="auto"/>
          <w:sz w:val="32"/>
          <w:szCs w:val="32"/>
          <w:lang w:val="en-US" w:eastAsia="zh-CN"/>
        </w:rPr>
        <w:t>内设办公室（党委办公室）、应急指挥中心（科技和信息化科）、人事科、新闻宣传和教育培训科、救援协调和预案管理科、火灾防治管理科、防汛抗旱科（地震和地质灾害救援科）、危险化学品安全监督管理科（烟花爆竹安全监督管理科）、矿山安全监督管理科、工贸行业安全监督管理科、安全生产综合协调科、调查评估和统计科、救灾和物资保障科、政策法规科、规划财务科、政治部、机关党委17个内设科室。</w:t>
      </w:r>
      <w:r>
        <w:rPr>
          <w:rFonts w:hint="eastAsia" w:ascii="仿宋_GB2312" w:hAnsi="仿宋_GB2312" w:eastAsia="仿宋_GB2312" w:cs="仿宋_GB2312"/>
          <w:color w:val="auto"/>
          <w:sz w:val="32"/>
          <w:szCs w:val="32"/>
          <w:lang w:val="en-US" w:eastAsia="zh-CN"/>
        </w:rPr>
        <w:t>二级单位包括应急事务中心、专业应急救援支队、市地震局。截止2024年12月31日，本部门及直属机构经市编委核定的全额编制为62个，其中行政编制43个，全额拨款事业编制19个。本部门期末实有在职人员62人。</w:t>
      </w:r>
    </w:p>
    <w:p w14:paraId="6EF24E2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怀化市应急管理局</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年部门决公开单位构成包括：</w:t>
      </w:r>
      <w:r>
        <w:rPr>
          <w:rFonts w:hint="eastAsia" w:ascii="Times New Roman" w:hAnsi="Times New Roman" w:eastAsia="仿宋_GB2312" w:cs="仿宋_GB2312"/>
          <w:bCs/>
          <w:kern w:val="0"/>
          <w:sz w:val="32"/>
          <w:szCs w:val="32"/>
          <w:lang w:eastAsia="zh-CN"/>
        </w:rPr>
        <w:t>怀化市应急管理局本级。</w:t>
      </w:r>
    </w:p>
    <w:p w14:paraId="64CBFF28">
      <w:pPr>
        <w:jc w:val="left"/>
        <w:rPr>
          <w:rFonts w:ascii="仿宋_GB2312" w:eastAsia="仿宋_GB2312" w:hAnsiTheme="minorEastAsia"/>
          <w:sz w:val="28"/>
          <w:szCs w:val="32"/>
        </w:rPr>
      </w:pPr>
    </w:p>
    <w:p w14:paraId="28C29CDE">
      <w:pPr>
        <w:jc w:val="center"/>
        <w:rPr>
          <w:rFonts w:ascii="黑体" w:hAnsi="黑体" w:eastAsia="黑体"/>
          <w:sz w:val="28"/>
          <w:szCs w:val="28"/>
        </w:rPr>
      </w:pPr>
    </w:p>
    <w:p w14:paraId="4F51023D">
      <w:pPr>
        <w:jc w:val="center"/>
        <w:rPr>
          <w:rFonts w:ascii="黑体" w:hAnsi="黑体" w:eastAsia="黑体"/>
          <w:sz w:val="28"/>
          <w:szCs w:val="28"/>
        </w:rPr>
      </w:pPr>
    </w:p>
    <w:p w14:paraId="42FC8682">
      <w:pPr>
        <w:jc w:val="center"/>
        <w:rPr>
          <w:rFonts w:ascii="黑体" w:hAnsi="黑体" w:eastAsia="黑体"/>
          <w:sz w:val="28"/>
          <w:szCs w:val="28"/>
        </w:rPr>
      </w:pPr>
    </w:p>
    <w:p w14:paraId="5B5544A0">
      <w:pPr>
        <w:jc w:val="center"/>
        <w:rPr>
          <w:rFonts w:ascii="黑体" w:hAnsi="黑体" w:eastAsia="黑体"/>
          <w:sz w:val="28"/>
          <w:szCs w:val="28"/>
        </w:rPr>
      </w:pPr>
    </w:p>
    <w:p w14:paraId="12F45149">
      <w:pPr>
        <w:jc w:val="center"/>
        <w:rPr>
          <w:rFonts w:ascii="黑体" w:hAnsi="黑体" w:eastAsia="黑体"/>
          <w:sz w:val="28"/>
          <w:szCs w:val="28"/>
        </w:rPr>
      </w:pPr>
    </w:p>
    <w:p w14:paraId="5FEEDB4B">
      <w:pPr>
        <w:jc w:val="center"/>
        <w:rPr>
          <w:rFonts w:ascii="黑体" w:hAnsi="黑体" w:eastAsia="黑体"/>
          <w:sz w:val="28"/>
          <w:szCs w:val="28"/>
        </w:rPr>
      </w:pPr>
    </w:p>
    <w:p w14:paraId="4E0D51BE">
      <w:pPr>
        <w:jc w:val="center"/>
        <w:rPr>
          <w:rFonts w:ascii="黑体" w:hAnsi="黑体" w:eastAsia="黑体"/>
          <w:sz w:val="28"/>
          <w:szCs w:val="28"/>
        </w:rPr>
      </w:pPr>
    </w:p>
    <w:p w14:paraId="5C6416A2">
      <w:pPr>
        <w:jc w:val="center"/>
        <w:rPr>
          <w:rFonts w:ascii="黑体" w:hAnsi="黑体" w:eastAsia="黑体"/>
          <w:sz w:val="28"/>
          <w:szCs w:val="28"/>
        </w:rPr>
      </w:pPr>
    </w:p>
    <w:p w14:paraId="16A48179">
      <w:pPr>
        <w:jc w:val="center"/>
        <w:rPr>
          <w:rFonts w:ascii="黑体" w:hAnsi="黑体" w:eastAsia="黑体"/>
          <w:sz w:val="28"/>
          <w:szCs w:val="28"/>
        </w:rPr>
      </w:pPr>
    </w:p>
    <w:p w14:paraId="50611B3A">
      <w:pPr>
        <w:jc w:val="center"/>
        <w:rPr>
          <w:rFonts w:ascii="黑体" w:hAnsi="黑体" w:eastAsia="黑体"/>
          <w:sz w:val="28"/>
          <w:szCs w:val="28"/>
        </w:rPr>
      </w:pPr>
    </w:p>
    <w:p w14:paraId="600A603A">
      <w:pPr>
        <w:jc w:val="center"/>
        <w:rPr>
          <w:rFonts w:ascii="黑体" w:hAnsi="黑体" w:eastAsia="黑体"/>
          <w:sz w:val="28"/>
          <w:szCs w:val="28"/>
        </w:rPr>
      </w:pPr>
    </w:p>
    <w:p w14:paraId="223A811A">
      <w:pPr>
        <w:jc w:val="center"/>
        <w:rPr>
          <w:rFonts w:ascii="黑体" w:hAnsi="黑体" w:eastAsia="黑体"/>
          <w:sz w:val="28"/>
          <w:szCs w:val="28"/>
        </w:rPr>
      </w:pPr>
    </w:p>
    <w:p w14:paraId="418870C7">
      <w:pPr>
        <w:jc w:val="center"/>
        <w:rPr>
          <w:sz w:val="72"/>
          <w:szCs w:val="72"/>
        </w:rPr>
      </w:pPr>
    </w:p>
    <w:p w14:paraId="634BD7DA">
      <w:pPr>
        <w:jc w:val="center"/>
        <w:rPr>
          <w:sz w:val="72"/>
          <w:szCs w:val="72"/>
        </w:rPr>
      </w:pPr>
    </w:p>
    <w:p w14:paraId="430ED1D6">
      <w:pPr>
        <w:jc w:val="center"/>
        <w:rPr>
          <w:sz w:val="72"/>
          <w:szCs w:val="72"/>
        </w:rPr>
      </w:pPr>
    </w:p>
    <w:p w14:paraId="3F97DAA8">
      <w:pPr>
        <w:jc w:val="center"/>
        <w:rPr>
          <w:sz w:val="72"/>
          <w:szCs w:val="72"/>
        </w:rPr>
      </w:pPr>
    </w:p>
    <w:p w14:paraId="1A39FA5F">
      <w:pPr>
        <w:pStyle w:val="4"/>
        <w:jc w:val="center"/>
        <w:rPr>
          <w:rFonts w:hint="eastAsia" w:ascii="方正小标宋_GBK" w:hAnsi="方正小标宋_GBK" w:eastAsia="方正小标宋_GBK" w:cs="方正小标宋_GBK"/>
          <w:sz w:val="84"/>
          <w:szCs w:val="84"/>
        </w:rPr>
      </w:pPr>
    </w:p>
    <w:p w14:paraId="149897D0">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2E80B09">
      <w:pPr>
        <w:pStyle w:val="4"/>
        <w:jc w:val="center"/>
        <w:rPr>
          <w:rFonts w:hint="eastAsia" w:ascii="方正小标宋_GBK" w:hAnsi="方正小标宋_GBK" w:eastAsia="方正小标宋_GBK" w:cs="方正小标宋_GBK"/>
          <w:sz w:val="84"/>
          <w:szCs w:val="84"/>
        </w:rPr>
      </w:pPr>
    </w:p>
    <w:p w14:paraId="623E7791">
      <w:pPr>
        <w:pStyle w:val="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17D94C2">
      <w:pPr>
        <w:pStyle w:val="4"/>
        <w:jc w:val="center"/>
        <w:rPr>
          <w:rFonts w:hint="eastAsia" w:ascii="方正小标宋_GBK" w:hAnsi="方正小标宋_GBK" w:eastAsia="方正小标宋_GBK" w:cs="方正小标宋_GBK"/>
          <w:sz w:val="84"/>
          <w:szCs w:val="84"/>
        </w:rPr>
      </w:pPr>
    </w:p>
    <w:p w14:paraId="3BAD888E">
      <w:pPr>
        <w:jc w:val="center"/>
        <w:rPr>
          <w:rFonts w:hint="eastAsia" w:eastAsiaTheme="minorEastAsia"/>
          <w:sz w:val="72"/>
          <w:szCs w:val="72"/>
          <w:lang w:eastAsia="zh-CN"/>
        </w:rPr>
      </w:pPr>
      <w:r>
        <w:rPr>
          <w:rFonts w:hint="eastAsia"/>
          <w:sz w:val="72"/>
          <w:szCs w:val="72"/>
          <w:lang w:eastAsia="zh-CN"/>
        </w:rPr>
        <w:t>（详情见附件）</w:t>
      </w:r>
    </w:p>
    <w:p w14:paraId="1F18F630">
      <w:pPr>
        <w:widowControl/>
        <w:jc w:val="both"/>
        <w:rPr>
          <w:sz w:val="72"/>
          <w:szCs w:val="72"/>
        </w:rPr>
      </w:pPr>
    </w:p>
    <w:p w14:paraId="73192DE5">
      <w:pPr>
        <w:widowControl/>
        <w:jc w:val="both"/>
        <w:rPr>
          <w:sz w:val="72"/>
          <w:szCs w:val="72"/>
        </w:rPr>
        <w:sectPr>
          <w:pgSz w:w="11906" w:h="16838"/>
          <w:pgMar w:top="720" w:right="720" w:bottom="720" w:left="720" w:header="851" w:footer="992" w:gutter="0"/>
          <w:cols w:space="425" w:num="1"/>
          <w:docGrid w:type="lines" w:linePitch="312" w:charSpace="0"/>
        </w:sectPr>
      </w:pPr>
    </w:p>
    <w:p w14:paraId="28F2652D">
      <w:pPr>
        <w:pStyle w:val="4"/>
        <w:rPr>
          <w:sz w:val="72"/>
          <w:szCs w:val="72"/>
        </w:rPr>
      </w:pPr>
    </w:p>
    <w:p w14:paraId="6A325CF0">
      <w:pPr>
        <w:pStyle w:val="4"/>
        <w:rPr>
          <w:sz w:val="72"/>
          <w:szCs w:val="72"/>
        </w:rPr>
      </w:pPr>
    </w:p>
    <w:p w14:paraId="4B84BDD8">
      <w:pPr>
        <w:pStyle w:val="4"/>
        <w:rPr>
          <w:sz w:val="72"/>
          <w:szCs w:val="72"/>
        </w:rPr>
      </w:pPr>
    </w:p>
    <w:p w14:paraId="4F5D2524">
      <w:pPr>
        <w:pStyle w:val="4"/>
        <w:jc w:val="center"/>
        <w:rPr>
          <w:sz w:val="72"/>
          <w:szCs w:val="72"/>
        </w:rPr>
      </w:pPr>
    </w:p>
    <w:p w14:paraId="51322377">
      <w:pPr>
        <w:pStyle w:val="4"/>
        <w:jc w:val="center"/>
        <w:rPr>
          <w:rFonts w:hint="eastAsia" w:ascii="方正小标宋_GBK" w:hAnsi="方正小标宋_GBK" w:eastAsia="方正小标宋_GBK" w:cs="方正小标宋_GBK"/>
          <w:sz w:val="72"/>
          <w:szCs w:val="72"/>
        </w:rPr>
      </w:pPr>
    </w:p>
    <w:p w14:paraId="79A6BE41">
      <w:pPr>
        <w:pStyle w:val="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2D179B">
      <w:pPr>
        <w:pStyle w:val="4"/>
        <w:jc w:val="center"/>
        <w:rPr>
          <w:rFonts w:hint="eastAsia" w:ascii="方正小标宋_GBK" w:hAnsi="方正小标宋_GBK" w:eastAsia="方正小标宋_GBK" w:cs="方正小标宋_GBK"/>
          <w:sz w:val="70"/>
          <w:szCs w:val="70"/>
        </w:rPr>
      </w:pPr>
    </w:p>
    <w:p w14:paraId="57A3A491">
      <w:pPr>
        <w:pStyle w:val="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w:t>
      </w:r>
    </w:p>
    <w:p w14:paraId="3EDBE46A">
      <w:pPr>
        <w:pStyle w:val="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情况说明</w:t>
      </w:r>
    </w:p>
    <w:p w14:paraId="78E07EB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441988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8A79E9F">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3856.73</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1247.37</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24.43</w:t>
      </w:r>
      <w:r>
        <w:rPr>
          <w:rFonts w:hint="eastAsia" w:ascii="Times New Roman" w:hAnsi="Times New Roman" w:eastAsia="仿宋_GB2312"/>
          <w:color w:val="auto"/>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color w:val="auto"/>
          <w:sz w:val="32"/>
          <w:szCs w:val="32"/>
          <w:lang w:val="en-US" w:eastAsia="zh-CN"/>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3B048C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14:paraId="2ED4997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年度收入合计</w:t>
      </w:r>
      <w:r>
        <w:rPr>
          <w:rFonts w:hint="eastAsia" w:ascii="Times New Roman" w:hAnsi="Times New Roman" w:eastAsia="仿宋_GB2312"/>
          <w:color w:val="auto"/>
          <w:sz w:val="32"/>
          <w:szCs w:val="32"/>
          <w:lang w:val="en-US" w:eastAsia="zh-CN"/>
        </w:rPr>
        <w:t>3856.73</w:t>
      </w:r>
      <w:r>
        <w:rPr>
          <w:rFonts w:hint="eastAsia" w:ascii="Times New Roman" w:hAnsi="Times New Roman" w:eastAsia="仿宋_GB2312"/>
          <w:color w:val="auto"/>
          <w:sz w:val="32"/>
          <w:szCs w:val="32"/>
        </w:rPr>
        <w:t>万元，其中：财政拨款收入</w:t>
      </w:r>
      <w:r>
        <w:rPr>
          <w:rFonts w:hint="eastAsia" w:ascii="Times New Roman" w:hAnsi="Times New Roman" w:eastAsia="仿宋_GB2312"/>
          <w:color w:val="auto"/>
          <w:sz w:val="32"/>
          <w:szCs w:val="32"/>
          <w:lang w:val="en-US" w:eastAsia="zh-CN"/>
        </w:rPr>
        <w:t>3832.35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99.36</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24.38</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0.64</w:t>
      </w:r>
      <w:r>
        <w:rPr>
          <w:rFonts w:hint="eastAsia" w:ascii="Times New Roman" w:hAnsi="Times New Roman" w:eastAsia="仿宋_GB2312"/>
          <w:color w:val="auto"/>
          <w:sz w:val="32"/>
          <w:szCs w:val="32"/>
        </w:rPr>
        <w:t>%。</w:t>
      </w:r>
    </w:p>
    <w:p w14:paraId="269EB1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14:paraId="0B4DA7C4">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年度支出合计</w:t>
      </w:r>
      <w:r>
        <w:rPr>
          <w:rFonts w:hint="eastAsia" w:ascii="Times New Roman" w:hAnsi="Times New Roman" w:eastAsia="仿宋_GB2312"/>
          <w:color w:val="auto"/>
          <w:sz w:val="32"/>
          <w:szCs w:val="32"/>
          <w:lang w:val="en-US" w:eastAsia="zh-CN"/>
        </w:rPr>
        <w:t>3856.73</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1258.56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32.63</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2598.17</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67.37</w:t>
      </w:r>
      <w:r>
        <w:rPr>
          <w:rFonts w:hint="eastAsia" w:ascii="Times New Roman" w:hAnsi="Times New Roman" w:eastAsia="仿宋_GB2312"/>
          <w:color w:val="auto"/>
          <w:sz w:val="32"/>
          <w:szCs w:val="32"/>
        </w:rPr>
        <w:t>%。</w:t>
      </w:r>
    </w:p>
    <w:p w14:paraId="6270A6A0">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E36850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3832.35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1172.83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23.43</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color w:val="auto"/>
          <w:sz w:val="32"/>
          <w:szCs w:val="32"/>
          <w:lang w:val="en-US" w:eastAsia="zh-CN"/>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715C338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23190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DE3676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3832.35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1172.83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23.43</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color w:val="auto"/>
          <w:sz w:val="32"/>
          <w:szCs w:val="32"/>
          <w:lang w:val="en-US" w:eastAsia="zh-CN"/>
        </w:rPr>
        <w:t>“湖南区域应急救援怀化中心”、“怀化医疗物资储备仓库”两个中央、省级重大项目，在2021年度支付了建设进度款，2022年工程尚未完工，项目未进行审计验收，剩余30%建设款未付，2024年度项目建设进入逐步完善阶段。同时因财政资金紧张，2024年度部分预算内项目经费未下拨，已完成事项未支付资金，因此支出相对2023年度减少。</w:t>
      </w:r>
    </w:p>
    <w:p w14:paraId="537225C9">
      <w:pPr>
        <w:pStyle w:val="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D87013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3832.35</w:t>
      </w:r>
      <w:r>
        <w:rPr>
          <w:rFonts w:hint="eastAsia" w:ascii="Times New Roman" w:hAnsi="Times New Roman" w:eastAsia="仿宋_GB2312"/>
          <w:color w:val="auto"/>
          <w:sz w:val="32"/>
          <w:szCs w:val="32"/>
        </w:rPr>
        <w:t>万元，主要用于以下方面：</w:t>
      </w:r>
      <w:r>
        <w:rPr>
          <w:rFonts w:hint="eastAsia" w:ascii="Times New Roman" w:hAnsi="Times New Roman" w:eastAsia="仿宋_GB2312"/>
          <w:color w:val="auto"/>
          <w:sz w:val="32"/>
          <w:szCs w:val="32"/>
          <w:lang w:eastAsia="zh-CN"/>
        </w:rPr>
        <w:t>一般公共服务支出（类）</w:t>
      </w:r>
      <w:r>
        <w:rPr>
          <w:rFonts w:hint="eastAsia" w:ascii="Times New Roman" w:hAnsi="Times New Roman" w:eastAsia="仿宋_GB2312"/>
          <w:color w:val="auto"/>
          <w:sz w:val="32"/>
          <w:szCs w:val="32"/>
          <w:lang w:val="en-US" w:eastAsia="zh-CN"/>
        </w:rPr>
        <w:t>6.6万元，占比0.17%；</w:t>
      </w:r>
      <w:r>
        <w:rPr>
          <w:rFonts w:hint="eastAsia" w:ascii="Times New Roman" w:hAnsi="Times New Roman" w:eastAsia="仿宋_GB2312"/>
          <w:color w:val="auto"/>
          <w:sz w:val="32"/>
          <w:szCs w:val="32"/>
          <w:lang w:eastAsia="zh-CN"/>
        </w:rPr>
        <w:t>社会保障和就业支出（类）</w:t>
      </w:r>
      <w:r>
        <w:rPr>
          <w:rFonts w:hint="eastAsia" w:ascii="Times New Roman" w:hAnsi="Times New Roman" w:eastAsia="仿宋_GB2312"/>
          <w:color w:val="auto"/>
          <w:sz w:val="32"/>
          <w:szCs w:val="32"/>
          <w:lang w:val="en-US" w:eastAsia="zh-CN"/>
        </w:rPr>
        <w:t>1042.26万元，占比27.2%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住房保障支出（类）</w:t>
      </w:r>
      <w:r>
        <w:rPr>
          <w:rFonts w:hint="eastAsia" w:ascii="Times New Roman" w:hAnsi="Times New Roman" w:eastAsia="仿宋_GB2312"/>
          <w:color w:val="auto"/>
          <w:sz w:val="32"/>
          <w:szCs w:val="32"/>
          <w:lang w:val="en-US" w:eastAsia="zh-CN"/>
        </w:rPr>
        <w:t>79.75万元，占比2.08%；灾害防治及应急管理支出（类）2703.74万元，占比70.55%。</w:t>
      </w:r>
    </w:p>
    <w:p w14:paraId="4D5C67A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F8094B7">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2250.2</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3832.35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170.31</w:t>
      </w:r>
      <w:r>
        <w:rPr>
          <w:rFonts w:hint="eastAsia" w:ascii="Times New Roman" w:hAnsi="Times New Roman" w:eastAsia="仿宋_GB2312"/>
          <w:color w:val="auto"/>
          <w:sz w:val="32"/>
          <w:szCs w:val="32"/>
        </w:rPr>
        <w:t>%，其中：</w:t>
      </w:r>
    </w:p>
    <w:p w14:paraId="344E0853">
      <w:pPr>
        <w:pStyle w:val="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一般公共服务支出（类）组织事务支出（款）其他组织事务支出（项）</w:t>
      </w:r>
    </w:p>
    <w:p w14:paraId="5C877537">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年初预算为0万元，支出决算为6万元。决算数大于年初预算数的主要原因是：单位组建时，原组成单位遗留的三家改制企业至今未改制完成。相关支出未纳入预算保障。</w:t>
      </w:r>
    </w:p>
    <w:p w14:paraId="5BFD2716">
      <w:pPr>
        <w:pStyle w:val="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一般公共服务支出（类）一般公共服务支出（款）其他一般公共服务支出（项）</w:t>
      </w:r>
    </w:p>
    <w:p w14:paraId="1D9240AA">
      <w:pPr>
        <w:pStyle w:val="4"/>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年初预算为0万元，支出决算为0.6万元。决算数大于年初预算数的主要原因是：单位组建时，原组成单位遗留的三家改制企业至今未改制完成。相关支出未纳入预算保障。</w:t>
      </w:r>
    </w:p>
    <w:p w14:paraId="2D5C56A8">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机关事业单位基本养老保险缴费支出</w:t>
      </w:r>
      <w:r>
        <w:rPr>
          <w:rFonts w:hint="eastAsia" w:ascii="Times New Roman" w:hAnsi="Times New Roman" w:eastAsia="仿宋_GB2312"/>
          <w:color w:val="auto"/>
          <w:sz w:val="32"/>
          <w:szCs w:val="32"/>
        </w:rPr>
        <w:t>（项）。</w:t>
      </w:r>
    </w:p>
    <w:p w14:paraId="542A95E7">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137.22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137.22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。年初预算数与决算数一致。</w:t>
      </w:r>
    </w:p>
    <w:p w14:paraId="5BB9EFBE">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其他行政事业单位养老支出</w:t>
      </w:r>
      <w:r>
        <w:rPr>
          <w:rFonts w:hint="eastAsia" w:ascii="Times New Roman" w:hAnsi="Times New Roman" w:eastAsia="仿宋_GB2312"/>
          <w:color w:val="auto"/>
          <w:sz w:val="32"/>
          <w:szCs w:val="32"/>
        </w:rPr>
        <w:t>（项）。</w:t>
      </w:r>
    </w:p>
    <w:p w14:paraId="583145E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1.87</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年中有在职人员退休，补缴相关保险费用。</w:t>
      </w:r>
    </w:p>
    <w:p w14:paraId="7ADE983A">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其他社会保障和就业支出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其他社会保障就业支出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eastAsia="zh-CN"/>
        </w:rPr>
        <w:t>。</w:t>
      </w:r>
    </w:p>
    <w:p w14:paraId="2D2F94EC">
      <w:pPr>
        <w:pStyle w:val="4"/>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886.5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903.17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完成预算数的</w:t>
      </w:r>
      <w:r>
        <w:rPr>
          <w:rFonts w:hint="eastAsia" w:ascii="Times New Roman" w:hAnsi="Times New Roman" w:eastAsia="仿宋_GB2312"/>
          <w:color w:val="auto"/>
          <w:sz w:val="32"/>
          <w:szCs w:val="32"/>
          <w:lang w:val="en-US" w:eastAsia="zh-CN"/>
        </w:rPr>
        <w:t>101.88%。决算数与预算数基本持平。</w:t>
      </w:r>
    </w:p>
    <w:p w14:paraId="013E9D0F">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6、住房保障支出（类）住房改革支出（款）住房公积金（项）。</w:t>
      </w:r>
    </w:p>
    <w:p w14:paraId="7F1576F8">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年初预算为79.76万元，支出决算为79.75万元，完成年初预算数的99.98%。决算数与预算数基本持平。</w:t>
      </w:r>
    </w:p>
    <w:p w14:paraId="595F9F4F">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7、灾害防治及应急管理支出（类）应急管理支出事务（款）一般行政事务（项）。</w:t>
      </w:r>
    </w:p>
    <w:p w14:paraId="129EBCDD">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年初预算为17万元，支出决算为2万元，完成年初预算数的11.76%。决算数小于年初预算数的主要原因是：财政资金紧张，纳入预算的部分项目经费未下达。</w:t>
      </w:r>
    </w:p>
    <w:p w14:paraId="54C31C18">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8、灾害防治及应急管理支出（类）应急管理支出事务（款）灾害风险防治（项）。</w:t>
      </w:r>
    </w:p>
    <w:p w14:paraId="28CB98C7">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年初预算为100万元，支出决算为89.57万元，完成年初预算数的89.57%。决算数小于年初预算数的主要原因是：</w:t>
      </w:r>
      <w:r>
        <w:rPr>
          <w:rFonts w:hint="eastAsia" w:ascii="Times New Roman" w:hAnsi="Times New Roman" w:eastAsia="仿宋_GB2312"/>
          <w:sz w:val="32"/>
          <w:szCs w:val="32"/>
          <w:lang w:val="en-US" w:eastAsia="zh-CN"/>
        </w:rPr>
        <w:t>2024年度上级下拨了多笔救灾资金，自然灾害防治工作的保障支出，主要使用上级转移支付资金，本级预算资金使用量较小，因此决算数与预算数存在差异。</w:t>
      </w:r>
    </w:p>
    <w:p w14:paraId="39E61EDC">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9、灾害防治及应急管理支出（类）应急管理支出事务（款）安全监管（项）。</w:t>
      </w:r>
    </w:p>
    <w:p w14:paraId="61B9AEE0">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年初预算为149万，支出决算为140.64万元，完成年初预算数的94.39%。</w:t>
      </w:r>
      <w:bookmarkStart w:id="0" w:name="_GoBack"/>
      <w:r>
        <w:rPr>
          <w:rFonts w:hint="eastAsia" w:ascii="Times New Roman" w:hAnsi="Times New Roman" w:eastAsia="仿宋_GB2312"/>
          <w:color w:val="auto"/>
          <w:sz w:val="32"/>
          <w:szCs w:val="32"/>
          <w:lang w:val="en-US" w:eastAsia="zh-CN"/>
        </w:rPr>
        <w:t>决算数小于年初预算数的主要原因是：财政资金紧张，纳入预算的部分项目经费未下达。</w:t>
      </w:r>
    </w:p>
    <w:p w14:paraId="1D027DE7">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10、灾害防治及应急管理支出（类）应急管理支出事务（款）应急救援（项）。</w:t>
      </w:r>
    </w:p>
    <w:p w14:paraId="164592CB">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年初预算为14万，支出决算为8万元，完成年初预算数的57.14%。决算数小于年初预算数的主要原因是：财政资金紧张，纳入预算的部分项目经费未下达。</w:t>
      </w:r>
    </w:p>
    <w:p w14:paraId="0F12EFA4">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11、灾害防治及应急管理支出（类）应急管理支出事务（款）应急管理（项）。</w:t>
      </w:r>
    </w:p>
    <w:p w14:paraId="5CA46074">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年初预算为253.5万，支出决算为205.03万元，完成年初预算数的80.88%。决算数小于年初预算数的主要原因是：财政资金紧张，纳入预算的部分项目经费未下达。</w:t>
      </w:r>
    </w:p>
    <w:p w14:paraId="4961A911">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12、灾害防治及应急管理支出（类）应急管理支出事务（款）其他应急管理支出（项）。</w:t>
      </w:r>
    </w:p>
    <w:p w14:paraId="7C9A3F19">
      <w:pPr>
        <w:pStyle w:val="4"/>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613.24万，支出决算为1608.89万元，完成年初预算数的262.36%。决算数大于年初预算数的主要原因是：该资金主要用于两项重大工程的建设，使用资金为上年度各级结转的项目资金，编制预算时资金支出“类”、“款”、“项”未测算准确，导致预算数与决算数存在较大差异。</w:t>
      </w:r>
    </w:p>
    <w:p w14:paraId="6D75C00B">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13、灾害防治及应急管理支出（类）自然灾害防治（款）其他自然灾害防治支出（项）。</w:t>
      </w:r>
    </w:p>
    <w:p w14:paraId="12633054">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为154.6万元。决算数大于年初预算数的主要原因是：该项资金主要是2024年中央财政转移支付资金，2024年未编入预算支出，在本级财政资金紧张的情况下，使用该资金对“自然灾害防治工作”进行保障。因此导致决算数与预算数存在差异。</w:t>
      </w:r>
    </w:p>
    <w:p w14:paraId="02D6F722">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14、灾害防治及应急管理支出（类）自然灾害救灾及恢复重建支出（款）自然灾害补助（项）</w:t>
      </w:r>
    </w:p>
    <w:p w14:paraId="6E9FC55E">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数为0万元，支出决算数27.29万元。决算数大于年初预算数的主要原因是：该项资金主要是2024年中央财政转移支付资金，2024年未编入预算支出，在本级财政资金紧张的情况下，使用该资金对“自然灾害防治工作”进行保障。因此导致决算数与预算数存在差异。</w:t>
      </w:r>
    </w:p>
    <w:p w14:paraId="1544D016">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15、灾害防治及应急管理支出（类）自然灾害救灾及恢复重建支出（款）其他自然灾害及恢复重建支出（项）</w:t>
      </w:r>
    </w:p>
    <w:p w14:paraId="250567FC">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数为0万元，支出决算数75.6万元。决算数大于年初预算数的主要原因是：该项资金主要是2024年中央财政转移支付资金，2024年未编入预算支出，在本级财政资金紧张的情况下，使用该资金对“自然灾害救灾及灾后恢复重建工作”进行保障。因此导致决算数与预算数存在差异。</w:t>
      </w:r>
    </w:p>
    <w:p w14:paraId="2FEC5A17">
      <w:pPr>
        <w:pStyle w:val="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16、灾害防治及应急管理支出（类）其他灾害防治及应急管理支出（款）其他灾害防治及应急管理支出（项）。</w:t>
      </w:r>
    </w:p>
    <w:p w14:paraId="6162F11E">
      <w:pPr>
        <w:pStyle w:val="4"/>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数为0万元，支出决算数392.12万元。该资金主要用于两项重大工程的建设，使用资金为2024年新增的一般债券资金，编制预算时资金支出“类”、“款”、“项”未测算准确，导致预算数与决算数存在较大差异。</w:t>
      </w:r>
    </w:p>
    <w:p w14:paraId="3774FC4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14:paraId="1F9127A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1258.56</w:t>
      </w:r>
      <w:r>
        <w:rPr>
          <w:rFonts w:hint="eastAsia" w:ascii="Times New Roman" w:hAnsi="Times New Roman" w:eastAsia="仿宋_GB2312"/>
          <w:color w:val="auto"/>
          <w:sz w:val="32"/>
          <w:szCs w:val="32"/>
        </w:rPr>
        <w:t>万元，其中：</w:t>
      </w:r>
    </w:p>
    <w:p w14:paraId="29A47B4A">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1006.64</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79.98</w:t>
      </w:r>
      <w:r>
        <w:rPr>
          <w:rFonts w:hint="eastAsia" w:ascii="Times New Roman" w:hAnsi="Times New Roman" w:eastAsia="仿宋_GB2312"/>
          <w:color w:val="auto"/>
          <w:sz w:val="32"/>
          <w:szCs w:val="32"/>
        </w:rPr>
        <w:t>%,主要包括</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基本工资</w:t>
      </w:r>
      <w:r>
        <w:rPr>
          <w:rFonts w:hint="eastAsia" w:ascii="Times New Roman" w:hAnsi="Times New Roman" w:eastAsia="仿宋_GB2312"/>
          <w:color w:val="auto"/>
          <w:sz w:val="32"/>
          <w:szCs w:val="32"/>
          <w:lang w:val="en-US" w:eastAsia="zh-CN"/>
        </w:rPr>
        <w:t>319.38万元</w:t>
      </w:r>
      <w:r>
        <w:rPr>
          <w:rFonts w:hint="eastAsia" w:ascii="Times New Roman" w:hAnsi="Times New Roman" w:eastAsia="仿宋_GB2312"/>
          <w:color w:val="auto"/>
          <w:sz w:val="32"/>
          <w:szCs w:val="32"/>
        </w:rPr>
        <w:t>、津贴补贴</w:t>
      </w:r>
      <w:r>
        <w:rPr>
          <w:rFonts w:hint="eastAsia" w:ascii="Times New Roman" w:hAnsi="Times New Roman" w:eastAsia="仿宋_GB2312"/>
          <w:color w:val="auto"/>
          <w:sz w:val="32"/>
          <w:szCs w:val="32"/>
          <w:lang w:val="en-US" w:eastAsia="zh-CN"/>
        </w:rPr>
        <w:t>163.55万元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78.21万元</w:t>
      </w:r>
      <w:r>
        <w:rPr>
          <w:rFonts w:hint="eastAsia" w:ascii="Times New Roman" w:hAnsi="Times New Roman" w:eastAsia="仿宋_GB2312"/>
          <w:color w:val="auto"/>
          <w:sz w:val="32"/>
          <w:szCs w:val="32"/>
        </w:rPr>
        <w:t>、伙食补助费</w:t>
      </w:r>
      <w:r>
        <w:rPr>
          <w:rFonts w:hint="eastAsia" w:ascii="Times New Roman" w:hAnsi="Times New Roman" w:eastAsia="仿宋_GB2312"/>
          <w:color w:val="auto"/>
          <w:sz w:val="32"/>
          <w:szCs w:val="32"/>
          <w:lang w:val="en-US" w:eastAsia="zh-CN"/>
        </w:rPr>
        <w:t>36.25万元、绩效工资171.07万元、机关事业单位基本养老保险缴费99.62万元、职工基本医疗保险缴费55.3万元、其他社会保障缴费3.21万元、住房公积金79.86万元、其他工资福利支出0.19万元</w:t>
      </w:r>
      <w:r>
        <w:rPr>
          <w:rFonts w:hint="eastAsia" w:ascii="Times New Roman" w:hAnsi="Times New Roman" w:eastAsia="仿宋_GB2312"/>
          <w:color w:val="auto"/>
          <w:sz w:val="32"/>
          <w:szCs w:val="32"/>
          <w:lang w:eastAsia="zh-CN"/>
        </w:rPr>
        <w:t>。</w:t>
      </w:r>
    </w:p>
    <w:p w14:paraId="2D4CC56E">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123.91</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9.84</w:t>
      </w:r>
      <w:r>
        <w:rPr>
          <w:rFonts w:hint="eastAsia" w:ascii="Times New Roman" w:hAnsi="Times New Roman" w:eastAsia="仿宋_GB2312"/>
          <w:color w:val="auto"/>
          <w:sz w:val="32"/>
          <w:szCs w:val="32"/>
        </w:rPr>
        <w:t>%，主要包括办公费</w:t>
      </w:r>
      <w:r>
        <w:rPr>
          <w:rFonts w:hint="eastAsia" w:ascii="Times New Roman" w:hAnsi="Times New Roman" w:eastAsia="仿宋_GB2312"/>
          <w:color w:val="auto"/>
          <w:sz w:val="32"/>
          <w:szCs w:val="32"/>
          <w:lang w:val="en-US" w:eastAsia="zh-CN"/>
        </w:rPr>
        <w:t>0.79万元</w:t>
      </w:r>
      <w:r>
        <w:rPr>
          <w:rFonts w:hint="eastAsia" w:ascii="Times New Roman" w:hAnsi="Times New Roman" w:eastAsia="仿宋_GB2312"/>
          <w:color w:val="auto"/>
          <w:sz w:val="32"/>
          <w:szCs w:val="32"/>
        </w:rPr>
        <w:t>、印刷费</w:t>
      </w:r>
      <w:r>
        <w:rPr>
          <w:rFonts w:hint="eastAsia" w:ascii="Times New Roman" w:hAnsi="Times New Roman" w:eastAsia="仿宋_GB2312"/>
          <w:color w:val="auto"/>
          <w:sz w:val="32"/>
          <w:szCs w:val="32"/>
          <w:lang w:val="en-US" w:eastAsia="zh-CN"/>
        </w:rPr>
        <w:t>0.99万元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邮电</w:t>
      </w:r>
      <w:r>
        <w:rPr>
          <w:rFonts w:hint="eastAsia" w:ascii="Times New Roman" w:hAnsi="Times New Roman" w:eastAsia="仿宋_GB2312"/>
          <w:color w:val="auto"/>
          <w:sz w:val="32"/>
          <w:szCs w:val="32"/>
        </w:rPr>
        <w:t>费</w:t>
      </w:r>
      <w:r>
        <w:rPr>
          <w:rFonts w:hint="eastAsia" w:ascii="Times New Roman" w:hAnsi="Times New Roman" w:eastAsia="仿宋_GB2312"/>
          <w:color w:val="auto"/>
          <w:sz w:val="32"/>
          <w:szCs w:val="32"/>
          <w:lang w:val="en-US" w:eastAsia="zh-CN"/>
        </w:rPr>
        <w:t>2.17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物业管理费</w:t>
      </w:r>
      <w:r>
        <w:rPr>
          <w:rFonts w:hint="eastAsia" w:ascii="Times New Roman" w:hAnsi="Times New Roman" w:eastAsia="仿宋_GB2312"/>
          <w:color w:val="auto"/>
          <w:sz w:val="32"/>
          <w:szCs w:val="32"/>
          <w:lang w:val="en-US" w:eastAsia="zh-CN"/>
        </w:rPr>
        <w:t>0.14万元、</w:t>
      </w:r>
      <w:r>
        <w:rPr>
          <w:rFonts w:hint="eastAsia" w:ascii="Times New Roman" w:hAnsi="Times New Roman" w:eastAsia="仿宋_GB2312"/>
          <w:color w:val="auto"/>
          <w:sz w:val="32"/>
          <w:szCs w:val="32"/>
          <w:lang w:eastAsia="zh-CN"/>
        </w:rPr>
        <w:t>差旅</w:t>
      </w:r>
      <w:r>
        <w:rPr>
          <w:rFonts w:hint="eastAsia" w:ascii="Times New Roman" w:hAnsi="Times New Roman" w:eastAsia="仿宋_GB2312"/>
          <w:color w:val="auto"/>
          <w:sz w:val="32"/>
          <w:szCs w:val="32"/>
        </w:rPr>
        <w:t>费</w:t>
      </w:r>
      <w:r>
        <w:rPr>
          <w:rFonts w:hint="eastAsia" w:ascii="Times New Roman" w:hAnsi="Times New Roman" w:eastAsia="仿宋_GB2312"/>
          <w:color w:val="auto"/>
          <w:sz w:val="32"/>
          <w:szCs w:val="32"/>
          <w:lang w:val="en-US" w:eastAsia="zh-CN"/>
        </w:rPr>
        <w:t>0.83万元、会议费0.16万元、培训费0.02万元、公务接待费2.14万元、劳务费0.72万元、委托业务费0.02万元、工会经费59.39万元、其他交通费用51.73万元、其他商品和服务支出4.75万元。</w:t>
      </w:r>
    </w:p>
    <w:p w14:paraId="39C2F1D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对个人和家庭的补助128万元，占基本支出的10.17%，主要包括生活补助124.41万元、奖励金3.59万元。</w:t>
      </w:r>
    </w:p>
    <w:p w14:paraId="69E19CC8">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6C28FFD">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14:paraId="651D0350">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75.5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72.13</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95.53</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2024年</w:t>
      </w:r>
      <w:r>
        <w:rPr>
          <w:rFonts w:hint="eastAsia" w:ascii="Times New Roman" w:hAnsi="Times New Roman" w:eastAsia="仿宋_GB2312"/>
          <w:color w:val="auto"/>
          <w:sz w:val="32"/>
          <w:szCs w:val="32"/>
          <w:lang w:eastAsia="zh-CN"/>
        </w:rPr>
        <w:t>公务接待费支出降低</w:t>
      </w:r>
      <w:r>
        <w:rPr>
          <w:rFonts w:hint="eastAsia" w:ascii="Times New Roman" w:hAnsi="Times New Roman" w:eastAsia="仿宋_GB2312"/>
          <w:color w:val="auto"/>
          <w:sz w:val="32"/>
          <w:szCs w:val="32"/>
          <w:lang w:val="en-US" w:eastAsia="zh-CN"/>
        </w:rPr>
        <w:t>。</w:t>
      </w:r>
    </w:p>
    <w:p w14:paraId="1A1C34A4">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49946521">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2.14</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42.8</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val="en-US" w:eastAsia="zh-CN"/>
        </w:rPr>
        <w:t>:2024年次数相对减少，且财政未足额下拨预算经费</w:t>
      </w:r>
      <w:r>
        <w:rPr>
          <w:rFonts w:hint="eastAsia" w:ascii="Times New Roman" w:hAnsi="Times New Roman" w:eastAsia="仿宋_GB2312"/>
          <w:color w:val="auto"/>
          <w:sz w:val="32"/>
          <w:szCs w:val="32"/>
        </w:rPr>
        <w:t>。</w:t>
      </w:r>
    </w:p>
    <w:p w14:paraId="5D472B5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0E7F41F1">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70.5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69.99</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99.27</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基本持平</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基本持平</w:t>
      </w:r>
      <w:r>
        <w:rPr>
          <w:rFonts w:hint="eastAsia" w:ascii="Times New Roman" w:hAnsi="Times New Roman" w:eastAsia="仿宋_GB2312"/>
          <w:color w:val="auto"/>
          <w:sz w:val="32"/>
          <w:szCs w:val="32"/>
          <w:lang w:val="en-US" w:eastAsia="zh-CN"/>
        </w:rPr>
        <w:t>。</w:t>
      </w:r>
    </w:p>
    <w:p w14:paraId="386BF0A3">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14:paraId="3C09D93A">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2.14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2.96</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69.99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97.04</w:t>
      </w:r>
      <w:r>
        <w:rPr>
          <w:rFonts w:hint="eastAsia" w:ascii="Times New Roman" w:hAnsi="Times New Roman" w:eastAsia="仿宋_GB2312"/>
          <w:color w:val="auto"/>
          <w:sz w:val="32"/>
          <w:szCs w:val="32"/>
        </w:rPr>
        <w:t>%。其中：</w:t>
      </w:r>
    </w:p>
    <w:p w14:paraId="4DC1DB23">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p>
    <w:p w14:paraId="28833B28">
      <w:pPr>
        <w:pStyle w:val="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2.14</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179</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eastAsia="zh-CN"/>
        </w:rPr>
        <w:t>上级安委会工作组、应急管理厅工作组以及下级应急系统来怀</w:t>
      </w:r>
      <w:r>
        <w:rPr>
          <w:rFonts w:hint="eastAsia" w:ascii="Times New Roman" w:hAnsi="Times New Roman" w:eastAsia="仿宋_GB2312"/>
          <w:color w:val="auto"/>
          <w:sz w:val="32"/>
          <w:szCs w:val="32"/>
        </w:rPr>
        <w:t>发生的接待支出。</w:t>
      </w:r>
    </w:p>
    <w:p w14:paraId="0ED8551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69.99</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万元。公务用车运行维护费</w:t>
      </w:r>
      <w:r>
        <w:rPr>
          <w:rFonts w:hint="eastAsia" w:ascii="Times New Roman" w:hAnsi="Times New Roman" w:eastAsia="仿宋_GB2312"/>
          <w:color w:val="auto"/>
          <w:sz w:val="32"/>
          <w:szCs w:val="32"/>
          <w:lang w:val="en-US" w:eastAsia="zh-CN"/>
        </w:rPr>
        <w:t>69.99</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eastAsia="zh-CN"/>
        </w:rPr>
        <w:t>公务车辆油料、车辆保险、公务出行过路费、公务车辆维修</w:t>
      </w:r>
      <w:r>
        <w:rPr>
          <w:rFonts w:hint="eastAsia" w:ascii="Times New Roman" w:hAnsi="Times New Roman" w:eastAsia="仿宋_GB2312"/>
          <w:color w:val="auto"/>
          <w:sz w:val="32"/>
          <w:szCs w:val="32"/>
        </w:rPr>
        <w:t>支出，截止202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辆。</w:t>
      </w:r>
    </w:p>
    <w:p w14:paraId="6240A849">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1F59D0BB">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039A2D10">
      <w:pPr>
        <w:pStyle w:val="4"/>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565C2D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123.91</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比上年决算数减少</w:t>
      </w:r>
      <w:r>
        <w:rPr>
          <w:rFonts w:hint="eastAsia" w:ascii="Times New Roman" w:hAnsi="Times New Roman" w:eastAsia="仿宋_GB2312"/>
          <w:color w:val="auto"/>
          <w:sz w:val="32"/>
          <w:szCs w:val="32"/>
          <w:lang w:val="en-US" w:eastAsia="zh-CN"/>
        </w:rPr>
        <w:t>2.99</w:t>
      </w:r>
      <w:r>
        <w:rPr>
          <w:rFonts w:hint="eastAsia" w:ascii="Times New Roman" w:hAnsi="Times New Roman" w:eastAsia="仿宋_GB2312"/>
          <w:color w:val="auto"/>
          <w:sz w:val="32"/>
          <w:szCs w:val="32"/>
        </w:rPr>
        <w:t>万元，降低</w:t>
      </w:r>
      <w:r>
        <w:rPr>
          <w:rFonts w:hint="eastAsia" w:ascii="Times New Roman" w:hAnsi="Times New Roman" w:eastAsia="仿宋_GB2312"/>
          <w:color w:val="auto"/>
          <w:sz w:val="32"/>
          <w:szCs w:val="32"/>
          <w:lang w:val="en-US" w:eastAsia="zh-CN"/>
        </w:rPr>
        <w:t>2.47</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2024年第四季度因财政资金紧张，部分经费未下拨指标，未形成支出</w:t>
      </w:r>
      <w:r>
        <w:rPr>
          <w:rFonts w:hint="eastAsia" w:ascii="Times New Roman" w:hAnsi="Times New Roman" w:eastAsia="仿宋_GB2312"/>
          <w:color w:val="auto"/>
          <w:sz w:val="32"/>
          <w:szCs w:val="32"/>
        </w:rPr>
        <w:t>。</w:t>
      </w:r>
    </w:p>
    <w:p w14:paraId="11FF5EC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14:paraId="395996E6">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用于召开</w:t>
      </w:r>
      <w:r>
        <w:rPr>
          <w:rFonts w:hint="eastAsia" w:ascii="Times New Roman" w:hAnsi="Times New Roman" w:eastAsia="仿宋_GB2312"/>
          <w:color w:val="auto"/>
          <w:sz w:val="32"/>
          <w:szCs w:val="32"/>
          <w:lang w:eastAsia="zh-CN"/>
        </w:rPr>
        <w:t>“全市非煤矿山安全监管工作会议”</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参会</w:t>
      </w:r>
      <w:r>
        <w:rPr>
          <w:rFonts w:hint="eastAsia" w:ascii="Times New Roman" w:hAnsi="Times New Roman" w:eastAsia="仿宋_GB2312"/>
          <w:color w:val="auto"/>
          <w:sz w:val="32"/>
          <w:szCs w:val="32"/>
          <w:lang w:val="en-US" w:eastAsia="zh-CN"/>
        </w:rPr>
        <w:t>44</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开支会议费</w:t>
      </w:r>
      <w:r>
        <w:rPr>
          <w:rFonts w:hint="eastAsia" w:ascii="Times New Roman" w:hAnsi="Times New Roman" w:eastAsia="仿宋_GB2312"/>
          <w:color w:val="auto"/>
          <w:sz w:val="32"/>
          <w:szCs w:val="32"/>
          <w:lang w:val="en-US" w:eastAsia="zh-CN"/>
        </w:rPr>
        <w:t>0.4万元；2.用于召开“全市危化烟花安全监管会议”，参会119人，开支会议费1.04万元；3.用于召开“县市区党政正职应急管理网络专题培训会议”，共计四次会议，开支2.2万元；4.用于召开“省安全发展工作示范创建座谈会”，参会55人，开支会议费0.55万元；5.用于召开“应急管理工作座谈会”，参会45人，开支会议费0.42万元；6.用于召开“全市防汛工作会议”，参会82人，开支会议费0.64万元；7.用于召开“全市安委会全体会议”，全年四次会议，每次参会80人，共计开支会议费2.87万元；8.用于召开“安全生产年终考核会议”，共计四次会议，开支会议费1.67万元。</w:t>
      </w:r>
    </w:p>
    <w:p w14:paraId="3353366D">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2024年本部门</w:t>
      </w: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2.61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“全市防汛总结暨抗旱业务培训”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培训</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开支培训费</w:t>
      </w:r>
      <w:r>
        <w:rPr>
          <w:rFonts w:hint="eastAsia" w:ascii="Times New Roman" w:hAnsi="Times New Roman" w:eastAsia="仿宋_GB2312"/>
          <w:color w:val="auto"/>
          <w:sz w:val="32"/>
          <w:szCs w:val="32"/>
          <w:lang w:val="en-US" w:eastAsia="zh-CN"/>
        </w:rPr>
        <w:t>0.1万元；2.“首届乡镇应急能力比武无人机操作培训”，培训人数1人，开支培训费1.8万元；3.“事业（技术）人员年度培训”，培训人数11人，开支培训费0.71万元。</w:t>
      </w:r>
    </w:p>
    <w:p w14:paraId="39EFCAF5">
      <w:pPr>
        <w:pStyle w:val="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14:paraId="7539C0F0">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772.95</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177.32</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126.81</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468.82</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672.58</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87.01</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588.79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87.54</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30.12</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69.88</w:t>
      </w:r>
      <w:r>
        <w:rPr>
          <w:rFonts w:hint="eastAsia" w:ascii="Times New Roman" w:hAnsi="Times New Roman" w:eastAsia="仿宋_GB2312"/>
          <w:color w:val="auto"/>
          <w:sz w:val="32"/>
          <w:szCs w:val="32"/>
        </w:rPr>
        <w:t>%。</w:t>
      </w:r>
    </w:p>
    <w:p w14:paraId="12419773">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6392EEA">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省级配发的应急保障用车的配套使用车辆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06B54C5">
      <w:pPr>
        <w:pStyle w:val="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D662E78">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我局20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4年预算编制完整精细，收支项目不漏项，收支活动全部纳入预算编制。绩效落实到位，整体和专项绩效均持续推进，促进全市安全生产工作协调有序发展。</w:t>
      </w:r>
    </w:p>
    <w:p w14:paraId="386ABA90">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4年以来，一是加大了监管力度，提升了执法检查水平，压实企业主体责任，夯实了企业安全基础；二是为企业开展隐患排查服务，为企业持续健康发展提供了优质服务，较好地遏制了安全事故，为怀化经济的发展提供了强有力的安全保障；三是安全形势持续稳定好转，以习近平新时代中国特色社会主义思想为指导，全面贯彻党的二十大精神，坚持生命至上、安全第一，坚持问题导向和目标导向，围绕“落实企业安全生产主体责任年”，以防范和杜绝较大以上事故为重点，深化安全生产领域改革发展，强化安全监管执法，健全完善安全生产责任制，实施“一单四制”，强化源头管控和系统治理，夯实基层基础，提升人防物防技防能力，织密安全生产防控网为决胜全面建成小康社会、奋力实施“五新四城”战略创造稳定的安全生产环境。社会满意度和人民调查分数稳步上升。</w:t>
      </w:r>
    </w:p>
    <w:p w14:paraId="24DE2AEF">
      <w:pPr>
        <w:rPr>
          <w:color w:val="auto"/>
        </w:rPr>
      </w:pPr>
      <w:r>
        <w:rPr>
          <w:rFonts w:hint="eastAsia" w:ascii="Times New Roman" w:hAnsi="Times New Roman" w:eastAsia="仿宋_GB2312" w:cs="黑体"/>
          <w:color w:val="auto"/>
          <w:kern w:val="0"/>
          <w:sz w:val="32"/>
          <w:szCs w:val="32"/>
          <w:lang w:val="en-US" w:eastAsia="zh-CN" w:bidi="ar-SA"/>
        </w:rPr>
        <w:t>（见附件《怀化市应急管理局部门整体支出绩效评价报告》）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363BE"/>
    <w:multiLevelType w:val="singleLevel"/>
    <w:tmpl w:val="3BF363BE"/>
    <w:lvl w:ilvl="0" w:tentative="0">
      <w:start w:val="1"/>
      <w:numFmt w:val="decimal"/>
      <w:suff w:val="nothing"/>
      <w:lvlText w:val="%1、"/>
      <w:lvlJc w:val="left"/>
    </w:lvl>
  </w:abstractNum>
  <w:abstractNum w:abstractNumId="1">
    <w:nsid w:val="6DEAF959"/>
    <w:multiLevelType w:val="singleLevel"/>
    <w:tmpl w:val="6DEAF959"/>
    <w:lvl w:ilvl="0" w:tentative="0">
      <w:start w:val="1"/>
      <w:numFmt w:val="chineseCounting"/>
      <w:suff w:val="nothing"/>
      <w:lvlText w:val="（%1）"/>
      <w:lvlJc w:val="left"/>
      <w:pPr>
        <w:ind w:left="8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073BF"/>
    <w:rsid w:val="15580DF6"/>
    <w:rsid w:val="18AE0D99"/>
    <w:rsid w:val="286E039E"/>
    <w:rsid w:val="622207BC"/>
    <w:rsid w:val="78FB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7660</Words>
  <Characters>8433</Characters>
  <Lines>0</Lines>
  <Paragraphs>0</Paragraphs>
  <TotalTime>83</TotalTime>
  <ScaleCrop>false</ScaleCrop>
  <LinksUpToDate>false</LinksUpToDate>
  <CharactersWithSpaces>8453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2025-09-12T03:31:46Z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eyJoZGlkIjoiYzY3MjJlNDc4NjQyMDk4NTgwNWY3NDBhOTI0ZmNmNmYifQ==</vt:lpwstr>
  </property>
  <property fmtid="{D5CDD505-2E9C-101B-9397-08002B2CF9AE}" pid="4" name="ICV">
    <vt:lpwstr>56321C6558B24F2DBA2E59614B848FA6_12</vt:lpwstr>
  </property>
</Properties>
</file>