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snapToGrid/>
        <w:spacing w:line="600" w:lineRule="exact"/>
        <w:ind w:left="0" w:firstLine="960" w:firstLineChars="200"/>
        <w:jc w:val="center"/>
        <w:textAlignment w:val="auto"/>
        <w:rPr>
          <w:rFonts w:hint="eastAsia" w:ascii="FangSong" w:hAnsi="FangSong" w:eastAsia="FangSong" w:cs="FangSong"/>
          <w:b/>
          <w:bCs/>
          <w:color w:val="auto"/>
          <w:sz w:val="48"/>
          <w:szCs w:val="48"/>
        </w:rPr>
      </w:pPr>
      <w:r>
        <w:rPr>
          <w:rFonts w:hint="eastAsia" w:ascii="SimHei" w:hAnsi="SimHei" w:eastAsia="SimHei" w:cs="SimHei"/>
          <w:bCs/>
          <w:color w:val="auto"/>
          <w:kern w:val="0"/>
          <w:sz w:val="48"/>
          <w:szCs w:val="48"/>
          <w:lang w:val="en-US" w:eastAsia="zh-CN"/>
        </w:rPr>
        <w:t>2021年度怀化市地震局部门决算</w:t>
      </w:r>
    </w:p>
    <w:p>
      <w:pPr>
        <w:keepNext w:val="0"/>
        <w:keepLines w:val="0"/>
        <w:pageBreakBefore w:val="0"/>
        <w:widowControl/>
        <w:kinsoku/>
        <w:wordWrap/>
        <w:overflowPunct/>
        <w:topLinePunct w:val="0"/>
        <w:bidi w:val="0"/>
        <w:snapToGrid/>
        <w:spacing w:line="600" w:lineRule="exact"/>
        <w:ind w:left="0" w:firstLine="960" w:firstLineChars="200"/>
        <w:jc w:val="center"/>
        <w:textAlignment w:val="auto"/>
        <w:rPr>
          <w:rFonts w:hint="eastAsia" w:ascii="FangSong" w:hAnsi="FangSong" w:eastAsia="FangSong" w:cs="FangSong"/>
          <w:b/>
          <w:bCs/>
          <w:color w:val="auto"/>
          <w:sz w:val="48"/>
          <w:szCs w:val="48"/>
        </w:rPr>
      </w:pPr>
    </w:p>
    <w:p>
      <w:pPr>
        <w:keepNext w:val="0"/>
        <w:keepLines w:val="0"/>
        <w:pageBreakBefore w:val="0"/>
        <w:widowControl/>
        <w:kinsoku/>
        <w:wordWrap/>
        <w:overflowPunct/>
        <w:topLinePunct w:val="0"/>
        <w:bidi w:val="0"/>
        <w:snapToGrid/>
        <w:spacing w:line="600" w:lineRule="exact"/>
        <w:ind w:left="0" w:firstLine="640" w:firstLineChars="200"/>
        <w:jc w:val="center"/>
        <w:textAlignment w:val="auto"/>
        <w:rPr>
          <w:rFonts w:hint="eastAsia" w:ascii="Times New Roman" w:hAnsi="Times New Roman" w:eastAsia="SimHei" w:cs="Times New Roman"/>
          <w:bCs/>
          <w:color w:val="auto"/>
          <w:kern w:val="0"/>
          <w:sz w:val="32"/>
          <w:szCs w:val="32"/>
        </w:rPr>
      </w:pPr>
      <w:r>
        <w:rPr>
          <w:rFonts w:hint="eastAsia" w:ascii="Times New Roman" w:hAnsi="Times New Roman" w:eastAsia="SimHei" w:cs="Times New Roman"/>
          <w:bCs/>
          <w:color w:val="auto"/>
          <w:kern w:val="0"/>
          <w:sz w:val="32"/>
          <w:szCs w:val="32"/>
        </w:rPr>
        <w:t>目</w:t>
      </w:r>
      <w:r>
        <w:rPr>
          <w:rFonts w:hint="eastAsia" w:ascii="Times New Roman" w:hAnsi="Times New Roman" w:eastAsia="SimHei" w:cs="Times New Roman"/>
          <w:bCs/>
          <w:color w:val="auto"/>
          <w:kern w:val="0"/>
          <w:sz w:val="32"/>
          <w:szCs w:val="32"/>
          <w:lang w:val="en-US" w:eastAsia="zh-CN"/>
        </w:rPr>
        <w:t xml:space="preserve"> </w:t>
      </w:r>
      <w:r>
        <w:rPr>
          <w:rFonts w:hint="eastAsia" w:ascii="Times New Roman" w:hAnsi="Times New Roman" w:eastAsia="SimHei" w:cs="Times New Roman"/>
          <w:bCs/>
          <w:color w:val="auto"/>
          <w:kern w:val="0"/>
          <w:sz w:val="32"/>
          <w:szCs w:val="32"/>
        </w:rPr>
        <w:t>录</w:t>
      </w:r>
    </w:p>
    <w:p>
      <w:pPr>
        <w:keepNext w:val="0"/>
        <w:keepLines w:val="0"/>
        <w:pageBreakBefore w:val="0"/>
        <w:widowControl/>
        <w:kinsoku/>
        <w:wordWrap/>
        <w:overflowPunct/>
        <w:topLinePunct w:val="0"/>
        <w:bidi w:val="0"/>
        <w:snapToGrid/>
        <w:spacing w:line="600" w:lineRule="exact"/>
        <w:ind w:left="0" w:firstLine="640" w:firstLineChars="200"/>
        <w:jc w:val="center"/>
        <w:textAlignment w:val="auto"/>
        <w:rPr>
          <w:rFonts w:hint="eastAsia" w:ascii="Times New Roman" w:hAnsi="Times New Roman" w:eastAsia="SimHei" w:cs="Times New Roman"/>
          <w:bCs/>
          <w:color w:val="auto"/>
          <w:kern w:val="0"/>
          <w:sz w:val="32"/>
          <w:szCs w:val="32"/>
        </w:rPr>
      </w:pPr>
    </w:p>
    <w:p>
      <w:pPr>
        <w:pStyle w:val="11"/>
        <w:keepNext w:val="0"/>
        <w:keepLines w:val="0"/>
        <w:pageBreakBefore w:val="0"/>
        <w:kinsoku/>
        <w:wordWrap/>
        <w:overflowPunct/>
        <w:topLinePunct w:val="0"/>
        <w:bidi w:val="0"/>
        <w:snapToGrid/>
        <w:spacing w:line="600" w:lineRule="exact"/>
        <w:ind w:left="0" w:firstLine="640" w:firstLineChars="200"/>
        <w:textAlignment w:val="auto"/>
        <w:rPr>
          <w:rFonts w:ascii="仿宋_GB2312" w:hAnsi="仿宋_GB2312" w:cs="仿宋_GB2312"/>
          <w:b/>
          <w:color w:val="auto"/>
          <w:sz w:val="28"/>
          <w:szCs w:val="28"/>
        </w:rPr>
      </w:pPr>
      <w:r>
        <w:rPr>
          <w:rFonts w:hint="eastAsia" w:ascii="SimHei" w:hAnsi="SimHei" w:eastAsia="SimHei" w:cs="SimHei"/>
          <w:b/>
          <w:bCs/>
          <w:color w:val="auto"/>
          <w:kern w:val="0"/>
          <w:sz w:val="32"/>
          <w:szCs w:val="32"/>
          <w:lang w:val="en-US" w:eastAsia="zh-CN" w:bidi="ar-SA"/>
        </w:rPr>
        <w:t>第一部分</w:t>
      </w:r>
      <w:r>
        <w:rPr>
          <w:rFonts w:hint="eastAsia" w:hAnsi="SimHei" w:cs="SimHei"/>
          <w:b/>
          <w:bCs/>
          <w:color w:val="auto"/>
          <w:kern w:val="0"/>
          <w:sz w:val="32"/>
          <w:szCs w:val="32"/>
          <w:lang w:val="en-US" w:eastAsia="zh-CN" w:bidi="ar-SA"/>
        </w:rPr>
        <w:t xml:space="preserve"> </w:t>
      </w:r>
      <w:r>
        <w:rPr>
          <w:rFonts w:hint="eastAsia" w:ascii="SimHei" w:hAnsi="SimHei" w:eastAsia="SimHei" w:cs="SimHei"/>
          <w:b/>
          <w:bCs/>
          <w:color w:val="auto"/>
          <w:kern w:val="0"/>
          <w:sz w:val="32"/>
          <w:szCs w:val="32"/>
          <w:lang w:val="en-US" w:eastAsia="zh-CN" w:bidi="ar-SA"/>
        </w:rPr>
        <w:t>怀化市地震局单位概况</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一、部门职责</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二、机构设置</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ascii="仿宋_GB2312" w:hAnsi="仿宋_GB2312" w:cs="仿宋_GB2312"/>
          <w:b/>
          <w:color w:val="auto"/>
          <w:sz w:val="28"/>
          <w:szCs w:val="28"/>
        </w:rPr>
      </w:pPr>
      <w:r>
        <w:rPr>
          <w:rFonts w:hint="eastAsia" w:ascii="SimHei" w:hAnsi="SimHei" w:eastAsia="SimHei" w:cs="SimHei"/>
          <w:b/>
          <w:bCs/>
          <w:color w:val="auto"/>
          <w:kern w:val="0"/>
          <w:sz w:val="32"/>
          <w:szCs w:val="32"/>
          <w:lang w:val="en-US" w:eastAsia="zh-CN" w:bidi="ar-SA"/>
        </w:rPr>
        <w:t>第二部分</w:t>
      </w:r>
      <w:r>
        <w:rPr>
          <w:rFonts w:hint="eastAsia" w:hAnsi="SimHei" w:cs="SimHei"/>
          <w:b/>
          <w:bCs/>
          <w:color w:val="auto"/>
          <w:kern w:val="0"/>
          <w:sz w:val="32"/>
          <w:szCs w:val="32"/>
          <w:lang w:val="en-US" w:eastAsia="zh-CN" w:bidi="ar-SA"/>
        </w:rPr>
        <w:t xml:space="preserve"> </w:t>
      </w:r>
      <w:r>
        <w:rPr>
          <w:rFonts w:hint="eastAsia" w:ascii="SimHei" w:hAnsi="SimHei" w:eastAsia="SimHei" w:cs="SimHei"/>
          <w:b/>
          <w:bCs/>
          <w:color w:val="auto"/>
          <w:kern w:val="0"/>
          <w:sz w:val="32"/>
          <w:szCs w:val="32"/>
          <w:lang w:val="en-US" w:eastAsia="zh-CN" w:bidi="ar-SA"/>
        </w:rPr>
        <w:t>2021年度部门决算表</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一、收入支出决算总表</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二、收入决算表</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三、支出决算表</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四、财政拨款收入支出决算总表</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五、一般公共预算财政拨款支出决算表</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六、一般公共预算财政拨款基本支出决算明细表</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七、一般公共预算财政拨款“三公”经费支出决算表</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八、政府性基金预算财政拨款收入支出决算表</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九、国有资本经营预算财政拨款支出决算表</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ascii="仿宋_GB2312" w:hAnsi="仿宋_GB2312" w:cs="仿宋_GB2312"/>
          <w:b/>
          <w:color w:val="auto"/>
          <w:sz w:val="28"/>
          <w:szCs w:val="28"/>
        </w:rPr>
      </w:pPr>
      <w:r>
        <w:rPr>
          <w:rFonts w:hint="eastAsia" w:ascii="SimHei" w:hAnsi="SimHei" w:eastAsia="SimHei" w:cs="SimHei"/>
          <w:b/>
          <w:bCs/>
          <w:color w:val="auto"/>
          <w:kern w:val="0"/>
          <w:sz w:val="32"/>
          <w:szCs w:val="32"/>
          <w:lang w:val="en-US" w:eastAsia="zh-CN" w:bidi="ar-SA"/>
        </w:rPr>
        <w:t>第三部分</w:t>
      </w:r>
      <w:r>
        <w:rPr>
          <w:rFonts w:hint="eastAsia" w:hAnsi="SimHei" w:cs="SimHei"/>
          <w:b/>
          <w:bCs/>
          <w:color w:val="auto"/>
          <w:kern w:val="0"/>
          <w:sz w:val="32"/>
          <w:szCs w:val="32"/>
          <w:lang w:val="en-US" w:eastAsia="zh-CN" w:bidi="ar-SA"/>
        </w:rPr>
        <w:t xml:space="preserve"> </w:t>
      </w:r>
      <w:r>
        <w:rPr>
          <w:rFonts w:hint="eastAsia" w:ascii="SimHei" w:hAnsi="SimHei" w:eastAsia="SimHei" w:cs="SimHei"/>
          <w:b/>
          <w:bCs/>
          <w:color w:val="auto"/>
          <w:kern w:val="0"/>
          <w:sz w:val="32"/>
          <w:szCs w:val="32"/>
          <w:lang w:val="en-US" w:eastAsia="zh-CN" w:bidi="ar-SA"/>
        </w:rPr>
        <w:t>2021年度部门决算情况说明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一、收入支出决算总体情况说明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二、收入决算情况说明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三、支出决算情况说明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四、财政拨款收入支出决算总体情况说明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五、一般公共预算财政拨款支出决算情况说明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六、一般公共预算财政拨款基本支出决算情况说明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七、一般公共预算财政拨款“三公”经费支出决算情况说明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八、政府性基金预算收入支出决算情况</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九、国有资本经营预算财政拨款支出</w:t>
      </w:r>
      <w:r>
        <w:rPr>
          <w:rFonts w:hint="eastAsia" w:ascii="FangSong" w:hAnsi="FangSong" w:eastAsia="FangSong" w:cs="FangSong"/>
          <w:color w:val="auto"/>
          <w:kern w:val="0"/>
          <w:sz w:val="32"/>
          <w:szCs w:val="32"/>
        </w:rPr>
        <w:t>决算情况</w:t>
      </w:r>
      <w:r>
        <w:rPr>
          <w:rFonts w:hint="eastAsia" w:ascii="FangSong" w:hAnsi="FangSong" w:eastAsia="FangSong" w:cs="FangSong"/>
          <w:color w:val="auto"/>
          <w:kern w:val="0"/>
          <w:sz w:val="32"/>
          <w:szCs w:val="32"/>
          <w:lang w:val="en-US" w:eastAsia="zh-CN"/>
        </w:rPr>
        <w:t>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lang w:val="en-US" w:eastAsia="zh-CN"/>
        </w:rPr>
        <w:t>十</w:t>
      </w:r>
      <w:r>
        <w:rPr>
          <w:rFonts w:hint="eastAsia" w:ascii="FangSong" w:hAnsi="FangSong" w:eastAsia="FangSong" w:cs="FangSong"/>
          <w:color w:val="auto"/>
          <w:kern w:val="0"/>
          <w:sz w:val="32"/>
          <w:szCs w:val="32"/>
        </w:rPr>
        <w:t>、</w:t>
      </w:r>
      <w:r>
        <w:rPr>
          <w:rFonts w:hint="eastAsia" w:ascii="FangSong" w:hAnsi="FangSong" w:eastAsia="FangSong" w:cs="FangSong"/>
          <w:color w:val="auto"/>
          <w:kern w:val="0"/>
          <w:sz w:val="32"/>
          <w:szCs w:val="32"/>
          <w:lang w:val="en-US" w:eastAsia="zh-CN"/>
        </w:rPr>
        <w:t>关于</w:t>
      </w:r>
      <w:r>
        <w:rPr>
          <w:rFonts w:hint="eastAsia" w:ascii="FangSong" w:hAnsi="FangSong" w:eastAsia="FangSong" w:cs="FangSong"/>
          <w:color w:val="auto"/>
          <w:kern w:val="0"/>
          <w:sz w:val="32"/>
          <w:szCs w:val="32"/>
        </w:rPr>
        <w:t>机关运行经费支出说明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十</w:t>
      </w:r>
      <w:r>
        <w:rPr>
          <w:rFonts w:hint="eastAsia" w:ascii="FangSong" w:hAnsi="FangSong" w:eastAsia="FangSong" w:cs="FangSong"/>
          <w:color w:val="auto"/>
          <w:kern w:val="0"/>
          <w:sz w:val="32"/>
          <w:szCs w:val="32"/>
          <w:lang w:val="en-US" w:eastAsia="zh-CN"/>
        </w:rPr>
        <w:t>一</w:t>
      </w:r>
      <w:r>
        <w:rPr>
          <w:rFonts w:hint="eastAsia" w:ascii="FangSong" w:hAnsi="FangSong" w:eastAsia="FangSong" w:cs="FangSong"/>
          <w:color w:val="auto"/>
          <w:kern w:val="0"/>
          <w:sz w:val="32"/>
          <w:szCs w:val="32"/>
        </w:rPr>
        <w:t>、一般性支出情况说明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十</w:t>
      </w:r>
      <w:r>
        <w:rPr>
          <w:rFonts w:hint="eastAsia" w:ascii="FangSong" w:hAnsi="FangSong" w:eastAsia="FangSong" w:cs="FangSong"/>
          <w:color w:val="auto"/>
          <w:kern w:val="0"/>
          <w:sz w:val="32"/>
          <w:szCs w:val="32"/>
          <w:lang w:val="en-US" w:eastAsia="zh-CN"/>
        </w:rPr>
        <w:t>二</w:t>
      </w:r>
      <w:r>
        <w:rPr>
          <w:rFonts w:hint="eastAsia" w:ascii="FangSong" w:hAnsi="FangSong" w:eastAsia="FangSong" w:cs="FangSong"/>
          <w:color w:val="auto"/>
          <w:kern w:val="0"/>
          <w:sz w:val="32"/>
          <w:szCs w:val="32"/>
        </w:rPr>
        <w:t>、</w:t>
      </w:r>
      <w:r>
        <w:rPr>
          <w:rFonts w:hint="eastAsia" w:ascii="FangSong" w:hAnsi="FangSong" w:eastAsia="FangSong" w:cs="FangSong"/>
          <w:color w:val="auto"/>
          <w:kern w:val="0"/>
          <w:sz w:val="32"/>
          <w:szCs w:val="32"/>
          <w:lang w:val="en-US" w:eastAsia="zh-CN"/>
        </w:rPr>
        <w:t>关于</w:t>
      </w:r>
      <w:r>
        <w:rPr>
          <w:rFonts w:hint="eastAsia" w:ascii="FangSong" w:hAnsi="FangSong" w:eastAsia="FangSong" w:cs="FangSong"/>
          <w:color w:val="auto"/>
          <w:kern w:val="0"/>
          <w:sz w:val="32"/>
          <w:szCs w:val="32"/>
        </w:rPr>
        <w:t>政府采购支出说明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十</w:t>
      </w:r>
      <w:r>
        <w:rPr>
          <w:rFonts w:hint="eastAsia" w:ascii="FangSong" w:hAnsi="FangSong" w:eastAsia="FangSong" w:cs="FangSong"/>
          <w:color w:val="auto"/>
          <w:kern w:val="0"/>
          <w:sz w:val="32"/>
          <w:szCs w:val="32"/>
          <w:lang w:val="en-US" w:eastAsia="zh-CN"/>
        </w:rPr>
        <w:t>三</w:t>
      </w:r>
      <w:r>
        <w:rPr>
          <w:rFonts w:hint="eastAsia" w:ascii="FangSong" w:hAnsi="FangSong" w:eastAsia="FangSong" w:cs="FangSong"/>
          <w:color w:val="auto"/>
          <w:kern w:val="0"/>
          <w:sz w:val="32"/>
          <w:szCs w:val="32"/>
        </w:rPr>
        <w:t>、</w:t>
      </w:r>
      <w:r>
        <w:rPr>
          <w:rFonts w:hint="eastAsia" w:ascii="FangSong" w:hAnsi="FangSong" w:eastAsia="FangSong" w:cs="FangSong"/>
          <w:color w:val="auto"/>
          <w:kern w:val="0"/>
          <w:sz w:val="32"/>
          <w:szCs w:val="32"/>
          <w:lang w:val="en-US" w:eastAsia="zh-CN"/>
        </w:rPr>
        <w:t>关于</w:t>
      </w:r>
      <w:r>
        <w:rPr>
          <w:rFonts w:hint="eastAsia" w:ascii="FangSong" w:hAnsi="FangSong" w:eastAsia="FangSong" w:cs="FangSong"/>
          <w:color w:val="auto"/>
          <w:kern w:val="0"/>
          <w:sz w:val="32"/>
          <w:szCs w:val="32"/>
        </w:rPr>
        <w:t>国有资产占用情况说明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rPr>
      </w:pPr>
      <w:r>
        <w:rPr>
          <w:rFonts w:hint="eastAsia" w:ascii="FangSong" w:hAnsi="FangSong" w:eastAsia="FangSong" w:cs="FangSong"/>
          <w:color w:val="auto"/>
          <w:kern w:val="0"/>
          <w:sz w:val="32"/>
          <w:szCs w:val="32"/>
        </w:rPr>
        <w:t>十</w:t>
      </w:r>
      <w:r>
        <w:rPr>
          <w:rFonts w:hint="eastAsia" w:ascii="FangSong" w:hAnsi="FangSong" w:eastAsia="FangSong" w:cs="FangSong"/>
          <w:color w:val="auto"/>
          <w:kern w:val="0"/>
          <w:sz w:val="32"/>
          <w:szCs w:val="32"/>
          <w:lang w:val="en-US" w:eastAsia="zh-CN"/>
        </w:rPr>
        <w:t>四</w:t>
      </w:r>
      <w:r>
        <w:rPr>
          <w:rFonts w:hint="eastAsia" w:ascii="FangSong" w:hAnsi="FangSong" w:eastAsia="FangSong" w:cs="FangSong"/>
          <w:color w:val="auto"/>
          <w:kern w:val="0"/>
          <w:sz w:val="32"/>
          <w:szCs w:val="32"/>
        </w:rPr>
        <w:t>、</w:t>
      </w:r>
      <w:r>
        <w:rPr>
          <w:rFonts w:hint="eastAsia" w:ascii="FangSong" w:hAnsi="FangSong" w:eastAsia="FangSong" w:cs="FangSong"/>
          <w:color w:val="auto"/>
          <w:kern w:val="0"/>
          <w:sz w:val="32"/>
          <w:szCs w:val="32"/>
          <w:lang w:val="en-US" w:eastAsia="zh-CN"/>
        </w:rPr>
        <w:t>关于</w:t>
      </w:r>
      <w:r>
        <w:rPr>
          <w:rFonts w:hint="eastAsia" w:ascii="FangSong" w:hAnsi="FangSong" w:eastAsia="FangSong" w:cs="FangSong"/>
          <w:color w:val="auto"/>
          <w:kern w:val="0"/>
          <w:sz w:val="32"/>
          <w:szCs w:val="32"/>
        </w:rPr>
        <w:t>2021年度预算绩效情况</w:t>
      </w:r>
      <w:r>
        <w:rPr>
          <w:rFonts w:hint="eastAsia" w:ascii="FangSong" w:hAnsi="FangSong" w:eastAsia="FangSong" w:cs="FangSong"/>
          <w:color w:val="auto"/>
          <w:kern w:val="0"/>
          <w:sz w:val="32"/>
          <w:szCs w:val="32"/>
          <w:lang w:val="en-US" w:eastAsia="zh-CN"/>
        </w:rPr>
        <w:t>的</w:t>
      </w:r>
      <w:r>
        <w:rPr>
          <w:rFonts w:hint="eastAsia" w:ascii="FangSong" w:hAnsi="FangSong" w:eastAsia="FangSong" w:cs="FangSong"/>
          <w:color w:val="auto"/>
          <w:kern w:val="0"/>
          <w:sz w:val="32"/>
          <w:szCs w:val="32"/>
        </w:rPr>
        <w:t>说明</w:t>
      </w:r>
    </w:p>
    <w:p>
      <w:pPr>
        <w:keepNext w:val="0"/>
        <w:keepLines w:val="0"/>
        <w:pageBreakBefore w:val="0"/>
        <w:kinsoku/>
        <w:wordWrap/>
        <w:overflowPunct/>
        <w:topLinePunct w:val="0"/>
        <w:autoSpaceDE w:val="0"/>
        <w:autoSpaceDN w:val="0"/>
        <w:bidi w:val="0"/>
        <w:adjustRightInd w:val="0"/>
        <w:snapToGrid/>
        <w:spacing w:line="600" w:lineRule="exact"/>
        <w:ind w:left="0" w:firstLine="640" w:firstLineChars="200"/>
        <w:jc w:val="left"/>
        <w:textAlignment w:val="auto"/>
        <w:rPr>
          <w:rFonts w:hint="eastAsia" w:ascii="SimHei" w:hAnsi="SimHei" w:eastAsia="SimHei" w:cs="SimHei"/>
          <w:b/>
          <w:bCs/>
          <w:color w:val="auto"/>
          <w:kern w:val="0"/>
          <w:sz w:val="32"/>
          <w:szCs w:val="32"/>
          <w:lang w:val="en-US" w:eastAsia="zh-CN" w:bidi="ar-SA"/>
        </w:rPr>
      </w:pPr>
      <w:r>
        <w:rPr>
          <w:rFonts w:hint="eastAsia" w:ascii="SimHei" w:hAnsi="SimHei" w:eastAsia="SimHei" w:cs="SimHei"/>
          <w:b/>
          <w:bCs/>
          <w:color w:val="auto"/>
          <w:kern w:val="0"/>
          <w:sz w:val="32"/>
          <w:szCs w:val="32"/>
          <w:lang w:val="en-US" w:eastAsia="zh-CN" w:bidi="ar-SA"/>
        </w:rPr>
        <w:t>第四部分名词解释</w:t>
      </w:r>
    </w:p>
    <w:p>
      <w:pPr>
        <w:keepNext w:val="0"/>
        <w:keepLines w:val="0"/>
        <w:pageBreakBefore w:val="0"/>
        <w:kinsoku/>
        <w:wordWrap/>
        <w:overflowPunct/>
        <w:topLinePunct w:val="0"/>
        <w:autoSpaceDE w:val="0"/>
        <w:autoSpaceDN w:val="0"/>
        <w:bidi w:val="0"/>
        <w:adjustRightInd w:val="0"/>
        <w:snapToGrid/>
        <w:spacing w:line="600" w:lineRule="exact"/>
        <w:ind w:left="0" w:firstLine="640" w:firstLineChars="200"/>
        <w:jc w:val="left"/>
        <w:textAlignment w:val="auto"/>
        <w:rPr>
          <w:rFonts w:hint="eastAsia" w:ascii="SimHei" w:hAnsi="SimHei" w:eastAsia="SimHei" w:cs="SimHei"/>
          <w:b/>
          <w:bCs/>
          <w:color w:val="auto"/>
          <w:kern w:val="0"/>
          <w:sz w:val="32"/>
          <w:szCs w:val="32"/>
          <w:lang w:val="en-US" w:eastAsia="zh-CN" w:bidi="ar-SA"/>
        </w:rPr>
      </w:pPr>
      <w:r>
        <w:rPr>
          <w:rFonts w:hint="eastAsia" w:ascii="SimHei" w:hAnsi="SimHei" w:eastAsia="SimHei" w:cs="SimHei"/>
          <w:b/>
          <w:bCs/>
          <w:color w:val="auto"/>
          <w:kern w:val="0"/>
          <w:sz w:val="32"/>
          <w:szCs w:val="32"/>
          <w:lang w:val="en-US" w:eastAsia="zh-CN" w:bidi="ar-SA"/>
        </w:rPr>
        <w:t>第五部分附件</w:t>
      </w:r>
    </w:p>
    <w:p>
      <w:pPr>
        <w:keepNext w:val="0"/>
        <w:keepLines w:val="0"/>
        <w:pageBreakBefore w:val="0"/>
        <w:kinsoku/>
        <w:wordWrap/>
        <w:overflowPunct/>
        <w:topLinePunct w:val="0"/>
        <w:autoSpaceDE w:val="0"/>
        <w:autoSpaceDN w:val="0"/>
        <w:bidi w:val="0"/>
        <w:adjustRightInd w:val="0"/>
        <w:snapToGrid/>
        <w:spacing w:line="600" w:lineRule="exact"/>
        <w:ind w:left="0" w:firstLine="640" w:firstLineChars="200"/>
        <w:jc w:val="left"/>
        <w:textAlignment w:val="auto"/>
        <w:rPr>
          <w:rFonts w:hint="eastAsia" w:ascii="SimHei" w:hAnsi="SimHei" w:eastAsia="SimHei" w:cs="SimHei"/>
          <w:b/>
          <w:bCs/>
          <w:color w:val="auto"/>
          <w:kern w:val="0"/>
          <w:sz w:val="32"/>
          <w:szCs w:val="32"/>
          <w:lang w:val="en-US" w:eastAsia="zh-CN" w:bidi="ar-SA"/>
        </w:rPr>
      </w:pPr>
    </w:p>
    <w:p>
      <w:pPr>
        <w:keepNext w:val="0"/>
        <w:keepLines w:val="0"/>
        <w:pageBreakBefore w:val="0"/>
        <w:kinsoku/>
        <w:wordWrap/>
        <w:overflowPunct/>
        <w:topLinePunct w:val="0"/>
        <w:autoSpaceDE w:val="0"/>
        <w:autoSpaceDN w:val="0"/>
        <w:bidi w:val="0"/>
        <w:adjustRightInd w:val="0"/>
        <w:snapToGrid/>
        <w:spacing w:line="600" w:lineRule="exact"/>
        <w:ind w:left="0" w:firstLine="640" w:firstLineChars="200"/>
        <w:jc w:val="left"/>
        <w:textAlignment w:val="auto"/>
        <w:rPr>
          <w:rFonts w:hint="eastAsia" w:ascii="SimHei" w:hAnsi="SimHei" w:eastAsia="SimHei" w:cs="SimHei"/>
          <w:b/>
          <w:bCs/>
          <w:color w:val="auto"/>
          <w:kern w:val="0"/>
          <w:sz w:val="32"/>
          <w:szCs w:val="32"/>
          <w:lang w:val="en-US" w:eastAsia="zh-CN" w:bidi="ar-SA"/>
        </w:rPr>
      </w:pPr>
    </w:p>
    <w:p>
      <w:pPr>
        <w:pStyle w:val="11"/>
        <w:keepNext w:val="0"/>
        <w:keepLines w:val="0"/>
        <w:pageBreakBefore w:val="0"/>
        <w:kinsoku/>
        <w:wordWrap/>
        <w:overflowPunct/>
        <w:topLinePunct w:val="0"/>
        <w:bidi w:val="0"/>
        <w:snapToGrid/>
        <w:spacing w:line="600" w:lineRule="exact"/>
        <w:ind w:left="0" w:firstLine="880" w:firstLineChars="200"/>
        <w:jc w:val="center"/>
        <w:textAlignment w:val="auto"/>
        <w:rPr>
          <w:color w:val="auto"/>
          <w:sz w:val="84"/>
          <w:szCs w:val="84"/>
        </w:rPr>
      </w:pPr>
      <w:r>
        <w:rPr>
          <w:rFonts w:hint="eastAsia" w:ascii="SimHei" w:hAnsi="SimHei" w:eastAsia="SimHei" w:cs="SimHei"/>
          <w:b/>
          <w:bCs w:val="0"/>
          <w:color w:val="auto"/>
          <w:kern w:val="0"/>
          <w:sz w:val="44"/>
          <w:szCs w:val="44"/>
          <w:lang w:val="en-US" w:eastAsia="zh-CN" w:bidi="ar-SA"/>
        </w:rPr>
        <w:t>第一部分 怀化市地震局单位概况</w:t>
      </w:r>
    </w:p>
    <w:p>
      <w:pPr>
        <w:pStyle w:val="12"/>
        <w:keepNext w:val="0"/>
        <w:keepLines w:val="0"/>
        <w:pageBreakBefore w:val="0"/>
        <w:kinsoku/>
        <w:wordWrap/>
        <w:overflowPunct/>
        <w:topLinePunct w:val="0"/>
        <w:bidi w:val="0"/>
        <w:snapToGrid/>
        <w:spacing w:line="600" w:lineRule="exact"/>
        <w:ind w:left="0" w:firstLine="640" w:firstLineChars="200"/>
        <w:jc w:val="left"/>
        <w:textAlignment w:val="auto"/>
        <w:rPr>
          <w:rFonts w:ascii="SimHei" w:hAnsi="SimHei" w:eastAsia="SimHei"/>
          <w:color w:val="auto"/>
          <w:sz w:val="32"/>
          <w:szCs w:val="32"/>
        </w:rPr>
      </w:pPr>
    </w:p>
    <w:p>
      <w:pPr>
        <w:keepNext w:val="0"/>
        <w:keepLines w:val="0"/>
        <w:pageBreakBefore w:val="0"/>
        <w:kinsoku/>
        <w:wordWrap/>
        <w:overflowPunct/>
        <w:topLinePunct w:val="0"/>
        <w:bidi w:val="0"/>
        <w:snapToGrid/>
        <w:spacing w:line="600" w:lineRule="exact"/>
        <w:ind w:left="0" w:firstLine="640" w:firstLineChars="200"/>
        <w:textAlignment w:val="auto"/>
        <w:rPr>
          <w:rFonts w:hint="eastAsia"/>
          <w:color w:val="auto"/>
          <w:lang w:val="en-US" w:eastAsia="zh-CN"/>
        </w:rPr>
      </w:pPr>
      <w:r>
        <w:rPr>
          <w:rFonts w:hint="default" w:ascii="SimHei" w:hAnsi="SimHei" w:eastAsia="SimHei" w:cs="SimHei"/>
          <w:b w:val="0"/>
          <w:bCs/>
          <w:color w:val="auto"/>
          <w:kern w:val="0"/>
          <w:sz w:val="32"/>
          <w:szCs w:val="32"/>
          <w:lang w:val="en-US" w:eastAsia="zh-CN"/>
        </w:rPr>
        <w:t>一、</w:t>
      </w:r>
      <w:r>
        <w:rPr>
          <w:rFonts w:hint="eastAsia" w:ascii="SimHei" w:hAnsi="SimHei" w:eastAsia="SimHei" w:cs="SimHei"/>
          <w:b w:val="0"/>
          <w:bCs/>
          <w:color w:val="auto"/>
          <w:kern w:val="0"/>
          <w:sz w:val="32"/>
          <w:szCs w:val="32"/>
          <w:lang w:val="en-US" w:eastAsia="zh-CN"/>
        </w:rPr>
        <w:t>部门职责</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eastAsia" w:ascii="FangSong" w:hAnsi="FangSong" w:eastAsia="FangSong" w:cs="FangSong"/>
          <w:b w:val="0"/>
          <w:bCs/>
          <w:color w:val="auto"/>
          <w:kern w:val="0"/>
          <w:sz w:val="32"/>
          <w:szCs w:val="32"/>
        </w:rPr>
      </w:pPr>
      <w:r>
        <w:rPr>
          <w:rFonts w:hint="eastAsia" w:ascii="FangSong" w:hAnsi="FangSong" w:eastAsia="FangSong" w:cs="FangSong"/>
          <w:b w:val="0"/>
          <w:bCs/>
          <w:color w:val="auto"/>
          <w:kern w:val="0"/>
          <w:sz w:val="32"/>
          <w:szCs w:val="32"/>
        </w:rPr>
        <w:t>（一）</w:t>
      </w:r>
      <w:r>
        <w:rPr>
          <w:rFonts w:hint="eastAsia" w:ascii="FangSong" w:hAnsi="FangSong" w:eastAsia="FangSong" w:cs="FangSong"/>
          <w:b w:val="0"/>
          <w:bCs/>
          <w:color w:val="auto"/>
          <w:kern w:val="0"/>
          <w:sz w:val="32"/>
          <w:szCs w:val="32"/>
          <w:lang w:val="en-US" w:eastAsia="zh-CN"/>
        </w:rPr>
        <w:t>全市地震台站基础建设、监测仪器安装以及监测手段优化升级改造及设备运行维护工作；</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eastAsia" w:ascii="FangSong" w:hAnsi="FangSong" w:eastAsia="FangSong" w:cs="FangSong"/>
          <w:b w:val="0"/>
          <w:bCs/>
          <w:color w:val="auto"/>
          <w:kern w:val="0"/>
          <w:sz w:val="32"/>
          <w:szCs w:val="32"/>
          <w:lang w:val="en-US" w:eastAsia="zh-CN"/>
        </w:rPr>
      </w:pPr>
      <w:r>
        <w:rPr>
          <w:rFonts w:hint="eastAsia" w:ascii="FangSong" w:hAnsi="FangSong" w:eastAsia="FangSong" w:cs="FangSong"/>
          <w:b w:val="0"/>
          <w:bCs/>
          <w:color w:val="auto"/>
          <w:kern w:val="0"/>
          <w:sz w:val="32"/>
          <w:szCs w:val="32"/>
        </w:rPr>
        <w:t>（二）</w:t>
      </w:r>
      <w:r>
        <w:rPr>
          <w:rFonts w:hint="eastAsia" w:ascii="FangSong" w:hAnsi="FangSong" w:eastAsia="FangSong" w:cs="FangSong"/>
          <w:b w:val="0"/>
          <w:bCs/>
          <w:color w:val="auto"/>
          <w:kern w:val="0"/>
          <w:sz w:val="32"/>
          <w:szCs w:val="32"/>
          <w:lang w:val="en-US" w:eastAsia="zh-CN"/>
        </w:rPr>
        <w:t>地震监测数据汇总、分析、处理、集成、传输及震情通报、镇中分布图、烈度分布图、地震趋势会商报告等公共服务产品产出工作；</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eastAsia" w:ascii="FangSong" w:hAnsi="FangSong" w:eastAsia="FangSong" w:cs="FangSong"/>
          <w:b w:val="0"/>
          <w:bCs/>
          <w:color w:val="auto"/>
          <w:kern w:val="0"/>
          <w:sz w:val="32"/>
          <w:szCs w:val="32"/>
          <w:lang w:val="en-US" w:eastAsia="zh-CN"/>
        </w:rPr>
      </w:pPr>
      <w:r>
        <w:rPr>
          <w:rFonts w:hint="eastAsia" w:ascii="FangSong" w:hAnsi="FangSong" w:eastAsia="FangSong" w:cs="FangSong"/>
          <w:b w:val="0"/>
          <w:bCs/>
          <w:color w:val="auto"/>
          <w:kern w:val="0"/>
          <w:sz w:val="32"/>
          <w:szCs w:val="32"/>
          <w:lang w:val="en-US" w:eastAsia="zh-CN"/>
        </w:rPr>
        <w:t>（三）牵头开展地震灾害风险调查以及地震宏、微观前兆异常事件的调查工作；</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eastAsia" w:ascii="FangSong" w:hAnsi="FangSong" w:eastAsia="FangSong" w:cs="FangSong"/>
          <w:b w:val="0"/>
          <w:bCs/>
          <w:color w:val="auto"/>
          <w:kern w:val="0"/>
          <w:sz w:val="32"/>
          <w:szCs w:val="32"/>
          <w:lang w:val="en-US" w:eastAsia="zh-CN"/>
        </w:rPr>
      </w:pPr>
      <w:r>
        <w:rPr>
          <w:rFonts w:hint="eastAsia" w:ascii="FangSong" w:hAnsi="FangSong" w:eastAsia="FangSong" w:cs="FangSong"/>
          <w:b w:val="0"/>
          <w:bCs/>
          <w:color w:val="auto"/>
          <w:kern w:val="0"/>
          <w:sz w:val="32"/>
          <w:szCs w:val="32"/>
          <w:lang w:val="en-US" w:eastAsia="zh-CN"/>
        </w:rPr>
        <w:t>（四）省级和国家级防震减灾科普基地创建工作；</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eastAsia" w:ascii="FangSong" w:hAnsi="FangSong" w:eastAsia="FangSong" w:cs="FangSong"/>
          <w:b w:val="0"/>
          <w:bCs/>
          <w:color w:val="auto"/>
          <w:kern w:val="0"/>
          <w:sz w:val="32"/>
          <w:szCs w:val="32"/>
          <w:lang w:val="en-US" w:eastAsia="zh-CN"/>
        </w:rPr>
      </w:pPr>
      <w:r>
        <w:rPr>
          <w:rFonts w:hint="eastAsia" w:ascii="FangSong" w:hAnsi="FangSong" w:eastAsia="FangSong" w:cs="FangSong"/>
          <w:b w:val="0"/>
          <w:bCs/>
          <w:color w:val="auto"/>
          <w:kern w:val="0"/>
          <w:sz w:val="32"/>
          <w:szCs w:val="32"/>
          <w:lang w:val="en-US" w:eastAsia="zh-CN"/>
        </w:rPr>
        <w:t>（五）全市地震群测群防站点建设工作；</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eastAsia" w:ascii="FangSong" w:hAnsi="FangSong" w:eastAsia="FangSong" w:cs="FangSong"/>
          <w:b w:val="0"/>
          <w:bCs/>
          <w:color w:val="auto"/>
          <w:kern w:val="0"/>
          <w:sz w:val="32"/>
          <w:szCs w:val="32"/>
          <w:lang w:val="en-US" w:eastAsia="zh-CN"/>
        </w:rPr>
      </w:pPr>
      <w:r>
        <w:rPr>
          <w:rFonts w:hint="eastAsia" w:ascii="FangSong" w:hAnsi="FangSong" w:eastAsia="FangSong" w:cs="FangSong"/>
          <w:b w:val="0"/>
          <w:bCs/>
          <w:color w:val="auto"/>
          <w:kern w:val="0"/>
          <w:sz w:val="32"/>
          <w:szCs w:val="32"/>
          <w:lang w:val="en-US" w:eastAsia="zh-CN"/>
        </w:rPr>
        <w:t>（六）牵头开展全市防震减灾科普宣传工作；</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eastAsia" w:ascii="FangSong" w:hAnsi="FangSong" w:eastAsia="FangSong" w:cs="FangSong"/>
          <w:b w:val="0"/>
          <w:bCs/>
          <w:color w:val="auto"/>
          <w:kern w:val="0"/>
          <w:sz w:val="32"/>
          <w:szCs w:val="32"/>
          <w:lang w:val="en-US" w:eastAsia="zh-CN"/>
        </w:rPr>
      </w:pPr>
      <w:r>
        <w:rPr>
          <w:rFonts w:hint="eastAsia" w:ascii="FangSong" w:hAnsi="FangSong" w:eastAsia="FangSong" w:cs="FangSong"/>
          <w:b w:val="0"/>
          <w:bCs/>
          <w:color w:val="auto"/>
          <w:kern w:val="0"/>
          <w:sz w:val="32"/>
          <w:szCs w:val="32"/>
          <w:lang w:val="en-US" w:eastAsia="zh-CN"/>
        </w:rPr>
        <w:t>（七）全市重大建设工程和可能发生严重次生灾害建设工程地震安全性评价以及抗震设防要求监管工作；</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eastAsia" w:ascii="FangSong" w:hAnsi="FangSong" w:eastAsia="FangSong" w:cs="FangSong"/>
          <w:b w:val="0"/>
          <w:bCs/>
          <w:color w:val="auto"/>
          <w:kern w:val="0"/>
          <w:sz w:val="32"/>
          <w:szCs w:val="32"/>
          <w:lang w:val="en-US" w:eastAsia="zh-CN"/>
        </w:rPr>
      </w:pPr>
      <w:r>
        <w:rPr>
          <w:rFonts w:hint="eastAsia" w:ascii="FangSong" w:hAnsi="FangSong" w:eastAsia="FangSong" w:cs="FangSong"/>
          <w:b w:val="0"/>
          <w:bCs/>
          <w:color w:val="auto"/>
          <w:kern w:val="0"/>
          <w:sz w:val="32"/>
          <w:szCs w:val="32"/>
          <w:lang w:val="en-US" w:eastAsia="zh-CN"/>
        </w:rPr>
        <w:t>（八）全市农村民居地震安全试点示范工作；</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eastAsia" w:ascii="FangSong" w:hAnsi="FangSong" w:eastAsia="FangSong" w:cs="FangSong"/>
          <w:b w:val="0"/>
          <w:bCs/>
          <w:color w:val="auto"/>
          <w:kern w:val="0"/>
          <w:sz w:val="32"/>
          <w:szCs w:val="32"/>
          <w:lang w:val="en-US" w:eastAsia="zh-CN"/>
        </w:rPr>
      </w:pPr>
      <w:r>
        <w:rPr>
          <w:rFonts w:hint="eastAsia" w:ascii="FangSong" w:hAnsi="FangSong" w:eastAsia="FangSong" w:cs="FangSong"/>
          <w:b w:val="0"/>
          <w:bCs/>
          <w:color w:val="auto"/>
          <w:kern w:val="0"/>
          <w:sz w:val="32"/>
          <w:szCs w:val="32"/>
          <w:lang w:val="en-US" w:eastAsia="zh-CN"/>
        </w:rPr>
        <w:t>（九）牵头开展省级地震专项资金申报工作；</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default" w:asciiTheme="minorEastAsia" w:hAnsiTheme="minorEastAsia"/>
          <w:bCs/>
          <w:color w:val="auto"/>
          <w:kern w:val="0"/>
          <w:sz w:val="32"/>
          <w:szCs w:val="32"/>
          <w:lang w:val="en-US" w:eastAsia="zh-CN"/>
        </w:rPr>
      </w:pPr>
      <w:r>
        <w:rPr>
          <w:rFonts w:hint="eastAsia" w:ascii="FangSong" w:hAnsi="FangSong" w:eastAsia="FangSong" w:cs="FangSong"/>
          <w:b w:val="0"/>
          <w:bCs/>
          <w:color w:val="auto"/>
          <w:kern w:val="0"/>
          <w:sz w:val="32"/>
          <w:szCs w:val="32"/>
          <w:lang w:val="en-US" w:eastAsia="zh-CN"/>
        </w:rPr>
        <w:t>（十）怀化地震台日常管理和观测环境监督管理工作。</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eastAsia" w:ascii="SimHei" w:hAnsi="SimHei" w:eastAsia="SimHei" w:cs="SimHei"/>
          <w:b w:val="0"/>
          <w:bCs/>
          <w:color w:val="auto"/>
          <w:kern w:val="0"/>
          <w:sz w:val="32"/>
          <w:szCs w:val="32"/>
        </w:rPr>
      </w:pPr>
      <w:r>
        <w:rPr>
          <w:rFonts w:hint="eastAsia" w:ascii="SimHei" w:hAnsi="SimHei" w:eastAsia="SimHei" w:cs="SimHei"/>
          <w:b w:val="0"/>
          <w:bCs/>
          <w:color w:val="auto"/>
          <w:kern w:val="0"/>
          <w:sz w:val="32"/>
          <w:szCs w:val="32"/>
        </w:rPr>
        <w:t>二、机构设置及决算单位构成</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eastAsia" w:ascii="FangSong" w:hAnsi="FangSong" w:eastAsia="FangSong" w:cs="FangSong"/>
          <w:b w:val="0"/>
          <w:bCs/>
          <w:color w:val="auto"/>
          <w:kern w:val="0"/>
          <w:sz w:val="32"/>
          <w:szCs w:val="32"/>
          <w:lang w:val="en-US" w:eastAsia="zh-CN"/>
        </w:rPr>
      </w:pPr>
      <w:r>
        <w:rPr>
          <w:rFonts w:hint="eastAsia" w:ascii="FangSong" w:hAnsi="FangSong" w:eastAsia="FangSong" w:cs="FangSong"/>
          <w:b w:val="0"/>
          <w:bCs/>
          <w:color w:val="auto"/>
          <w:kern w:val="0"/>
          <w:sz w:val="32"/>
          <w:szCs w:val="32"/>
          <w:lang w:val="en-US" w:eastAsia="zh-CN"/>
        </w:rPr>
        <w:t>（一）内设机构设置。怀化市地震局单位内设机构包括：综合应急科、抗震科。</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eastAsia" w:ascii="FangSong" w:hAnsi="FangSong" w:eastAsia="FangSong" w:cs="FangSong"/>
          <w:b w:val="0"/>
          <w:bCs/>
          <w:color w:val="auto"/>
          <w:kern w:val="0"/>
          <w:sz w:val="32"/>
          <w:szCs w:val="32"/>
          <w:lang w:val="en-US" w:eastAsia="zh-CN"/>
        </w:rPr>
      </w:pPr>
      <w:r>
        <w:rPr>
          <w:rFonts w:hint="eastAsia" w:ascii="FangSong" w:hAnsi="FangSong" w:eastAsia="FangSong" w:cs="FangSong"/>
          <w:b w:val="0"/>
          <w:bCs/>
          <w:color w:val="auto"/>
          <w:kern w:val="0"/>
          <w:sz w:val="32"/>
          <w:szCs w:val="32"/>
          <w:lang w:val="en-US" w:eastAsia="zh-CN"/>
        </w:rPr>
        <w:t>（二）决算单位构成。怀化市地震局单位2021年部门决算汇总公开单位构成包括：怀化市地震局单位本级。</w:t>
      </w:r>
    </w:p>
    <w:p>
      <w:pPr>
        <w:keepNext w:val="0"/>
        <w:keepLines w:val="0"/>
        <w:pageBreakBefore w:val="0"/>
        <w:widowControl/>
        <w:kinsoku/>
        <w:wordWrap/>
        <w:overflowPunct/>
        <w:topLinePunct w:val="0"/>
        <w:bidi w:val="0"/>
        <w:snapToGrid/>
        <w:spacing w:line="600" w:lineRule="exact"/>
        <w:ind w:left="0" w:firstLine="640" w:firstLineChars="200"/>
        <w:textAlignment w:val="auto"/>
        <w:rPr>
          <w:rFonts w:hint="eastAsia" w:ascii="FangSong" w:hAnsi="FangSong" w:eastAsia="FangSong" w:cs="FangSong"/>
          <w:b w:val="0"/>
          <w:bCs/>
          <w:color w:val="auto"/>
          <w:kern w:val="0"/>
          <w:sz w:val="32"/>
          <w:szCs w:val="32"/>
          <w:lang w:val="en-US" w:eastAsia="zh-CN"/>
        </w:rPr>
      </w:pPr>
    </w:p>
    <w:p>
      <w:pPr>
        <w:keepNext w:val="0"/>
        <w:keepLines w:val="0"/>
        <w:pageBreakBefore w:val="0"/>
        <w:kinsoku/>
        <w:wordWrap/>
        <w:overflowPunct/>
        <w:topLinePunct w:val="0"/>
        <w:bidi w:val="0"/>
        <w:snapToGrid/>
        <w:spacing w:line="600" w:lineRule="exact"/>
        <w:ind w:left="0" w:firstLine="880" w:firstLineChars="200"/>
        <w:jc w:val="center"/>
        <w:textAlignment w:val="auto"/>
        <w:rPr>
          <w:rFonts w:hint="eastAsia" w:ascii="SimHei" w:hAnsi="SimHei" w:eastAsia="SimHei" w:cs="SimHei"/>
          <w:b/>
          <w:bCs/>
          <w:color w:val="auto"/>
          <w:kern w:val="0"/>
          <w:sz w:val="44"/>
          <w:szCs w:val="44"/>
          <w:lang w:val="en-US" w:eastAsia="zh-CN" w:bidi="ar-SA"/>
        </w:rPr>
      </w:pPr>
      <w:r>
        <w:rPr>
          <w:rFonts w:hint="eastAsia" w:ascii="SimHei" w:hAnsi="SimHei" w:eastAsia="SimHei" w:cs="SimHei"/>
          <w:b/>
          <w:bCs/>
          <w:color w:val="auto"/>
          <w:kern w:val="0"/>
          <w:sz w:val="44"/>
          <w:szCs w:val="44"/>
          <w:lang w:val="en-US" w:eastAsia="zh-CN" w:bidi="ar-SA"/>
        </w:rPr>
        <w:t>第二部分 部门决算表</w:t>
      </w:r>
    </w:p>
    <w:p>
      <w:pPr>
        <w:keepNext w:val="0"/>
        <w:keepLines w:val="0"/>
        <w:pageBreakBefore w:val="0"/>
        <w:kinsoku/>
        <w:wordWrap/>
        <w:overflowPunct/>
        <w:topLinePunct w:val="0"/>
        <w:bidi w:val="0"/>
        <w:snapToGrid/>
        <w:spacing w:line="600" w:lineRule="exact"/>
        <w:ind w:left="0" w:leftChars="0" w:firstLine="640" w:firstLineChars="200"/>
        <w:jc w:val="center"/>
        <w:textAlignment w:val="auto"/>
        <w:rPr>
          <w:rFonts w:hint="eastAsia" w:ascii="FangSong" w:hAnsi="FangSong" w:eastAsia="FangSong" w:cs="FangSong"/>
          <w:color w:val="auto"/>
          <w:sz w:val="32"/>
          <w:szCs w:val="32"/>
          <w:lang w:val="en-US" w:eastAsia="zh-CN"/>
        </w:rPr>
      </w:pPr>
      <w:r>
        <w:rPr>
          <w:rFonts w:hint="eastAsia" w:ascii="FangSong" w:hAnsi="FangSong" w:eastAsia="FangSong" w:cs="FangSong"/>
          <w:color w:val="auto"/>
          <w:sz w:val="32"/>
          <w:szCs w:val="32"/>
          <w:lang w:val="en-US" w:eastAsia="zh-CN"/>
        </w:rPr>
        <w:t>见附件</w:t>
      </w:r>
    </w:p>
    <w:p>
      <w:pPr>
        <w:keepNext w:val="0"/>
        <w:keepLines w:val="0"/>
        <w:pageBreakBefore w:val="0"/>
        <w:kinsoku/>
        <w:wordWrap/>
        <w:overflowPunct/>
        <w:topLinePunct w:val="0"/>
        <w:bidi w:val="0"/>
        <w:snapToGrid/>
        <w:spacing w:line="600" w:lineRule="exact"/>
        <w:ind w:left="0" w:leftChars="0" w:firstLine="640" w:firstLineChars="200"/>
        <w:jc w:val="center"/>
        <w:textAlignment w:val="auto"/>
        <w:rPr>
          <w:rFonts w:hint="eastAsia" w:ascii="FangSong" w:hAnsi="FangSong" w:eastAsia="FangSong" w:cs="FangSong"/>
          <w:color w:val="auto"/>
          <w:sz w:val="32"/>
          <w:szCs w:val="32"/>
          <w:lang w:val="en-US" w:eastAsia="zh-CN"/>
        </w:rPr>
      </w:pPr>
    </w:p>
    <w:p>
      <w:pPr>
        <w:pStyle w:val="11"/>
        <w:keepNext w:val="0"/>
        <w:keepLines w:val="0"/>
        <w:pageBreakBefore w:val="0"/>
        <w:kinsoku/>
        <w:wordWrap/>
        <w:overflowPunct/>
        <w:topLinePunct w:val="0"/>
        <w:bidi w:val="0"/>
        <w:snapToGrid/>
        <w:spacing w:line="600" w:lineRule="exact"/>
        <w:ind w:left="0" w:firstLine="880" w:firstLineChars="200"/>
        <w:jc w:val="center"/>
        <w:textAlignment w:val="auto"/>
        <w:rPr>
          <w:color w:val="auto"/>
          <w:sz w:val="70"/>
          <w:szCs w:val="70"/>
        </w:rPr>
      </w:pPr>
      <w:r>
        <w:rPr>
          <w:rFonts w:hint="eastAsia" w:ascii="SimHei" w:hAnsi="SimHei" w:eastAsia="SimHei" w:cs="SimHei"/>
          <w:b/>
          <w:bCs w:val="0"/>
          <w:color w:val="auto"/>
          <w:kern w:val="0"/>
          <w:sz w:val="44"/>
          <w:szCs w:val="44"/>
          <w:lang w:val="en-US" w:eastAsia="zh-CN" w:bidi="ar-SA"/>
        </w:rPr>
        <w:t>第三部分 2021年度部门决算情况说明</w:t>
      </w:r>
    </w:p>
    <w:p>
      <w:pPr>
        <w:keepNext w:val="0"/>
        <w:keepLines w:val="0"/>
        <w:pageBreakBefore w:val="0"/>
        <w:widowControl/>
        <w:kinsoku/>
        <w:wordWrap/>
        <w:overflowPunct/>
        <w:topLinePunct w:val="0"/>
        <w:bidi w:val="0"/>
        <w:snapToGrid/>
        <w:spacing w:line="600" w:lineRule="exact"/>
        <w:ind w:left="0" w:firstLine="640" w:firstLineChars="200"/>
        <w:jc w:val="left"/>
        <w:textAlignment w:val="auto"/>
        <w:rPr>
          <w:rFonts w:hint="eastAsia" w:hAnsi="SimHei"/>
          <w:b/>
          <w:color w:val="auto"/>
          <w:sz w:val="32"/>
          <w:szCs w:val="32"/>
        </w:rPr>
      </w:pPr>
    </w:p>
    <w:p>
      <w:pPr>
        <w:keepNext w:val="0"/>
        <w:keepLines w:val="0"/>
        <w:pageBreakBefore w:val="0"/>
        <w:widowControl/>
        <w:kinsoku/>
        <w:wordWrap/>
        <w:overflowPunct/>
        <w:topLinePunct w:val="0"/>
        <w:bidi w:val="0"/>
        <w:snapToGrid/>
        <w:spacing w:line="600" w:lineRule="exact"/>
        <w:ind w:left="0" w:firstLine="640" w:firstLineChars="200"/>
        <w:jc w:val="left"/>
        <w:textAlignment w:val="auto"/>
        <w:rPr>
          <w:rFonts w:hAnsi="SimHei"/>
          <w:b/>
          <w:color w:val="auto"/>
          <w:sz w:val="32"/>
          <w:szCs w:val="32"/>
        </w:rPr>
      </w:pPr>
      <w:r>
        <w:rPr>
          <w:rFonts w:hint="eastAsia" w:ascii="SimHei" w:hAnsi="SimHei" w:eastAsia="SimHei" w:cs="Times New Roman"/>
          <w:color w:val="auto"/>
          <w:kern w:val="0"/>
          <w:sz w:val="32"/>
          <w:szCs w:val="32"/>
          <w:lang w:val="en-US" w:eastAsia="zh-CN" w:bidi="ar-SA"/>
        </w:rPr>
        <w:t>一、收入支出决算总体情况说明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Theme="minorEastAsia" w:hAnsiTheme="minorEastAsia" w:eastAsiaTheme="minorEastAsia"/>
          <w:color w:val="auto"/>
          <w:sz w:val="32"/>
          <w:szCs w:val="32"/>
          <w:lang w:eastAsia="zh-CN"/>
        </w:rPr>
      </w:pPr>
      <w:r>
        <w:rPr>
          <w:rFonts w:hint="eastAsia" w:ascii="FangSong" w:hAnsi="FangSong" w:eastAsia="FangSong" w:cs="FangSong"/>
          <w:b w:val="0"/>
          <w:bCs w:val="0"/>
          <w:color w:val="auto"/>
          <w:kern w:val="0"/>
          <w:sz w:val="32"/>
          <w:szCs w:val="32"/>
          <w:lang w:val="en-US" w:eastAsia="zh-CN"/>
        </w:rPr>
        <w:t>2021年度收、支总计各299.74万元。与上年相比，减少312.86万元，减少51.07%，主要是因为上年度拨市地震台二期项目建设资金。</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Ansi="SimHei"/>
          <w:b/>
          <w:color w:val="auto"/>
          <w:sz w:val="32"/>
          <w:szCs w:val="32"/>
        </w:rPr>
      </w:pPr>
      <w:r>
        <w:rPr>
          <w:rFonts w:hint="eastAsia" w:ascii="SimHei" w:hAnsi="SimHei" w:eastAsia="SimHei" w:cs="Times New Roman"/>
          <w:color w:val="auto"/>
          <w:kern w:val="0"/>
          <w:sz w:val="32"/>
          <w:szCs w:val="32"/>
          <w:lang w:val="en-US" w:eastAsia="zh-CN" w:bidi="ar-SA"/>
        </w:rPr>
        <w:t>二、收入决算情况说明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asciiTheme="minorEastAsia" w:hAnsiTheme="minorEastAsia" w:eastAsiaTheme="minorEastAsia"/>
          <w:color w:val="auto"/>
          <w:sz w:val="32"/>
          <w:szCs w:val="32"/>
        </w:rPr>
      </w:pPr>
      <w:r>
        <w:rPr>
          <w:rFonts w:hint="eastAsia" w:ascii="FangSong" w:hAnsi="FangSong" w:eastAsia="FangSong" w:cs="FangSong"/>
          <w:b w:val="0"/>
          <w:bCs w:val="0"/>
          <w:color w:val="auto"/>
          <w:kern w:val="0"/>
          <w:sz w:val="32"/>
          <w:szCs w:val="32"/>
          <w:lang w:val="en-US" w:eastAsia="zh-CN"/>
        </w:rPr>
        <w:t>2021年度收入合计263.89万元，其中：财政拨款收入263.89万元，占100%；上级补助收入0万元，占0%；事业收入0万元，占0%；经营收入0万元，占0%；附属单位上缴收入0万元，占0%；其他收入0万元，占0%。</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Ansi="SimHei"/>
          <w:b/>
          <w:color w:val="auto"/>
          <w:sz w:val="32"/>
          <w:szCs w:val="32"/>
        </w:rPr>
      </w:pPr>
      <w:r>
        <w:rPr>
          <w:rFonts w:hint="eastAsia" w:ascii="SimHei" w:hAnsi="SimHei" w:eastAsia="SimHei" w:cs="Times New Roman"/>
          <w:color w:val="auto"/>
          <w:kern w:val="0"/>
          <w:sz w:val="32"/>
          <w:szCs w:val="32"/>
          <w:lang w:val="en-US" w:eastAsia="zh-CN" w:bidi="ar-SA"/>
        </w:rPr>
        <w:t>三、支出决算情况说明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asciiTheme="minorEastAsia" w:hAnsiTheme="minorEastAsia" w:eastAsiaTheme="minorEastAsia"/>
          <w:color w:val="auto"/>
          <w:sz w:val="32"/>
          <w:szCs w:val="32"/>
        </w:rPr>
      </w:pPr>
      <w:r>
        <w:rPr>
          <w:rFonts w:hint="eastAsia" w:ascii="FangSong" w:hAnsi="FangSong" w:eastAsia="FangSong" w:cs="FangSong"/>
          <w:b w:val="0"/>
          <w:bCs w:val="0"/>
          <w:color w:val="auto"/>
          <w:kern w:val="0"/>
          <w:sz w:val="32"/>
          <w:szCs w:val="32"/>
          <w:lang w:val="en-US" w:eastAsia="zh-CN"/>
        </w:rPr>
        <w:t>2021年度支出合计299.74万元，其中：基本支出215.93万元，占72.04%；项目支出83.82万元，占27.96%；上缴上级支出0万元，占0%；经营支出0万元，占0%；对附属单位补助支出0万元，占0%。</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Ansi="SimHei"/>
          <w:b/>
          <w:color w:val="auto"/>
          <w:sz w:val="32"/>
          <w:szCs w:val="32"/>
        </w:rPr>
      </w:pPr>
      <w:r>
        <w:rPr>
          <w:rFonts w:hint="eastAsia" w:ascii="SimHei" w:hAnsi="SimHei" w:eastAsia="SimHei" w:cs="Times New Roman"/>
          <w:color w:val="auto"/>
          <w:kern w:val="0"/>
          <w:sz w:val="32"/>
          <w:szCs w:val="32"/>
          <w:lang w:val="en-US" w:eastAsia="zh-CN" w:bidi="ar-SA"/>
        </w:rPr>
        <w:t>四、财政拨款收入支出决算总体情况说明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Theme="minorEastAsia" w:hAnsiTheme="minorEastAsia" w:eastAsiaTheme="minorEastAsia"/>
          <w:color w:val="auto"/>
          <w:sz w:val="32"/>
          <w:szCs w:val="32"/>
          <w:lang w:eastAsia="zh-CN"/>
        </w:rPr>
      </w:pPr>
      <w:r>
        <w:rPr>
          <w:rFonts w:hint="eastAsia" w:ascii="FangSong" w:hAnsi="FangSong" w:eastAsia="FangSong" w:cs="FangSong"/>
          <w:b w:val="0"/>
          <w:bCs w:val="0"/>
          <w:color w:val="auto"/>
          <w:kern w:val="0"/>
          <w:sz w:val="32"/>
          <w:szCs w:val="32"/>
          <w:lang w:val="en-US" w:eastAsia="zh-CN"/>
        </w:rPr>
        <w:t>2021年度财政拨款收、支总计各299.74万元，与上年相比，减少312.86万元，减少51.07%，主要是因为上年度拨市地震台二期项目建设资金。</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Ansi="SimHei"/>
          <w:b/>
          <w:color w:val="auto"/>
          <w:sz w:val="32"/>
          <w:szCs w:val="32"/>
        </w:rPr>
      </w:pPr>
      <w:r>
        <w:rPr>
          <w:rFonts w:hint="eastAsia" w:ascii="SimHei" w:hAnsi="SimHei" w:eastAsia="SimHei" w:cs="Times New Roman"/>
          <w:color w:val="auto"/>
          <w:kern w:val="0"/>
          <w:sz w:val="32"/>
          <w:szCs w:val="32"/>
          <w:lang w:val="en-US" w:eastAsia="zh-CN" w:bidi="ar-SA"/>
        </w:rPr>
        <w:t>五、一般公共预算财政拨款支出决算情况说明</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bCs/>
          <w:color w:val="auto"/>
          <w:kern w:val="0"/>
          <w:sz w:val="32"/>
          <w:szCs w:val="32"/>
          <w:lang w:val="en-US" w:eastAsia="zh-CN"/>
        </w:rPr>
        <w:t>（一）财政拨款支出决算总体情况</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2021年度财政拨款支出295.74万元，占本年支出合计的98.67%，与上年相比，财政拨款支出减少185.02万元，减少38.48%，主要是因为市地震台二期项目支出减少。</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bCs/>
          <w:color w:val="auto"/>
          <w:kern w:val="0"/>
          <w:sz w:val="32"/>
          <w:szCs w:val="32"/>
          <w:lang w:val="en-US" w:eastAsia="zh-CN"/>
        </w:rPr>
      </w:pPr>
      <w:r>
        <w:rPr>
          <w:rFonts w:hint="eastAsia" w:ascii="FangSong" w:hAnsi="FangSong" w:eastAsia="FangSong" w:cs="FangSong"/>
          <w:b/>
          <w:bCs/>
          <w:color w:val="auto"/>
          <w:kern w:val="0"/>
          <w:sz w:val="32"/>
          <w:szCs w:val="32"/>
          <w:lang w:val="en-US" w:eastAsia="zh-CN"/>
        </w:rPr>
        <w:t>（二）财政拨款支出决算结构情况</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2021年度财政拨款支出295.74万元，主要用于以下方面：一般公共服务（类）支出13.1万元，占4.43%；社会保障和就业（类）支出15.29万元，占5.17%；卫生健康（类）支出6.73万元，占2.28%；灾害防治及应急管理（类）支出260.62万元，占88.12%。</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bCs/>
          <w:color w:val="auto"/>
          <w:kern w:val="0"/>
          <w:sz w:val="32"/>
          <w:szCs w:val="32"/>
          <w:lang w:val="en-US" w:eastAsia="zh-CN"/>
        </w:rPr>
      </w:pPr>
      <w:r>
        <w:rPr>
          <w:rFonts w:hint="eastAsia" w:ascii="FangSong" w:hAnsi="FangSong" w:eastAsia="FangSong" w:cs="FangSong"/>
          <w:b/>
          <w:bCs/>
          <w:color w:val="auto"/>
          <w:kern w:val="0"/>
          <w:sz w:val="32"/>
          <w:szCs w:val="32"/>
          <w:lang w:val="en-US" w:eastAsia="zh-CN"/>
        </w:rPr>
        <w:t>（三）财政拨款支出决算具体情况</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2021年度财政拨款支出年初预算数为140.51万元，支出决算数为295.74万元，完成年初预算的210.48%，其中：</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1、一般公共服务支出（类）组织事务（款）其他组织事务支出（项）。</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年初预算为0万元，支出决算为9.6万元，无法计算完成比例，决算数大于年初预算数的主要原因是：引进人才2021年度补贴。</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2、一般公共服务支出（类）其他一般公共服务支出（款）其他一般公共服务支出（项）。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年初预算为0万元，支出决算为3.5万元，无法计算完成比例，决算数大于年初预算数的主要原因是：疫情期间引进人才购房补贴。</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3、社会保障和就业支出（类）行政事业单位养老支出（款）行政单位离退休（项）。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年初预算为0.15万元，支出决算为0.15万元，完成预算的100%，决算数等于年初预算数，主要原因是年初预算由财政统筹。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4、社会保障和就业支出（类）行政事业单位养老支出（款）机关事业单位基本养老保险缴费支出（项）。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年初预算为0万元，支出决算为13.47万元，无法计算完成比例，决算数大于年初预算数的主要原因是：单位养老保险年初预算由财政统筹。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default"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5、社会保障和就业支出（类）行政事业单位养老支出（款）其他行政事业单位养老支出（项）。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年初预算为0万元，支出决算为1.67万元，无法计算完成比例，决算数大于年初预算数的主要原因是：单位养老保险年初预算由财政统筹。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6、卫生健康支出（类）行政事业单位医疗（款）行政单位医疗（项）。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年初预算为0万元，支出决算为6.48万元，无法计算完成比例，决算数大于年初预算数的主要原因是：单位医疗保险年初预算由财政统筹。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7、卫生健康支出（类）行政事业单位医疗（款）其他行政事业单位医疗支出（项）。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年初预算为0万元，支出决算为0.25万元，无法计算完成比例，决算数大于年初预算数的主要原因是：单位医疗保险年初预算由财政统筹。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8、灾害防治及应急管理支出（类）应急管理事务（款）其他应急管理支出（项）。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default"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年初预算为0万元，支出决算为10万元，无法计算完成比例，决算数大于年初预算数的主要原因是：追加怀化地震台监测数据处理专用电脑及科普设备购置经费及工作经费。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9、灾害防治及应急管理支出（类）地震事务（款）行政运行（项）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default"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年初预算为100.76万元，支出决算为131.57万元，完成年初预算的130.58%，决算数大于年初预算数的主要原因是：新进入编人员增加工资等开支。</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10、灾害防治及应急管理支出（类）地震事务（款）地震监测（项）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年初预算为15.6万元，支出决算为59.24万元，完成年初预算的379.74%，决算数大于年初预算数的主要原因是：省转拨2021年地震事务专项资金。</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11、灾害防治及应急管理支出（类）地震事务（款）防震减灾基础管理（项）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default"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年初预算为24万元，支出决算为23.96万元，完成年初预算的99.83%，决算数小于年初预算数的主要原因是：压减经费支出。</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FangSong" w:hAnsi="FangSong" w:eastAsia="FangSong" w:cs="FangSong"/>
          <w:b w:val="0"/>
          <w:bCs w:val="0"/>
          <w:color w:val="auto"/>
          <w:kern w:val="0"/>
          <w:sz w:val="32"/>
          <w:szCs w:val="32"/>
          <w:lang w:val="en-US" w:eastAsia="zh-CN"/>
        </w:rPr>
      </w:pPr>
      <w:r>
        <w:rPr>
          <w:rFonts w:hint="eastAsia" w:ascii="FangSong" w:hAnsi="FangSong" w:eastAsia="FangSong" w:cs="FangSong"/>
          <w:b w:val="0"/>
          <w:bCs w:val="0"/>
          <w:color w:val="auto"/>
          <w:kern w:val="0"/>
          <w:sz w:val="32"/>
          <w:szCs w:val="32"/>
          <w:lang w:val="en-US" w:eastAsia="zh-CN"/>
        </w:rPr>
        <w:t>12、灾害防治及应急管理支出（类）地震事务（款）其他地震事务支出（项）</w:t>
      </w:r>
    </w:p>
    <w:p>
      <w:pPr>
        <w:pStyle w:val="11"/>
        <w:keepNext w:val="0"/>
        <w:keepLines w:val="0"/>
        <w:pageBreakBefore w:val="0"/>
        <w:kinsoku/>
        <w:wordWrap/>
        <w:overflowPunct/>
        <w:topLinePunct w:val="0"/>
        <w:bidi w:val="0"/>
        <w:snapToGrid/>
        <w:spacing w:line="600" w:lineRule="exact"/>
        <w:ind w:left="0" w:leftChars="0" w:firstLine="640" w:firstLineChars="200"/>
        <w:textAlignment w:val="auto"/>
        <w:rPr>
          <w:rFonts w:hint="eastAsia" w:asciiTheme="minorEastAsia" w:hAnsiTheme="minorEastAsia" w:eastAsiaTheme="minorEastAsia"/>
          <w:color w:val="auto"/>
          <w:sz w:val="32"/>
          <w:szCs w:val="32"/>
        </w:rPr>
      </w:pPr>
      <w:r>
        <w:rPr>
          <w:rFonts w:hint="eastAsia" w:ascii="FangSong" w:hAnsi="FangSong" w:eastAsia="FangSong" w:cs="FangSong"/>
          <w:b w:val="0"/>
          <w:bCs w:val="0"/>
          <w:color w:val="auto"/>
          <w:kern w:val="0"/>
          <w:sz w:val="32"/>
          <w:szCs w:val="32"/>
          <w:lang w:val="en-US" w:eastAsia="zh-CN"/>
        </w:rPr>
        <w:t>年初预算为0万元，支出决算为35.85万元，无法计算完成比例，决算数大于年初预算数的主要原因是：地震监测等专项业务经费开支。</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Ansi="SimHei" w:cs="Times New Roman"/>
          <w:color w:val="auto"/>
          <w:kern w:val="0"/>
          <w:sz w:val="32"/>
          <w:szCs w:val="32"/>
        </w:rPr>
      </w:pPr>
      <w:r>
        <w:rPr>
          <w:rFonts w:hint="eastAsia" w:hAnsi="SimHei" w:cs="Times New Roman"/>
          <w:color w:val="auto"/>
          <w:kern w:val="0"/>
          <w:sz w:val="32"/>
          <w:szCs w:val="32"/>
        </w:rPr>
        <w:t>六、一般公共预算财政拨款基本支出决算情况说明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asciiTheme="minorEastAsia" w:hAnsiTheme="minorEastAsia" w:eastAsiaTheme="minorEastAsia"/>
          <w:i/>
          <w:color w:val="auto"/>
          <w:sz w:val="32"/>
          <w:szCs w:val="32"/>
        </w:rPr>
      </w:pPr>
      <w:r>
        <w:rPr>
          <w:rFonts w:hint="eastAsia" w:ascii="FangSong" w:hAnsi="FangSong" w:eastAsia="FangSong" w:cs="FangSong"/>
          <w:color w:val="auto"/>
          <w:kern w:val="0"/>
          <w:sz w:val="32"/>
          <w:szCs w:val="32"/>
          <w:lang w:val="en-US" w:eastAsia="zh-CN"/>
        </w:rPr>
        <w:t>2021年度财政拨款基本支出215.93万元，其中：人员经费154.65万元，占基本支出的71.62%,主要包括基本工资、津贴补贴、奖金、伙食补助费、机关事业单位基本养老保险缴费、职工基本医疗保险缴费、其他社会保障缴费、生活补助、其他对个人和家庭的补助；公用经费61.28万元，占基本支出的28.38%，主要包括办公费、电费、邮电费、差旅费、维修（护）费、会议费、培训费、公务接待费、劳务费、工会经费、福利费、公务用车运行维护费、其他交通费用、税金及附加费用、其他商品和服务支出、办公设备购置、专用设备购置、其他资本性支出。</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Ansi="SimHei"/>
          <w:b/>
          <w:color w:val="auto"/>
          <w:sz w:val="32"/>
          <w:szCs w:val="32"/>
        </w:rPr>
      </w:pPr>
      <w:r>
        <w:rPr>
          <w:rFonts w:hint="eastAsia" w:hAnsi="SimHei" w:cs="Times New Roman"/>
          <w:color w:val="auto"/>
          <w:kern w:val="0"/>
          <w:sz w:val="32"/>
          <w:szCs w:val="32"/>
        </w:rPr>
        <w:t>七、一般公共预算财政拨款“三公”经费支出决算情况说明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b/>
          <w:bCs/>
          <w:color w:val="auto"/>
          <w:kern w:val="0"/>
          <w:sz w:val="32"/>
          <w:szCs w:val="32"/>
          <w:lang w:val="en-US" w:eastAsia="zh-CN"/>
        </w:rPr>
      </w:pPr>
      <w:r>
        <w:rPr>
          <w:rFonts w:hint="eastAsia" w:ascii="FangSong" w:hAnsi="FangSong" w:eastAsia="FangSong" w:cs="FangSong"/>
          <w:b/>
          <w:bCs/>
          <w:color w:val="auto"/>
          <w:kern w:val="0"/>
          <w:sz w:val="32"/>
          <w:szCs w:val="32"/>
          <w:lang w:val="en-US" w:eastAsia="zh-CN"/>
        </w:rPr>
        <w:t>（一）“三公”经费财政拨款支出决算总体情况说明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2021年度“三公”经费财政拨款支出预算为6.05万元，支出决算为2.52万元，完成预算的41.65%，其中：</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因公出国（境）费支出预算为0万元，支出决算为0万元，无法计算完成比例，决算数与年初预算数持平，与上年决算数持平，主要原因是厉行节约。</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公务接待费支出预算为2.27万元，支出决算为0.86万元，完成预算的37.89%，决算数小于预算数的主要原因是厉行节约，压减经费开支，与上年相比减少0.44万元，减少33.85%,减少的主要原因是厉行节约，压减经费开支。</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公务用车购置费支出预算为0万元，支出决算为0万元，无法计算完成比例，决算数与年初预算数持平，与上年相比减少19.46万元，减少100%,减少的主要原因是怀化市地震局更新公务用车1辆。</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公务用车运行维护费支出预算为3.78万元，支出决算为1.66万元，完成预算的43.92%，决算数小于预算数的主要原因是厉行节约，压减经费开支，与上年相比减少2.18万元，减少56.91%,减少的主要原因是厉行节约，压减经费开支。</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b/>
          <w:bCs/>
          <w:color w:val="auto"/>
          <w:kern w:val="0"/>
          <w:sz w:val="32"/>
          <w:szCs w:val="32"/>
          <w:lang w:val="en-US" w:eastAsia="zh-CN"/>
        </w:rPr>
      </w:pPr>
      <w:r>
        <w:rPr>
          <w:rFonts w:hint="eastAsia" w:ascii="FangSong" w:hAnsi="FangSong" w:eastAsia="FangSong" w:cs="FangSong"/>
          <w:b/>
          <w:bCs/>
          <w:color w:val="auto"/>
          <w:kern w:val="0"/>
          <w:sz w:val="32"/>
          <w:szCs w:val="32"/>
          <w:lang w:val="en-US" w:eastAsia="zh-CN"/>
        </w:rPr>
        <w:t>（二）“三公”经费财政拨款支出决算具体情况说明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2021年度“三公”经费财政拨款支出决算中，公务接待费支出决算0.86万元，占34.13%,因公出国（境）费支出决算0万元，占0%,公务用车购置费及运行维护费支出决算1.66万元，占65.87%。其中：</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1、因公出国（境）费支出决算为0万元，全年安排因公出国（境）团组0个，累计0人次。</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2、公务接待费支出决算为0.86万元，全年共接待来访团组15个、来宾107人次，主要是工作交流、调研发生的接待支出。</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cs="SimHei" w:asciiTheme="minorEastAsia" w:hAnsiTheme="minorEastAsia"/>
          <w:color w:val="auto"/>
          <w:kern w:val="0"/>
          <w:sz w:val="32"/>
          <w:szCs w:val="32"/>
        </w:rPr>
      </w:pPr>
      <w:r>
        <w:rPr>
          <w:rFonts w:hint="eastAsia" w:ascii="FangSong" w:hAnsi="FangSong" w:eastAsia="FangSong" w:cs="FangSong"/>
          <w:color w:val="auto"/>
          <w:kern w:val="0"/>
          <w:sz w:val="32"/>
          <w:szCs w:val="32"/>
          <w:lang w:val="en-US" w:eastAsia="zh-CN"/>
        </w:rPr>
        <w:t>3、公务用车购置费及运行维护费支出决算为1.66万元，其中：公务用车购置费0万元，我单位更新公务用车0辆。公务用车运行维护费1.66万元，主要是车辆油费、维修费、保险费支出，截止2021年12月31日，我单位开支财政拨款的公务用车保有量为1辆。</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hAnsi="SimHei" w:cs="Times New Roman"/>
          <w:color w:val="auto"/>
          <w:kern w:val="0"/>
          <w:sz w:val="32"/>
          <w:szCs w:val="32"/>
        </w:rPr>
      </w:pPr>
      <w:r>
        <w:rPr>
          <w:rFonts w:hint="eastAsia" w:hAnsi="SimHei" w:cs="Times New Roman"/>
          <w:color w:val="auto"/>
          <w:kern w:val="0"/>
          <w:sz w:val="32"/>
          <w:szCs w:val="32"/>
        </w:rPr>
        <w:t>八、政府性基金预算收入支出决算情况</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2021年度政府性基金预算财政拨款收入4万元；年初结转和结余0万元；支出4万元，其中基本支出0万元，项目支出4万元；年末结转和结余0万元。具体情况如下：</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1、其他支出（类）彩票公益金安排的支出（款）用于体育事业的彩票公益金支出（项）。</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年初预算为0万元，支出决算为4万元，无法计算完成比例，决算数大于年初预算数的主要原因是：追加预算怀化地震台篮球场、羽毛球场建设4万元。</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hAnsi="SimHei"/>
          <w:b/>
          <w:color w:val="auto"/>
          <w:sz w:val="32"/>
          <w:szCs w:val="32"/>
          <w:lang w:val="en-US" w:eastAsia="zh-CN"/>
        </w:rPr>
      </w:pPr>
      <w:r>
        <w:rPr>
          <w:rFonts w:hint="eastAsia" w:hAnsi="SimHei" w:cs="Times New Roman"/>
          <w:color w:val="auto"/>
          <w:kern w:val="0"/>
          <w:sz w:val="32"/>
          <w:szCs w:val="32"/>
          <w:lang w:val="en-US" w:eastAsia="zh-CN"/>
        </w:rPr>
        <w:t>九、国有资本经营预算财政拨款支出</w:t>
      </w:r>
      <w:r>
        <w:rPr>
          <w:rFonts w:hint="eastAsia" w:hAnsi="SimHei" w:cs="Times New Roman"/>
          <w:color w:val="auto"/>
          <w:kern w:val="0"/>
          <w:sz w:val="32"/>
          <w:szCs w:val="32"/>
        </w:rPr>
        <w:t>决算情况</w:t>
      </w:r>
      <w:r>
        <w:rPr>
          <w:rFonts w:hint="eastAsia" w:hAnsi="SimHei" w:cs="Times New Roman"/>
          <w:color w:val="auto"/>
          <w:kern w:val="0"/>
          <w:sz w:val="32"/>
          <w:szCs w:val="32"/>
          <w:lang w:val="en-US" w:eastAsia="zh-CN"/>
        </w:rPr>
        <w:t>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Theme="minorEastAsia" w:hAnsiTheme="minorEastAsia" w:eastAsiaTheme="minorEastAsia"/>
          <w:color w:val="auto"/>
          <w:sz w:val="32"/>
          <w:szCs w:val="32"/>
        </w:rPr>
      </w:pPr>
      <w:r>
        <w:rPr>
          <w:rFonts w:hint="eastAsia" w:ascii="FangSong" w:hAnsi="FangSong" w:eastAsia="FangSong" w:cs="FangSong"/>
          <w:color w:val="auto"/>
          <w:kern w:val="0"/>
          <w:sz w:val="32"/>
          <w:szCs w:val="32"/>
          <w:lang w:val="en-US" w:eastAsia="zh-CN"/>
        </w:rPr>
        <w:t>本单位无国有资本经营预算财政拨款支出。</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hAnsi="SimHei" w:cs="Times New Roman"/>
          <w:color w:val="auto"/>
          <w:kern w:val="0"/>
          <w:sz w:val="32"/>
          <w:szCs w:val="32"/>
          <w:lang w:val="en-US" w:eastAsia="zh-CN"/>
        </w:rPr>
      </w:pPr>
      <w:r>
        <w:rPr>
          <w:rFonts w:hint="eastAsia" w:hAnsi="SimHei" w:cs="Times New Roman"/>
          <w:color w:val="auto"/>
          <w:kern w:val="0"/>
          <w:sz w:val="32"/>
          <w:szCs w:val="32"/>
          <w:lang w:val="en-US" w:eastAsia="zh-CN"/>
        </w:rPr>
        <w:t>十、机关运行经费支出说明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asciiTheme="minorEastAsia" w:hAnsiTheme="minorEastAsia" w:eastAsiaTheme="minorEastAsia"/>
          <w:color w:val="auto"/>
          <w:sz w:val="32"/>
          <w:szCs w:val="32"/>
        </w:rPr>
      </w:pPr>
      <w:r>
        <w:rPr>
          <w:rFonts w:hint="eastAsia" w:ascii="FangSong" w:hAnsi="FangSong" w:eastAsia="FangSong" w:cs="FangSong"/>
          <w:color w:val="auto"/>
          <w:kern w:val="0"/>
          <w:sz w:val="32"/>
          <w:szCs w:val="32"/>
          <w:lang w:val="en-US" w:eastAsia="zh-CN"/>
        </w:rPr>
        <w:t>本部门为事业单位，无机关运行经费支出。</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hAnsi="SimHei" w:cs="Times New Roman"/>
          <w:color w:val="auto"/>
          <w:kern w:val="0"/>
          <w:sz w:val="32"/>
          <w:szCs w:val="32"/>
          <w:lang w:val="en-US" w:eastAsia="zh-CN"/>
        </w:rPr>
      </w:pPr>
      <w:r>
        <w:rPr>
          <w:rFonts w:hint="eastAsia" w:hAnsi="SimHei" w:cs="Times New Roman"/>
          <w:color w:val="auto"/>
          <w:kern w:val="0"/>
          <w:sz w:val="32"/>
          <w:szCs w:val="32"/>
          <w:lang w:val="en-US" w:eastAsia="zh-CN"/>
        </w:rPr>
        <w:t>十一、一般性支出情况说明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2021年本部门开支会议费0.35万元，用于召开防震减灾工作座谈会，人数26人，内容为防震减灾工作座谈会；开支培训费0.4万元，用于开展遥感影像房屋抗震能力初判技术培训，人数22人，内容为遥感影像房屋抗震能力初判技术培训；举办开展事业单位人员培训0.23万元，人数7人，内容为事业单位人员培训；举办节庆、晚会、论坛、赛事活动，开支0万元。</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hAnsi="SimHei" w:cs="Times New Roman"/>
          <w:color w:val="auto"/>
          <w:kern w:val="0"/>
          <w:sz w:val="32"/>
          <w:szCs w:val="32"/>
          <w:lang w:val="en-US" w:eastAsia="zh-CN"/>
        </w:rPr>
      </w:pPr>
      <w:r>
        <w:rPr>
          <w:rFonts w:hint="eastAsia" w:hAnsi="SimHei" w:cs="Times New Roman"/>
          <w:color w:val="auto"/>
          <w:kern w:val="0"/>
          <w:sz w:val="32"/>
          <w:szCs w:val="32"/>
          <w:lang w:val="en-US" w:eastAsia="zh-CN"/>
        </w:rPr>
        <w:t>十二、关于政府采购支出说明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本部门2021年度政府采购支出总额47.29万元，其中：政府采购货物支出11.44万元、政府采购工程支出35.85万元、政府采购服务支出0万元。授予中小企业合同金额47.29万元，占政府采购支出总额的100%，其中：授予小微企业合同金额0万元，占授予中小企业合同金额的0%.</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hAnsi="SimHei" w:cs="Times New Roman"/>
          <w:color w:val="auto"/>
          <w:kern w:val="0"/>
          <w:sz w:val="32"/>
          <w:szCs w:val="32"/>
          <w:lang w:val="en-US" w:eastAsia="zh-CN"/>
        </w:rPr>
      </w:pPr>
      <w:r>
        <w:rPr>
          <w:rFonts w:hint="eastAsia" w:hAnsi="SimHei" w:cs="Times New Roman"/>
          <w:color w:val="auto"/>
          <w:kern w:val="0"/>
          <w:sz w:val="32"/>
          <w:szCs w:val="32"/>
          <w:lang w:val="en-US" w:eastAsia="zh-CN"/>
        </w:rPr>
        <w:t>十三、关于国有资产占用情况说明</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ascii="FangSong" w:hAnsi="FangSong" w:eastAsia="FangSong" w:cs="FangSong"/>
          <w:color w:val="auto"/>
          <w:kern w:val="0"/>
          <w:sz w:val="32"/>
          <w:szCs w:val="32"/>
          <w:lang w:val="en-US" w:eastAsia="zh-CN"/>
        </w:rPr>
      </w:pPr>
      <w:r>
        <w:rPr>
          <w:rFonts w:hint="eastAsia" w:ascii="FangSong" w:hAnsi="FangSong" w:eastAsia="FangSong" w:cs="FangSong"/>
          <w:color w:val="auto"/>
          <w:kern w:val="0"/>
          <w:sz w:val="32"/>
          <w:szCs w:val="32"/>
          <w:lang w:val="en-US" w:eastAsia="zh-CN"/>
        </w:rPr>
        <w:t>截至2021年12月31日，部门（单位）共有车辆1辆，其中，主要领导干部用车0辆，机要通信用车1辆、应急保障用车0辆、执法执勤用车0辆、特种专业技术用车0辆、其他用车0辆；单位价值50万元以上通用设备0台（套）；单位价值100万元以上专用设备0台（套）。</w:t>
      </w:r>
    </w:p>
    <w:p>
      <w:pPr>
        <w:pStyle w:val="11"/>
        <w:keepNext w:val="0"/>
        <w:keepLines w:val="0"/>
        <w:pageBreakBefore w:val="0"/>
        <w:kinsoku/>
        <w:wordWrap/>
        <w:overflowPunct/>
        <w:topLinePunct w:val="0"/>
        <w:bidi w:val="0"/>
        <w:snapToGrid/>
        <w:spacing w:line="600" w:lineRule="exact"/>
        <w:ind w:left="0" w:firstLine="640" w:firstLineChars="200"/>
        <w:textAlignment w:val="auto"/>
        <w:rPr>
          <w:rFonts w:hint="eastAsia" w:hAnsi="SimHei" w:cs="Times New Roman"/>
          <w:color w:val="auto"/>
          <w:kern w:val="0"/>
          <w:sz w:val="32"/>
          <w:szCs w:val="32"/>
          <w:lang w:val="en-US" w:eastAsia="zh-CN"/>
        </w:rPr>
      </w:pPr>
      <w:r>
        <w:rPr>
          <w:rFonts w:hint="eastAsia" w:hAnsi="SimHei" w:cs="Times New Roman"/>
          <w:color w:val="auto"/>
          <w:kern w:val="0"/>
          <w:sz w:val="32"/>
          <w:szCs w:val="32"/>
          <w:lang w:val="en-US" w:eastAsia="zh-CN"/>
        </w:rPr>
        <w:t>十四、关于2021年度预算绩效情况的说明</w:t>
      </w:r>
    </w:p>
    <w:p>
      <w:pPr>
        <w:keepNext w:val="0"/>
        <w:keepLines w:val="0"/>
        <w:pageBreakBefore w:val="0"/>
        <w:kinsoku/>
        <w:wordWrap/>
        <w:overflowPunct/>
        <w:topLinePunct w:val="0"/>
        <w:autoSpaceDE w:val="0"/>
        <w:autoSpaceDN w:val="0"/>
        <w:bidi w:val="0"/>
        <w:adjustRightInd w:val="0"/>
        <w:snapToGrid/>
        <w:spacing w:line="600" w:lineRule="exact"/>
        <w:ind w:left="0" w:firstLine="640" w:firstLineChars="200"/>
        <w:jc w:val="left"/>
        <w:textAlignment w:val="auto"/>
        <w:rPr>
          <w:rFonts w:hint="eastAsia" w:ascii="FangSong" w:hAnsi="FangSong" w:eastAsia="FangSong" w:cs="FangSong"/>
          <w:color w:val="auto"/>
          <w:kern w:val="0"/>
          <w:sz w:val="32"/>
          <w:szCs w:val="32"/>
          <w:lang w:val="en-US" w:eastAsia="zh-CN" w:bidi="ar-SA"/>
        </w:rPr>
      </w:pPr>
      <w:r>
        <w:rPr>
          <w:rFonts w:hint="eastAsia" w:ascii="FangSong" w:hAnsi="FangSong" w:eastAsia="FangSong" w:cs="FangSong"/>
          <w:color w:val="auto"/>
          <w:kern w:val="0"/>
          <w:sz w:val="32"/>
          <w:szCs w:val="32"/>
          <w:lang w:val="en-US" w:eastAsia="zh-CN" w:bidi="ar-SA"/>
        </w:rPr>
        <w:t>根据预算绩效管理要求，我部门组织开展整体支出绩效评价，涉及一般公共预算支出259.89万元，政府性基金预算支出4万元。从评价情况来看，</w:t>
      </w:r>
    </w:p>
    <w:p>
      <w:pPr>
        <w:pStyle w:val="11"/>
        <w:keepNext w:val="0"/>
        <w:keepLines w:val="0"/>
        <w:pageBreakBefore w:val="0"/>
        <w:kinsoku/>
        <w:wordWrap/>
        <w:overflowPunct/>
        <w:topLinePunct w:val="0"/>
        <w:bidi w:val="0"/>
        <w:snapToGrid/>
        <w:spacing w:line="600" w:lineRule="exact"/>
        <w:ind w:left="0" w:firstLine="640" w:firstLineChars="200"/>
        <w:jc w:val="left"/>
        <w:textAlignment w:val="auto"/>
        <w:rPr>
          <w:rFonts w:hint="eastAsia" w:ascii="FangSong" w:hAnsi="FangSong" w:eastAsia="FangSong" w:cs="FangSong"/>
          <w:color w:val="auto"/>
          <w:kern w:val="0"/>
          <w:sz w:val="32"/>
          <w:szCs w:val="32"/>
          <w:lang w:val="en-US" w:eastAsia="zh-CN" w:bidi="ar-SA"/>
        </w:rPr>
      </w:pPr>
      <w:r>
        <w:rPr>
          <w:rFonts w:hint="eastAsia" w:ascii="FangSong" w:hAnsi="FangSong" w:eastAsia="FangSong" w:cs="FangSong"/>
          <w:color w:val="auto"/>
          <w:kern w:val="0"/>
          <w:sz w:val="32"/>
          <w:szCs w:val="32"/>
          <w:lang w:val="en-US" w:eastAsia="zh-CN" w:bidi="ar-SA"/>
        </w:rPr>
        <w:t>按照财政部门要求开展了整体支出绩效自评，形成的整体支出绩效自评报告见附件。从评价情况来看，通过全年工作的开展，各项目标任务都有效完成。</w:t>
      </w:r>
    </w:p>
    <w:p>
      <w:pPr>
        <w:pStyle w:val="11"/>
        <w:keepNext w:val="0"/>
        <w:keepLines w:val="0"/>
        <w:pageBreakBefore w:val="0"/>
        <w:kinsoku/>
        <w:wordWrap/>
        <w:overflowPunct/>
        <w:topLinePunct w:val="0"/>
        <w:bidi w:val="0"/>
        <w:snapToGrid/>
        <w:spacing w:line="600" w:lineRule="exact"/>
        <w:ind w:left="0" w:firstLine="640" w:firstLineChars="200"/>
        <w:jc w:val="left"/>
        <w:textAlignment w:val="auto"/>
        <w:rPr>
          <w:rFonts w:hint="eastAsia" w:ascii="FangSong" w:hAnsi="FangSong" w:eastAsia="FangSong" w:cs="FangSong"/>
          <w:color w:val="auto"/>
          <w:kern w:val="0"/>
          <w:sz w:val="32"/>
          <w:szCs w:val="32"/>
          <w:lang w:val="en-US" w:eastAsia="zh-CN" w:bidi="ar-SA"/>
        </w:rPr>
      </w:pPr>
      <w:r>
        <w:rPr>
          <w:rFonts w:hint="eastAsia" w:ascii="FangSong" w:hAnsi="FangSong" w:eastAsia="FangSong" w:cs="FangSong"/>
          <w:color w:val="auto"/>
          <w:kern w:val="0"/>
          <w:sz w:val="32"/>
          <w:szCs w:val="32"/>
          <w:lang w:val="en-US" w:eastAsia="zh-CN" w:bidi="ar-SA"/>
        </w:rPr>
        <w:t>本单位无重点项目，因此无重点项目绩效报告。</w:t>
      </w:r>
    </w:p>
    <w:p>
      <w:pPr>
        <w:pStyle w:val="11"/>
        <w:keepNext w:val="0"/>
        <w:keepLines w:val="0"/>
        <w:pageBreakBefore w:val="0"/>
        <w:kinsoku/>
        <w:wordWrap/>
        <w:overflowPunct/>
        <w:topLinePunct w:val="0"/>
        <w:bidi w:val="0"/>
        <w:snapToGrid/>
        <w:spacing w:line="600" w:lineRule="exact"/>
        <w:ind w:left="0" w:firstLine="640" w:firstLineChars="200"/>
        <w:jc w:val="left"/>
        <w:textAlignment w:val="auto"/>
        <w:rPr>
          <w:rFonts w:hint="eastAsia" w:ascii="FangSong" w:hAnsi="FangSong" w:eastAsia="FangSong" w:cs="FangSong"/>
          <w:color w:val="auto"/>
          <w:kern w:val="0"/>
          <w:sz w:val="32"/>
          <w:szCs w:val="32"/>
          <w:lang w:val="en-US" w:eastAsia="zh-CN" w:bidi="ar-SA"/>
        </w:rPr>
      </w:pPr>
    </w:p>
    <w:p>
      <w:pPr>
        <w:keepNext w:val="0"/>
        <w:keepLines w:val="0"/>
        <w:pageBreakBefore w:val="0"/>
        <w:widowControl/>
        <w:numPr>
          <w:ilvl w:val="0"/>
          <w:numId w:val="1"/>
        </w:numPr>
        <w:kinsoku/>
        <w:wordWrap/>
        <w:overflowPunct/>
        <w:topLinePunct w:val="0"/>
        <w:bidi w:val="0"/>
        <w:snapToGrid/>
        <w:spacing w:line="600" w:lineRule="exact"/>
        <w:ind w:left="0" w:firstLine="880" w:firstLineChars="200"/>
        <w:jc w:val="center"/>
        <w:textAlignment w:val="auto"/>
        <w:rPr>
          <w:rFonts w:hint="eastAsia" w:ascii="SimHei" w:hAnsi="SimHei" w:eastAsia="SimHei" w:cs="SimHei"/>
          <w:bCs/>
          <w:color w:val="auto"/>
          <w:kern w:val="0"/>
          <w:sz w:val="44"/>
          <w:szCs w:val="44"/>
        </w:rPr>
      </w:pPr>
      <w:r>
        <w:rPr>
          <w:rFonts w:hint="eastAsia" w:ascii="SimHei" w:hAnsi="SimHei" w:eastAsia="SimHei" w:cs="SimHei"/>
          <w:bCs/>
          <w:color w:val="auto"/>
          <w:kern w:val="0"/>
          <w:sz w:val="44"/>
          <w:szCs w:val="44"/>
        </w:rPr>
        <w:t>名词解释</w:t>
      </w:r>
    </w:p>
    <w:p>
      <w:pPr>
        <w:keepNext w:val="0"/>
        <w:keepLines w:val="0"/>
        <w:pageBreakBefore w:val="0"/>
        <w:widowControl/>
        <w:numPr>
          <w:ilvl w:val="0"/>
          <w:numId w:val="0"/>
        </w:numPr>
        <w:kinsoku/>
        <w:wordWrap/>
        <w:overflowPunct/>
        <w:topLinePunct w:val="0"/>
        <w:bidi w:val="0"/>
        <w:snapToGrid/>
        <w:spacing w:line="600" w:lineRule="exact"/>
        <w:ind w:left="0" w:firstLine="880" w:firstLineChars="200"/>
        <w:jc w:val="both"/>
        <w:textAlignment w:val="auto"/>
        <w:rPr>
          <w:rFonts w:hint="eastAsia" w:ascii="SimHei" w:hAnsi="SimHei" w:eastAsia="SimHei" w:cs="SimHei"/>
          <w:bCs/>
          <w:color w:val="auto"/>
          <w:kern w:val="0"/>
          <w:sz w:val="44"/>
          <w:szCs w:val="4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财政拨款收入：指财政当年拨付的资金。包括一般公共预算财政拨款和政府性基金财政拨款。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上级补助收入：指事业单位从主管部门和上级单位取得的非财政补助收入。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事业收入：指事业单位开展专业业务活动及辅助活动所取得的收入。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经营收入：指事业单位在专业业务活动及其辅助活动之外开展非独立核算经营活动取得的收入。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附属单位上缴收入：指事业单位附属独立核算单位按照有关规定上缴的收入。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其他收入：指除上述“财政拨款收入”、“事业收入”、“经营收入”等以外的收入。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年初结转和结余：指以前年度尚未完成、结转到本年按有关规定继续使用的资金。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结余分配：指事业单位按规定从非财政补助结余中分配的事业基金和职工福利基金等。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年末结转和结余：指本年度或以前年度预算安排、因客观条件发生变化无法按原计划实施，需要延迟到以后年度按有关规定继续使用的资金。</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基本支出：指为保障机构正常运转、完成日常工作任务而发生的人员支出和公用支出。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项目支出：指在基本支出之外为完成特定行政任务和事业发展目标所发生的支出。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经营支出：指事业单位在专业业务活动及其辅助活动之外开展非独立核算经营活动所发生的支出。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三公”经费：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r>
        <w:rPr>
          <w:rFonts w:hint="eastAsia" w:ascii="FangSong" w:hAnsi="FangSong" w:eastAsia="FangSong" w:cs="FangSong"/>
          <w:i w:val="0"/>
          <w:iCs w:val="0"/>
          <w:caps w:val="0"/>
          <w:color w:val="auto"/>
          <w:spacing w:val="0"/>
          <w:sz w:val="32"/>
          <w:szCs w:val="32"/>
          <w:shd w:val="clear" w:color="auto" w:fill="FFFFFF"/>
        </w:rPr>
        <w:t>机关运行经费：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FangSong" w:hAnsi="FangSong" w:eastAsia="FangSong" w:cs="FangSong"/>
          <w:i w:val="0"/>
          <w:iCs w:val="0"/>
          <w:caps w:val="0"/>
          <w:color w:val="auto"/>
          <w:spacing w:val="0"/>
          <w:sz w:val="32"/>
          <w:szCs w:val="32"/>
          <w:shd w:val="clear" w:color="auto" w:fill="FFFFFF"/>
        </w:rPr>
      </w:pPr>
    </w:p>
    <w:p>
      <w:pPr>
        <w:keepNext w:val="0"/>
        <w:keepLines w:val="0"/>
        <w:pageBreakBefore w:val="0"/>
        <w:numPr>
          <w:ilvl w:val="0"/>
          <w:numId w:val="2"/>
        </w:numPr>
        <w:kinsoku/>
        <w:wordWrap/>
        <w:overflowPunct/>
        <w:topLinePunct w:val="0"/>
        <w:bidi w:val="0"/>
        <w:snapToGrid/>
        <w:spacing w:line="600" w:lineRule="exact"/>
        <w:ind w:left="0" w:firstLine="880" w:firstLineChars="200"/>
        <w:jc w:val="center"/>
        <w:textAlignment w:val="auto"/>
        <w:rPr>
          <w:rFonts w:hint="eastAsia" w:ascii="SimHei" w:hAnsi="SimHei" w:eastAsia="SimHei" w:cs="SimHei"/>
          <w:bCs/>
          <w:color w:val="auto"/>
          <w:kern w:val="0"/>
          <w:sz w:val="44"/>
          <w:szCs w:val="44"/>
          <w:lang w:val="en-US" w:eastAsia="zh-CN"/>
        </w:rPr>
      </w:pPr>
      <w:r>
        <w:rPr>
          <w:rFonts w:hint="eastAsia" w:ascii="SimHei" w:hAnsi="SimHei" w:eastAsia="SimHei" w:cs="SimHei"/>
          <w:bCs/>
          <w:color w:val="auto"/>
          <w:kern w:val="0"/>
          <w:sz w:val="44"/>
          <w:szCs w:val="44"/>
          <w:lang w:val="en-US" w:eastAsia="zh-CN"/>
        </w:rPr>
        <w:t>附件</w:t>
      </w:r>
    </w:p>
    <w:p>
      <w:pPr>
        <w:keepNext w:val="0"/>
        <w:keepLines w:val="0"/>
        <w:pageBreakBefore w:val="0"/>
        <w:numPr>
          <w:ilvl w:val="0"/>
          <w:numId w:val="0"/>
        </w:numPr>
        <w:kinsoku/>
        <w:wordWrap/>
        <w:overflowPunct/>
        <w:topLinePunct w:val="0"/>
        <w:bidi w:val="0"/>
        <w:snapToGrid/>
        <w:spacing w:line="600" w:lineRule="exact"/>
        <w:ind w:left="0" w:firstLine="880" w:firstLineChars="200"/>
        <w:jc w:val="both"/>
        <w:textAlignment w:val="auto"/>
        <w:rPr>
          <w:rFonts w:hint="eastAsia" w:ascii="SimHei" w:hAnsi="SimHei" w:eastAsia="SimHei" w:cs="SimHei"/>
          <w:bCs/>
          <w:color w:val="auto"/>
          <w:kern w:val="0"/>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ind w:left="0" w:firstLine="640" w:firstLineChars="200"/>
        <w:jc w:val="both"/>
        <w:textAlignment w:val="auto"/>
        <w:rPr>
          <w:rFonts w:hint="eastAsia" w:ascii="FangSong" w:hAnsi="FangSong" w:eastAsia="FangSong" w:cs="FangSong"/>
          <w:color w:val="auto"/>
          <w:sz w:val="32"/>
          <w:szCs w:val="32"/>
          <w:lang w:eastAsia="zh-CN"/>
        </w:rPr>
      </w:pPr>
      <w:r>
        <w:rPr>
          <w:rFonts w:hint="eastAsia" w:ascii="FangSong" w:hAnsi="FangSong" w:eastAsia="FangSong" w:cs="FangSong"/>
          <w:color w:val="auto"/>
          <w:sz w:val="32"/>
          <w:szCs w:val="32"/>
        </w:rPr>
        <w:t>20</w:t>
      </w:r>
      <w:r>
        <w:rPr>
          <w:rFonts w:hint="eastAsia" w:ascii="FangSong" w:hAnsi="FangSong" w:eastAsia="FangSong" w:cs="FangSong"/>
          <w:color w:val="auto"/>
          <w:sz w:val="32"/>
          <w:szCs w:val="32"/>
          <w:lang w:val="en-US" w:eastAsia="zh-CN"/>
        </w:rPr>
        <w:t>21</w:t>
      </w:r>
      <w:r>
        <w:rPr>
          <w:rFonts w:hint="eastAsia" w:ascii="FangSong" w:hAnsi="FangSong" w:eastAsia="FangSong" w:cs="FangSong"/>
          <w:color w:val="auto"/>
          <w:sz w:val="32"/>
          <w:szCs w:val="32"/>
        </w:rPr>
        <w:t>年度部门整体支出绩效评价报告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FangSong" w:hAnsi="FangSong" w:eastAsia="FangSong" w:cs="FangSong"/>
          <w:color w:val="auto"/>
          <w:sz w:val="32"/>
          <w:szCs w:val="32"/>
          <w:lang w:val="en-US" w:eastAsia="zh-CN"/>
        </w:rPr>
      </w:pPr>
      <w:r>
        <w:rPr>
          <w:rFonts w:hint="eastAsia" w:ascii="FangSong" w:hAnsi="FangSong" w:eastAsia="FangSong" w:cs="FangSong"/>
          <w:color w:val="auto"/>
          <w:sz w:val="32"/>
          <w:szCs w:val="32"/>
        </w:rPr>
        <w:t>20</w:t>
      </w:r>
      <w:r>
        <w:rPr>
          <w:rFonts w:hint="eastAsia" w:ascii="FangSong" w:hAnsi="FangSong" w:eastAsia="FangSong" w:cs="FangSong"/>
          <w:color w:val="auto"/>
          <w:sz w:val="32"/>
          <w:szCs w:val="32"/>
          <w:lang w:val="en-US" w:eastAsia="zh-CN"/>
        </w:rPr>
        <w:t>21</w:t>
      </w:r>
      <w:r>
        <w:rPr>
          <w:rFonts w:hint="eastAsia" w:ascii="FangSong" w:hAnsi="FangSong" w:eastAsia="FangSong" w:cs="FangSong"/>
          <w:color w:val="auto"/>
          <w:sz w:val="32"/>
          <w:szCs w:val="32"/>
        </w:rPr>
        <w:t>年度</w:t>
      </w:r>
      <w:r>
        <w:rPr>
          <w:rFonts w:hint="eastAsia" w:ascii="FangSong" w:hAnsi="FangSong" w:eastAsia="FangSong" w:cs="FangSong"/>
          <w:color w:val="auto"/>
          <w:sz w:val="32"/>
          <w:szCs w:val="32"/>
          <w:lang w:val="en-US" w:eastAsia="zh-CN"/>
        </w:rPr>
        <w:t>部门决算公开表格</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FangSong" w:hAnsi="FangSong" w:eastAsia="FangSong" w:cs="FangSong"/>
          <w:color w:val="auto"/>
          <w:sz w:val="32"/>
          <w:szCs w:val="32"/>
          <w:lang w:val="en-US" w:eastAsia="zh-CN"/>
        </w:rPr>
      </w:pPr>
      <w:r>
        <w:rPr>
          <w:rFonts w:hint="eastAsia" w:ascii="FangSong" w:hAnsi="FangSong" w:eastAsia="FangSong" w:cs="FangSong"/>
          <w:color w:val="auto"/>
          <w:sz w:val="32"/>
          <w:szCs w:val="32"/>
          <w:lang w:val="en-US" w:eastAsia="zh-CN"/>
        </w:rPr>
        <w:t>单位本年度无重点支出项目</w:t>
      </w:r>
      <w:bookmarkStart w:id="0" w:name="_GoBack"/>
      <w:bookmarkEnd w:id="0"/>
    </w:p>
    <w:p>
      <w:pPr>
        <w:keepNext w:val="0"/>
        <w:keepLines w:val="0"/>
        <w:pageBreakBefore w:val="0"/>
        <w:kinsoku/>
        <w:wordWrap/>
        <w:overflowPunct/>
        <w:topLinePunct w:val="0"/>
        <w:autoSpaceDE/>
        <w:autoSpaceDN/>
        <w:bidi w:val="0"/>
        <w:adjustRightInd/>
        <w:snapToGrid/>
        <w:spacing w:line="600" w:lineRule="exact"/>
        <w:ind w:left="0" w:firstLine="640" w:firstLineChars="200"/>
        <w:jc w:val="left"/>
        <w:textAlignment w:val="auto"/>
        <w:rPr>
          <w:rFonts w:cs="SimHei" w:asciiTheme="minorEastAsia" w:hAnsiTheme="minorEastAsia"/>
          <w:color w:val="auto"/>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FangSong">
    <w:panose1 w:val="02010609060101010101"/>
    <w:charset w:val="86"/>
    <w:family w:val="auto"/>
    <w:pitch w:val="default"/>
    <w:sig w:usb0="800002BF" w:usb1="38CF7CFA" w:usb2="00000016" w:usb3="00000000" w:csb0="00040001" w:csb1="00000000"/>
  </w:font>
  <w:font w:name="仿宋_GB2312">
    <w:altName w:val="FangSong"/>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F8D32"/>
    <w:multiLevelType w:val="singleLevel"/>
    <w:tmpl w:val="9F8F8D32"/>
    <w:lvl w:ilvl="0" w:tentative="0">
      <w:start w:val="5"/>
      <w:numFmt w:val="chineseCounting"/>
      <w:suff w:val="space"/>
      <w:lvlText w:val="第%1部分"/>
      <w:lvlJc w:val="left"/>
      <w:rPr>
        <w:rFonts w:hint="eastAsia"/>
      </w:rPr>
    </w:lvl>
  </w:abstractNum>
  <w:abstractNum w:abstractNumId="1">
    <w:nsid w:val="2B681BB4"/>
    <w:multiLevelType w:val="singleLevel"/>
    <w:tmpl w:val="2B681BB4"/>
    <w:lvl w:ilvl="0" w:tentative="0">
      <w:start w:val="4"/>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ZDA5MjM5YmI4MmEwM2I4NzBjZTc3Y2Q3ZmJjYjI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4516A"/>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C6AD5"/>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4B56"/>
    <w:rsid w:val="00727A53"/>
    <w:rsid w:val="00787B42"/>
    <w:rsid w:val="007C4539"/>
    <w:rsid w:val="007F3657"/>
    <w:rsid w:val="00812ED5"/>
    <w:rsid w:val="008277D9"/>
    <w:rsid w:val="0084478C"/>
    <w:rsid w:val="0086638C"/>
    <w:rsid w:val="008A2463"/>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C7792"/>
    <w:rsid w:val="00FE16FA"/>
    <w:rsid w:val="00FE328A"/>
    <w:rsid w:val="00FE6269"/>
    <w:rsid w:val="00FF5CD6"/>
    <w:rsid w:val="010A15AB"/>
    <w:rsid w:val="01BF2DBB"/>
    <w:rsid w:val="01EF400B"/>
    <w:rsid w:val="026C262D"/>
    <w:rsid w:val="02CF4907"/>
    <w:rsid w:val="03065425"/>
    <w:rsid w:val="03990790"/>
    <w:rsid w:val="04285CA2"/>
    <w:rsid w:val="04535D07"/>
    <w:rsid w:val="04F7218E"/>
    <w:rsid w:val="051444BE"/>
    <w:rsid w:val="052D46CE"/>
    <w:rsid w:val="066E374C"/>
    <w:rsid w:val="07291716"/>
    <w:rsid w:val="074D2A37"/>
    <w:rsid w:val="074E5BB3"/>
    <w:rsid w:val="07DD39D2"/>
    <w:rsid w:val="09286104"/>
    <w:rsid w:val="09A035C7"/>
    <w:rsid w:val="09E3201C"/>
    <w:rsid w:val="09FD21F9"/>
    <w:rsid w:val="0A26688F"/>
    <w:rsid w:val="0A82602A"/>
    <w:rsid w:val="0AB87C7F"/>
    <w:rsid w:val="0AE65BC8"/>
    <w:rsid w:val="0AEB6372"/>
    <w:rsid w:val="0B651B02"/>
    <w:rsid w:val="0C224BF8"/>
    <w:rsid w:val="0C3B7A2E"/>
    <w:rsid w:val="0C766D3B"/>
    <w:rsid w:val="0C8F3D9E"/>
    <w:rsid w:val="0C966C8D"/>
    <w:rsid w:val="0CBD2EAF"/>
    <w:rsid w:val="0E8E6BAE"/>
    <w:rsid w:val="0EF44776"/>
    <w:rsid w:val="0F382F5F"/>
    <w:rsid w:val="0F873C06"/>
    <w:rsid w:val="0FDA4328"/>
    <w:rsid w:val="0FEF7987"/>
    <w:rsid w:val="10282E4A"/>
    <w:rsid w:val="10B44B8B"/>
    <w:rsid w:val="11115ED1"/>
    <w:rsid w:val="11535329"/>
    <w:rsid w:val="11720C6C"/>
    <w:rsid w:val="12083B0C"/>
    <w:rsid w:val="124905CA"/>
    <w:rsid w:val="131F390F"/>
    <w:rsid w:val="1343188B"/>
    <w:rsid w:val="138A5C4E"/>
    <w:rsid w:val="13E55C7E"/>
    <w:rsid w:val="14EF13A7"/>
    <w:rsid w:val="14EF4F65"/>
    <w:rsid w:val="15225262"/>
    <w:rsid w:val="154509EB"/>
    <w:rsid w:val="159352D7"/>
    <w:rsid w:val="15A2727C"/>
    <w:rsid w:val="163B35E8"/>
    <w:rsid w:val="170867EA"/>
    <w:rsid w:val="171F6755"/>
    <w:rsid w:val="173B1D5B"/>
    <w:rsid w:val="174F1577"/>
    <w:rsid w:val="17664C52"/>
    <w:rsid w:val="1817172C"/>
    <w:rsid w:val="181B2107"/>
    <w:rsid w:val="185C4AF0"/>
    <w:rsid w:val="187F391D"/>
    <w:rsid w:val="188350F6"/>
    <w:rsid w:val="18D63EED"/>
    <w:rsid w:val="194B491A"/>
    <w:rsid w:val="19BE4A16"/>
    <w:rsid w:val="19EC1DC1"/>
    <w:rsid w:val="1A3F5398"/>
    <w:rsid w:val="1A7E6100"/>
    <w:rsid w:val="1B0A2B9D"/>
    <w:rsid w:val="1B71670D"/>
    <w:rsid w:val="1B764638"/>
    <w:rsid w:val="1C0E117B"/>
    <w:rsid w:val="1D0B4332"/>
    <w:rsid w:val="1D0B6787"/>
    <w:rsid w:val="1D1D719C"/>
    <w:rsid w:val="1E4A5D6E"/>
    <w:rsid w:val="1EDB6ADA"/>
    <w:rsid w:val="1EED0003"/>
    <w:rsid w:val="1F6403A3"/>
    <w:rsid w:val="1F866881"/>
    <w:rsid w:val="1FD14739"/>
    <w:rsid w:val="209542EA"/>
    <w:rsid w:val="20D800EF"/>
    <w:rsid w:val="2135348C"/>
    <w:rsid w:val="21AB2797"/>
    <w:rsid w:val="222C553D"/>
    <w:rsid w:val="22AA30C3"/>
    <w:rsid w:val="22B77383"/>
    <w:rsid w:val="231616C7"/>
    <w:rsid w:val="234A717D"/>
    <w:rsid w:val="240E783E"/>
    <w:rsid w:val="24855E87"/>
    <w:rsid w:val="25002263"/>
    <w:rsid w:val="251B66B7"/>
    <w:rsid w:val="25284260"/>
    <w:rsid w:val="25D43A4F"/>
    <w:rsid w:val="26727BD2"/>
    <w:rsid w:val="269C3827"/>
    <w:rsid w:val="26B51CC0"/>
    <w:rsid w:val="277C5200"/>
    <w:rsid w:val="27990685"/>
    <w:rsid w:val="27AC2528"/>
    <w:rsid w:val="27E50285"/>
    <w:rsid w:val="27F17147"/>
    <w:rsid w:val="28DF5C31"/>
    <w:rsid w:val="296722CC"/>
    <w:rsid w:val="299B6EA3"/>
    <w:rsid w:val="29C42E79"/>
    <w:rsid w:val="2A186F82"/>
    <w:rsid w:val="2A4C2E6E"/>
    <w:rsid w:val="2A5A37DD"/>
    <w:rsid w:val="2A790107"/>
    <w:rsid w:val="2AB94058"/>
    <w:rsid w:val="2B5360EF"/>
    <w:rsid w:val="2B610862"/>
    <w:rsid w:val="2B6A39AF"/>
    <w:rsid w:val="2C315FBD"/>
    <w:rsid w:val="2C7566AC"/>
    <w:rsid w:val="2CC71223"/>
    <w:rsid w:val="2CCA4109"/>
    <w:rsid w:val="2DC046A1"/>
    <w:rsid w:val="2E870D51"/>
    <w:rsid w:val="2F134B85"/>
    <w:rsid w:val="2FE92DE6"/>
    <w:rsid w:val="3082536D"/>
    <w:rsid w:val="30AE6631"/>
    <w:rsid w:val="30C92688"/>
    <w:rsid w:val="30D041C6"/>
    <w:rsid w:val="311076DE"/>
    <w:rsid w:val="311A5A74"/>
    <w:rsid w:val="311A7DC8"/>
    <w:rsid w:val="31586318"/>
    <w:rsid w:val="31C205E6"/>
    <w:rsid w:val="326F3587"/>
    <w:rsid w:val="327F0285"/>
    <w:rsid w:val="32821F24"/>
    <w:rsid w:val="32871818"/>
    <w:rsid w:val="32A23F73"/>
    <w:rsid w:val="32AF091B"/>
    <w:rsid w:val="32C36F0E"/>
    <w:rsid w:val="32D761FE"/>
    <w:rsid w:val="332B1DDE"/>
    <w:rsid w:val="33DE76A4"/>
    <w:rsid w:val="33FF5C49"/>
    <w:rsid w:val="355C7D01"/>
    <w:rsid w:val="35A7466E"/>
    <w:rsid w:val="36101F75"/>
    <w:rsid w:val="36772333"/>
    <w:rsid w:val="36801AF0"/>
    <w:rsid w:val="36F00CB3"/>
    <w:rsid w:val="373C416F"/>
    <w:rsid w:val="37732E50"/>
    <w:rsid w:val="377F6A87"/>
    <w:rsid w:val="37AC28BF"/>
    <w:rsid w:val="37D83F93"/>
    <w:rsid w:val="383B019C"/>
    <w:rsid w:val="383F5084"/>
    <w:rsid w:val="38656FA8"/>
    <w:rsid w:val="38A37878"/>
    <w:rsid w:val="38CD1B95"/>
    <w:rsid w:val="38D31238"/>
    <w:rsid w:val="395A11E0"/>
    <w:rsid w:val="3A2C2B4C"/>
    <w:rsid w:val="3A792D4D"/>
    <w:rsid w:val="3A7C35B8"/>
    <w:rsid w:val="3B950B19"/>
    <w:rsid w:val="3BE01225"/>
    <w:rsid w:val="3C2A3DAF"/>
    <w:rsid w:val="3C2F4C16"/>
    <w:rsid w:val="3C300842"/>
    <w:rsid w:val="3C5A61D8"/>
    <w:rsid w:val="3C6F5CEB"/>
    <w:rsid w:val="3C787A30"/>
    <w:rsid w:val="3C7D0542"/>
    <w:rsid w:val="3CF507AA"/>
    <w:rsid w:val="3D0241B3"/>
    <w:rsid w:val="3E124D83"/>
    <w:rsid w:val="3E564C85"/>
    <w:rsid w:val="3E673B0E"/>
    <w:rsid w:val="3E75078E"/>
    <w:rsid w:val="3E9956C1"/>
    <w:rsid w:val="3EF618CF"/>
    <w:rsid w:val="3F661480"/>
    <w:rsid w:val="3F79605C"/>
    <w:rsid w:val="3FAA090B"/>
    <w:rsid w:val="3FB52D16"/>
    <w:rsid w:val="3FC026D6"/>
    <w:rsid w:val="3FED7B60"/>
    <w:rsid w:val="408D7719"/>
    <w:rsid w:val="40D55514"/>
    <w:rsid w:val="40D83929"/>
    <w:rsid w:val="40DE4D0F"/>
    <w:rsid w:val="410B6209"/>
    <w:rsid w:val="411C3143"/>
    <w:rsid w:val="41865E5A"/>
    <w:rsid w:val="41D41C6F"/>
    <w:rsid w:val="41EC6AFB"/>
    <w:rsid w:val="41EE13B5"/>
    <w:rsid w:val="42402E61"/>
    <w:rsid w:val="429261E6"/>
    <w:rsid w:val="42D96742"/>
    <w:rsid w:val="42F338CD"/>
    <w:rsid w:val="43104F29"/>
    <w:rsid w:val="43300F19"/>
    <w:rsid w:val="43CE4709"/>
    <w:rsid w:val="443019BB"/>
    <w:rsid w:val="467A1037"/>
    <w:rsid w:val="474B6530"/>
    <w:rsid w:val="4771051D"/>
    <w:rsid w:val="477261B2"/>
    <w:rsid w:val="477E22F4"/>
    <w:rsid w:val="48350634"/>
    <w:rsid w:val="48567443"/>
    <w:rsid w:val="48CA7D42"/>
    <w:rsid w:val="48F7696F"/>
    <w:rsid w:val="49831D56"/>
    <w:rsid w:val="49895E52"/>
    <w:rsid w:val="4A040CB3"/>
    <w:rsid w:val="4B2022C4"/>
    <w:rsid w:val="4B27013B"/>
    <w:rsid w:val="4B2F13BC"/>
    <w:rsid w:val="4B5D2176"/>
    <w:rsid w:val="4B87315E"/>
    <w:rsid w:val="4BB5041C"/>
    <w:rsid w:val="4BCB3C39"/>
    <w:rsid w:val="4C675BBA"/>
    <w:rsid w:val="4C74678F"/>
    <w:rsid w:val="4CF62ABC"/>
    <w:rsid w:val="4D7565F5"/>
    <w:rsid w:val="4DDF0ACD"/>
    <w:rsid w:val="4DF32C5F"/>
    <w:rsid w:val="4E4D2773"/>
    <w:rsid w:val="4E5D35AC"/>
    <w:rsid w:val="4E833BB2"/>
    <w:rsid w:val="4EB66985"/>
    <w:rsid w:val="4ECF5102"/>
    <w:rsid w:val="4FA71EFB"/>
    <w:rsid w:val="4FB2158F"/>
    <w:rsid w:val="4FD05402"/>
    <w:rsid w:val="4FFA3B63"/>
    <w:rsid w:val="50015117"/>
    <w:rsid w:val="515F763E"/>
    <w:rsid w:val="52170DFD"/>
    <w:rsid w:val="52BE405A"/>
    <w:rsid w:val="535C4866"/>
    <w:rsid w:val="53B52C6B"/>
    <w:rsid w:val="543878E0"/>
    <w:rsid w:val="547A4B43"/>
    <w:rsid w:val="558C6760"/>
    <w:rsid w:val="56450519"/>
    <w:rsid w:val="56665BE2"/>
    <w:rsid w:val="56CD6F61"/>
    <w:rsid w:val="56D77906"/>
    <w:rsid w:val="57694F0E"/>
    <w:rsid w:val="57C77E54"/>
    <w:rsid w:val="57D065BB"/>
    <w:rsid w:val="58A45D91"/>
    <w:rsid w:val="58B7255A"/>
    <w:rsid w:val="59123351"/>
    <w:rsid w:val="59262672"/>
    <w:rsid w:val="5A002941"/>
    <w:rsid w:val="5A002FF1"/>
    <w:rsid w:val="5A6A6609"/>
    <w:rsid w:val="5B4E4CAB"/>
    <w:rsid w:val="5B81100F"/>
    <w:rsid w:val="5BDE39BF"/>
    <w:rsid w:val="5C427181"/>
    <w:rsid w:val="5C566F47"/>
    <w:rsid w:val="5CB247B7"/>
    <w:rsid w:val="5CC3007B"/>
    <w:rsid w:val="5CDA0F3C"/>
    <w:rsid w:val="5CE95B0C"/>
    <w:rsid w:val="5CEF7AB0"/>
    <w:rsid w:val="5D0F4F10"/>
    <w:rsid w:val="5DBD6E2E"/>
    <w:rsid w:val="5E1D0858"/>
    <w:rsid w:val="5E2441E2"/>
    <w:rsid w:val="5E8B0A0A"/>
    <w:rsid w:val="5F3B162F"/>
    <w:rsid w:val="5F50720E"/>
    <w:rsid w:val="600B09F8"/>
    <w:rsid w:val="619A4975"/>
    <w:rsid w:val="62790DC9"/>
    <w:rsid w:val="62C341FF"/>
    <w:rsid w:val="63897D73"/>
    <w:rsid w:val="63C0239B"/>
    <w:rsid w:val="63F911A2"/>
    <w:rsid w:val="641A164E"/>
    <w:rsid w:val="646943FB"/>
    <w:rsid w:val="649B64EF"/>
    <w:rsid w:val="6588315E"/>
    <w:rsid w:val="6597404F"/>
    <w:rsid w:val="65F55BA8"/>
    <w:rsid w:val="6634518D"/>
    <w:rsid w:val="66845C1A"/>
    <w:rsid w:val="66AB47DE"/>
    <w:rsid w:val="6723497B"/>
    <w:rsid w:val="675F29F2"/>
    <w:rsid w:val="67AC262D"/>
    <w:rsid w:val="68054F55"/>
    <w:rsid w:val="68273FF7"/>
    <w:rsid w:val="682F784C"/>
    <w:rsid w:val="683B0772"/>
    <w:rsid w:val="688F1E4D"/>
    <w:rsid w:val="695B08D6"/>
    <w:rsid w:val="695C0D27"/>
    <w:rsid w:val="6A28425A"/>
    <w:rsid w:val="6A4232B7"/>
    <w:rsid w:val="6A7A03B2"/>
    <w:rsid w:val="6B327B40"/>
    <w:rsid w:val="6B6F1F3D"/>
    <w:rsid w:val="6BA87315"/>
    <w:rsid w:val="6BEF2642"/>
    <w:rsid w:val="6BFC5B25"/>
    <w:rsid w:val="6C79285C"/>
    <w:rsid w:val="6D301158"/>
    <w:rsid w:val="6D310CF7"/>
    <w:rsid w:val="6DA359D1"/>
    <w:rsid w:val="6E234935"/>
    <w:rsid w:val="6E344064"/>
    <w:rsid w:val="6FD65402"/>
    <w:rsid w:val="70111F9E"/>
    <w:rsid w:val="705034DC"/>
    <w:rsid w:val="70650803"/>
    <w:rsid w:val="70EF1FBE"/>
    <w:rsid w:val="712424D4"/>
    <w:rsid w:val="715B69BC"/>
    <w:rsid w:val="71670CF0"/>
    <w:rsid w:val="718D45E7"/>
    <w:rsid w:val="727D2614"/>
    <w:rsid w:val="72B70254"/>
    <w:rsid w:val="731C6E4F"/>
    <w:rsid w:val="73243F55"/>
    <w:rsid w:val="738F6BA0"/>
    <w:rsid w:val="73CF68AB"/>
    <w:rsid w:val="742466EE"/>
    <w:rsid w:val="7426410F"/>
    <w:rsid w:val="74585CAE"/>
    <w:rsid w:val="74E038B2"/>
    <w:rsid w:val="752E71B0"/>
    <w:rsid w:val="758459EA"/>
    <w:rsid w:val="759A04FF"/>
    <w:rsid w:val="76D31F1A"/>
    <w:rsid w:val="775F62B5"/>
    <w:rsid w:val="781E5417"/>
    <w:rsid w:val="78515BD6"/>
    <w:rsid w:val="7874676C"/>
    <w:rsid w:val="78B31A27"/>
    <w:rsid w:val="790E548B"/>
    <w:rsid w:val="79504C7C"/>
    <w:rsid w:val="79517091"/>
    <w:rsid w:val="796C7F51"/>
    <w:rsid w:val="798E18C9"/>
    <w:rsid w:val="79CC5BB7"/>
    <w:rsid w:val="7AB13153"/>
    <w:rsid w:val="7AE82F61"/>
    <w:rsid w:val="7B2253B4"/>
    <w:rsid w:val="7BC41E31"/>
    <w:rsid w:val="7C0C5586"/>
    <w:rsid w:val="7C6B2027"/>
    <w:rsid w:val="7CEE663A"/>
    <w:rsid w:val="7D6E5018"/>
    <w:rsid w:val="7D706F12"/>
    <w:rsid w:val="7D84306B"/>
    <w:rsid w:val="7D932B60"/>
    <w:rsid w:val="7DBF3ED7"/>
    <w:rsid w:val="7E6D0487"/>
    <w:rsid w:val="7F0174CC"/>
    <w:rsid w:val="7F207CC7"/>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SimHei" w:eastAsia="SimHei" w:cs="SimHei" w:hAnsiTheme="minorHAnsi"/>
      <w:color w:val="000000"/>
      <w:kern w:val="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5513</Words>
  <Characters>5966</Characters>
  <Lines>69</Lines>
  <Paragraphs>19</Paragraphs>
  <TotalTime>18</TotalTime>
  <ScaleCrop>false</ScaleCrop>
  <LinksUpToDate>false</LinksUpToDate>
  <CharactersWithSpaces>5981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陈平</cp:lastModifiedBy>
  <cp:lastPrinted>2022-07-27T12:55:00Z</cp:lastPrinted>
  <dcterms:modified xsi:type="dcterms:W3CDTF">2023-10-11T07:38:49Z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277164DEAE5B459691792BE9E898C735_13</vt:lpwstr>
  </property>
</Properties>
</file>