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D16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193426F3">
      <w:pPr>
        <w:keepNext w:val="0"/>
        <w:keepLines w:val="0"/>
        <w:pageBreakBefore w:val="0"/>
        <w:widowControl/>
        <w:shd w:val="clear"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70EF4A8E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-SA"/>
        </w:rPr>
        <w:t>填表人：周小龙          填报日期：2025年6月10日        联系电话：2731302</w:t>
      </w:r>
    </w:p>
    <w:tbl>
      <w:tblPr>
        <w:tblStyle w:val="9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14"/>
        <w:gridCol w:w="1234"/>
        <w:gridCol w:w="1216"/>
        <w:gridCol w:w="1113"/>
        <w:gridCol w:w="1486"/>
        <w:gridCol w:w="721"/>
        <w:gridCol w:w="867"/>
        <w:gridCol w:w="1402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6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753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5+N现代产业链专项工作经费（新型显示产业链）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66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277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486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990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16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13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486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执行数</w:t>
            </w:r>
          </w:p>
        </w:tc>
        <w:tc>
          <w:tcPr>
            <w:tcW w:w="721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67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执行率</w:t>
            </w:r>
          </w:p>
        </w:tc>
        <w:tc>
          <w:tcPr>
            <w:tcW w:w="1402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16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10.7万元</w:t>
            </w:r>
          </w:p>
        </w:tc>
        <w:tc>
          <w:tcPr>
            <w:tcW w:w="1486" w:type="dxa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10.24万元</w:t>
            </w:r>
          </w:p>
        </w:tc>
        <w:tc>
          <w:tcPr>
            <w:tcW w:w="721" w:type="dxa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867" w:type="dxa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95.7%</w:t>
            </w:r>
          </w:p>
        </w:tc>
        <w:tc>
          <w:tcPr>
            <w:tcW w:w="1402" w:type="dxa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16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10.7万元</w:t>
            </w:r>
          </w:p>
        </w:tc>
        <w:tc>
          <w:tcPr>
            <w:tcW w:w="1486" w:type="dxa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64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16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13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86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67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02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16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13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86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67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02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277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476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77" w:type="dxa"/>
            <w:gridSpan w:val="4"/>
            <w:noWrap w:val="0"/>
            <w:vAlign w:val="center"/>
          </w:tcPr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推进新型显示产业链发展，推进争资立项，以“5+N”现代化产业体系为主攻方向，全力抓好特色优势产业发展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4476" w:type="dxa"/>
            <w:gridSpan w:val="4"/>
            <w:noWrap w:val="0"/>
            <w:vAlign w:val="center"/>
          </w:tcPr>
          <w:p w14:paraId="466D40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成功举办新型显示产业发展交流会，达成投资意向的链上企业6家。</w:t>
            </w:r>
          </w:p>
          <w:p w14:paraId="1F1C10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2、全产业链新签约项目12个，重点在谈招商项目20个。</w:t>
            </w:r>
          </w:p>
          <w:p w14:paraId="7417FE6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3、全市完成企业“上云”4895家、企业“上平台”313家，完成率分别为152.87%、107.93%;全市打造智能制造企业21家、智能制造车间41个、智能工位229个，分别完成年度任务的 210%、136.67%和152.67%。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标</w:t>
            </w:r>
          </w:p>
        </w:tc>
        <w:tc>
          <w:tcPr>
            <w:tcW w:w="714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34" w:type="dxa"/>
            <w:noWrap w:val="0"/>
            <w:vAlign w:val="center"/>
          </w:tcPr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16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13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486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1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867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402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234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216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113" w:type="dxa"/>
            <w:noWrap w:val="0"/>
            <w:vAlign w:val="center"/>
          </w:tcPr>
          <w:p w14:paraId="08E24A8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10.7</w:t>
            </w:r>
          </w:p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486" w:type="dxa"/>
            <w:noWrap w:val="0"/>
            <w:vAlign w:val="center"/>
          </w:tcPr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=10.24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721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7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16" w:type="dxa"/>
            <w:noWrap w:val="0"/>
            <w:vAlign w:val="center"/>
          </w:tcPr>
          <w:p w14:paraId="161181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完成企业“上云”</w:t>
            </w:r>
          </w:p>
        </w:tc>
        <w:tc>
          <w:tcPr>
            <w:tcW w:w="1113" w:type="dxa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3202家</w:t>
            </w:r>
          </w:p>
        </w:tc>
        <w:tc>
          <w:tcPr>
            <w:tcW w:w="1486" w:type="dxa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=4895家</w:t>
            </w:r>
          </w:p>
        </w:tc>
        <w:tc>
          <w:tcPr>
            <w:tcW w:w="721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7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6F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1C60DB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79BF2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 w14:paraId="1B0D37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1A3AB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完成企业“上平台”</w:t>
            </w:r>
          </w:p>
        </w:tc>
        <w:tc>
          <w:tcPr>
            <w:tcW w:w="1113" w:type="dxa"/>
            <w:noWrap w:val="0"/>
            <w:vAlign w:val="center"/>
          </w:tcPr>
          <w:p w14:paraId="32B5DE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290家</w:t>
            </w:r>
          </w:p>
        </w:tc>
        <w:tc>
          <w:tcPr>
            <w:tcW w:w="1486" w:type="dxa"/>
            <w:noWrap w:val="0"/>
            <w:vAlign w:val="center"/>
          </w:tcPr>
          <w:p w14:paraId="6E85D8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=313家</w:t>
            </w:r>
          </w:p>
        </w:tc>
        <w:tc>
          <w:tcPr>
            <w:tcW w:w="721" w:type="dxa"/>
            <w:noWrap w:val="0"/>
            <w:vAlign w:val="center"/>
          </w:tcPr>
          <w:p w14:paraId="365B24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7" w:type="dxa"/>
            <w:noWrap w:val="0"/>
            <w:vAlign w:val="center"/>
          </w:tcPr>
          <w:p w14:paraId="39780F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noWrap w:val="0"/>
            <w:vAlign w:val="center"/>
          </w:tcPr>
          <w:p w14:paraId="1B97E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F9F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110D369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 w14:paraId="2E6AD1F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16" w:type="dxa"/>
            <w:noWrap w:val="0"/>
            <w:vAlign w:val="center"/>
          </w:tcPr>
          <w:p w14:paraId="654B4E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企业“上云”完成率</w:t>
            </w:r>
          </w:p>
        </w:tc>
        <w:tc>
          <w:tcPr>
            <w:tcW w:w="1113" w:type="dxa"/>
            <w:noWrap w:val="0"/>
            <w:vAlign w:val="center"/>
          </w:tcPr>
          <w:p w14:paraId="03F260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86" w:type="dxa"/>
            <w:noWrap w:val="0"/>
            <w:vAlign w:val="center"/>
          </w:tcPr>
          <w:p w14:paraId="1CEF08E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=152.87%</w:t>
            </w:r>
          </w:p>
        </w:tc>
        <w:tc>
          <w:tcPr>
            <w:tcW w:w="721" w:type="dxa"/>
            <w:noWrap w:val="0"/>
            <w:vAlign w:val="center"/>
          </w:tcPr>
          <w:p w14:paraId="7BC533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7" w:type="dxa"/>
            <w:noWrap w:val="0"/>
            <w:vAlign w:val="center"/>
          </w:tcPr>
          <w:p w14:paraId="7CCB089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2" w:type="dxa"/>
            <w:noWrap w:val="0"/>
            <w:vAlign w:val="center"/>
          </w:tcPr>
          <w:p w14:paraId="187AE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D3A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127382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63E47D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 w14:paraId="4A874C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E6AEB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企业“上平台”完成率</w:t>
            </w:r>
          </w:p>
        </w:tc>
        <w:tc>
          <w:tcPr>
            <w:tcW w:w="1113" w:type="dxa"/>
            <w:noWrap w:val="0"/>
            <w:vAlign w:val="center"/>
          </w:tcPr>
          <w:p w14:paraId="11C52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86" w:type="dxa"/>
            <w:noWrap w:val="0"/>
            <w:vAlign w:val="center"/>
          </w:tcPr>
          <w:p w14:paraId="0A25A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107.93%。</w:t>
            </w:r>
          </w:p>
        </w:tc>
        <w:tc>
          <w:tcPr>
            <w:tcW w:w="721" w:type="dxa"/>
            <w:noWrap w:val="0"/>
            <w:vAlign w:val="center"/>
          </w:tcPr>
          <w:p w14:paraId="5E4735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7" w:type="dxa"/>
            <w:noWrap w:val="0"/>
            <w:vAlign w:val="center"/>
          </w:tcPr>
          <w:p w14:paraId="384848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2" w:type="dxa"/>
            <w:noWrap w:val="0"/>
            <w:vAlign w:val="center"/>
          </w:tcPr>
          <w:p w14:paraId="69538F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16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113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486" w:type="dxa"/>
            <w:noWrap w:val="0"/>
            <w:vAlign w:val="center"/>
          </w:tcPr>
          <w:p w14:paraId="44D8A8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</w:t>
            </w:r>
          </w:p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12月31日</w:t>
            </w:r>
          </w:p>
        </w:tc>
        <w:tc>
          <w:tcPr>
            <w:tcW w:w="721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7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076ED6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聚焦制造业提质增效，推动工业经济质的有效提升和量的合理增长</w:t>
            </w:r>
          </w:p>
        </w:tc>
        <w:tc>
          <w:tcPr>
            <w:tcW w:w="1113" w:type="dxa"/>
            <w:noWrap w:val="0"/>
            <w:vAlign w:val="center"/>
          </w:tcPr>
          <w:p w14:paraId="4FD125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486" w:type="dxa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1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7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51EF1D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聚焦制造业提质增效，大力推进新型工业化</w:t>
            </w:r>
          </w:p>
        </w:tc>
        <w:tc>
          <w:tcPr>
            <w:tcW w:w="1113" w:type="dxa"/>
            <w:noWrap w:val="0"/>
            <w:vAlign w:val="center"/>
          </w:tcPr>
          <w:p w14:paraId="1EDD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486" w:type="dxa"/>
            <w:noWrap w:val="0"/>
            <w:vAlign w:val="center"/>
          </w:tcPr>
          <w:p w14:paraId="756FA9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1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7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03F182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推动区域经济协调发展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 w14:paraId="53B58D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486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效果良好</w:t>
            </w:r>
          </w:p>
        </w:tc>
        <w:tc>
          <w:tcPr>
            <w:tcW w:w="721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7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02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16" w:type="dxa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项目开展可持续性</w:t>
            </w:r>
          </w:p>
        </w:tc>
        <w:tc>
          <w:tcPr>
            <w:tcW w:w="1113" w:type="dxa"/>
            <w:noWrap w:val="0"/>
            <w:vAlign w:val="center"/>
          </w:tcPr>
          <w:p w14:paraId="5579C5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1486" w:type="dxa"/>
            <w:noWrap w:val="0"/>
            <w:vAlign w:val="center"/>
          </w:tcPr>
          <w:p w14:paraId="361092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721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7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02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 w14:paraId="5092CA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满意度指标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16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113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486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1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7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829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721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867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402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56BE05C6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7F5925-D213-4AC9-A54E-9B0C3D79A4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D38E96-4464-477F-BE90-7A0C842BC7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0320193-71FE-46BB-8FCE-320C6CDC71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735DE"/>
    <w:multiLevelType w:val="singleLevel"/>
    <w:tmpl w:val="329735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3F22CE7"/>
    <w:rsid w:val="04104682"/>
    <w:rsid w:val="05E95AA6"/>
    <w:rsid w:val="0990355B"/>
    <w:rsid w:val="0C180A78"/>
    <w:rsid w:val="0D276746"/>
    <w:rsid w:val="0D464D9C"/>
    <w:rsid w:val="0D61063A"/>
    <w:rsid w:val="0DD52794"/>
    <w:rsid w:val="0E9067FE"/>
    <w:rsid w:val="0E956870"/>
    <w:rsid w:val="0F2477F3"/>
    <w:rsid w:val="10C666A5"/>
    <w:rsid w:val="10E62831"/>
    <w:rsid w:val="1223366A"/>
    <w:rsid w:val="143877FD"/>
    <w:rsid w:val="14CB202B"/>
    <w:rsid w:val="165247B2"/>
    <w:rsid w:val="175E2FB9"/>
    <w:rsid w:val="17FCFFF6"/>
    <w:rsid w:val="19E805B2"/>
    <w:rsid w:val="1A4E703E"/>
    <w:rsid w:val="1C200EAE"/>
    <w:rsid w:val="1CBF872E"/>
    <w:rsid w:val="22FE234B"/>
    <w:rsid w:val="23111551"/>
    <w:rsid w:val="25916979"/>
    <w:rsid w:val="277E6F02"/>
    <w:rsid w:val="2854472F"/>
    <w:rsid w:val="2902642B"/>
    <w:rsid w:val="29990575"/>
    <w:rsid w:val="2AF6742D"/>
    <w:rsid w:val="312A2265"/>
    <w:rsid w:val="31B80AAD"/>
    <w:rsid w:val="333F3E43"/>
    <w:rsid w:val="33791178"/>
    <w:rsid w:val="36FC0F5D"/>
    <w:rsid w:val="375773F8"/>
    <w:rsid w:val="382C5E8C"/>
    <w:rsid w:val="393E32BB"/>
    <w:rsid w:val="3A8056BB"/>
    <w:rsid w:val="3C666012"/>
    <w:rsid w:val="3EFDDE87"/>
    <w:rsid w:val="3F4A1C1A"/>
    <w:rsid w:val="419B2857"/>
    <w:rsid w:val="41D71DA8"/>
    <w:rsid w:val="438D0328"/>
    <w:rsid w:val="45DD452D"/>
    <w:rsid w:val="47FD3CCE"/>
    <w:rsid w:val="48AC7787"/>
    <w:rsid w:val="4B360391"/>
    <w:rsid w:val="4C043ABB"/>
    <w:rsid w:val="4C6611ED"/>
    <w:rsid w:val="4CB132D9"/>
    <w:rsid w:val="4CB16E35"/>
    <w:rsid w:val="4D5D3BD3"/>
    <w:rsid w:val="4D752558"/>
    <w:rsid w:val="4DE048D9"/>
    <w:rsid w:val="4E1554DE"/>
    <w:rsid w:val="4E2A0DD5"/>
    <w:rsid w:val="4E3E6DEE"/>
    <w:rsid w:val="4EB7F892"/>
    <w:rsid w:val="4F2A1121"/>
    <w:rsid w:val="50AF5D81"/>
    <w:rsid w:val="51C26780"/>
    <w:rsid w:val="54AA6F8B"/>
    <w:rsid w:val="54B716A8"/>
    <w:rsid w:val="54CA6A02"/>
    <w:rsid w:val="552A0475"/>
    <w:rsid w:val="55BF6A67"/>
    <w:rsid w:val="55C65C1A"/>
    <w:rsid w:val="566724D3"/>
    <w:rsid w:val="56764C4B"/>
    <w:rsid w:val="578D10CB"/>
    <w:rsid w:val="5836254D"/>
    <w:rsid w:val="5A5915AC"/>
    <w:rsid w:val="5AA47FD9"/>
    <w:rsid w:val="5ABBC979"/>
    <w:rsid w:val="5BFC7B3B"/>
    <w:rsid w:val="5C341831"/>
    <w:rsid w:val="5E77C7C6"/>
    <w:rsid w:val="5FFFAAE0"/>
    <w:rsid w:val="61783F6D"/>
    <w:rsid w:val="61A657A9"/>
    <w:rsid w:val="65784102"/>
    <w:rsid w:val="66347B2F"/>
    <w:rsid w:val="667FD72C"/>
    <w:rsid w:val="680E1188"/>
    <w:rsid w:val="687116A3"/>
    <w:rsid w:val="696E0130"/>
    <w:rsid w:val="6A12486A"/>
    <w:rsid w:val="6ABE64BE"/>
    <w:rsid w:val="6B5F16C5"/>
    <w:rsid w:val="6CB93DB8"/>
    <w:rsid w:val="6CF3EA5A"/>
    <w:rsid w:val="6D68758C"/>
    <w:rsid w:val="6D707205"/>
    <w:rsid w:val="6FC05772"/>
    <w:rsid w:val="74561A35"/>
    <w:rsid w:val="753C4E9B"/>
    <w:rsid w:val="75596138"/>
    <w:rsid w:val="75703482"/>
    <w:rsid w:val="763258CB"/>
    <w:rsid w:val="769B7804"/>
    <w:rsid w:val="779FCBF0"/>
    <w:rsid w:val="77F7E21B"/>
    <w:rsid w:val="781113A7"/>
    <w:rsid w:val="788E7812"/>
    <w:rsid w:val="791E6510"/>
    <w:rsid w:val="796B468C"/>
    <w:rsid w:val="79E2F975"/>
    <w:rsid w:val="7B134407"/>
    <w:rsid w:val="7B3BDBF2"/>
    <w:rsid w:val="7C8D4A41"/>
    <w:rsid w:val="7D216490"/>
    <w:rsid w:val="7DB360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5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标题1"/>
    <w:basedOn w:val="3"/>
    <w:qFormat/>
    <w:uiPriority w:val="0"/>
    <w:rPr>
      <w:rFonts w:eastAsia="黑体"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15">
    <w:name w:val="正文文本缩进 Char"/>
    <w:link w:val="4"/>
    <w:qFormat/>
    <w:uiPriority w:val="0"/>
    <w:rPr>
      <w:rFonts w:hint="default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821</Characters>
  <Lines>0</Lines>
  <Paragraphs>0</Paragraphs>
  <TotalTime>4</TotalTime>
  <ScaleCrop>false</ScaleCrop>
  <LinksUpToDate>false</LinksUpToDate>
  <CharactersWithSpaces>858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