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bookmarkStart w:id="0"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怀化市残疾人联合会</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bookmarkEnd w:id="0"/>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怀化市残疾人联合会</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怀化市残疾人联合会</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6EF6A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残疾人联合会的职能是“代表、服务、管理”（即代表残疾人共同利益，维护残疾人合法权益；团结教育残疾人，为残疾人服务；履行法律赋予的职责，承担政府委托的任务，管理和发展残疾人事业）。主要工作任务：一是听取残疾人意见，反映残疾人需求，维护残疾人权益，为残疾人服务。二是团结教育残疾人遵守法律，履行应尽的义务，发扬乐观进取精神，自尊、自信、自强、自立，为社会主义建设贡献力量。三是弘扬人道主义精神，宣传残疾人事业，受政府委托发展残疾人事业、管理残疾人，动员社会理解、尊重、关心、帮助残疾人。四是协同有关部门开展残疾人康复、教育、劳动就业、扶贫、文化、体育、科研、用品用具供应、福利、社会服务、无障碍设施和残疾预防工作，创造良好的环境和条件，扶助残疾人平等参与社会生活。五是协助政府研究、拟定和实施残疾人事业的地方性法规、政策、规划和计划，对有关业务进行指导和管理。六是承办市委、市人民政府交办的其他事项。</w:t>
      </w:r>
    </w:p>
    <w:p w14:paraId="7847CA76">
      <w:pPr>
        <w:widowControl/>
        <w:spacing w:line="600" w:lineRule="exact"/>
        <w:ind w:firstLine="640" w:firstLineChars="200"/>
        <w:rPr>
          <w:rFonts w:ascii="Times New Roman" w:hAnsi="Times New Roman" w:eastAsia="黑体" w:cs="Times New Roman"/>
          <w:bCs/>
          <w:kern w:val="0"/>
          <w:sz w:val="32"/>
          <w:szCs w:val="32"/>
        </w:rPr>
      </w:pP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CF0A276">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怀化市残疾人联合会</w:t>
      </w:r>
      <w:r>
        <w:rPr>
          <w:rFonts w:hint="eastAsia" w:ascii="Times New Roman" w:hAnsi="Times New Roman" w:eastAsia="仿宋_GB2312" w:cs="Times New Roman"/>
          <w:bCs/>
          <w:kern w:val="0"/>
          <w:sz w:val="32"/>
          <w:szCs w:val="32"/>
        </w:rPr>
        <w:t>作为</w:t>
      </w:r>
      <w:r>
        <w:rPr>
          <w:rFonts w:hint="eastAsia" w:ascii="Times New Roman" w:hAnsi="Times New Roman" w:eastAsia="仿宋_GB2312" w:cs="Times New Roman"/>
          <w:bCs/>
          <w:kern w:val="0"/>
          <w:sz w:val="32"/>
          <w:szCs w:val="32"/>
          <w:lang w:val="en-US" w:eastAsia="zh-CN"/>
        </w:rPr>
        <w:t>一</w:t>
      </w:r>
      <w:r>
        <w:rPr>
          <w:rFonts w:hint="eastAsia" w:ascii="Times New Roman" w:hAnsi="Times New Roman" w:eastAsia="仿宋_GB2312" w:cs="Times New Roman"/>
          <w:bCs/>
          <w:kern w:val="0"/>
          <w:sz w:val="32"/>
          <w:szCs w:val="32"/>
        </w:rPr>
        <w:t>级部门预算单位，内设科室为：办公室、康复部、教就部，1个下属事业单位：怀化市残疾人服务中心。</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怀化市残疾人联合会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怀化市残疾人联合会</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380.58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34.61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残疾人事业发展（社会保障、康复服务、教育就业、文化体育、权益保障）</w:t>
      </w:r>
      <w:r>
        <w:rPr>
          <w:rFonts w:hint="eastAsia" w:ascii="Times New Roman" w:hAnsi="Times New Roman" w:eastAsia="仿宋_GB2312" w:cs="Times New Roman"/>
          <w:sz w:val="32"/>
          <w:szCs w:val="32"/>
          <w:lang w:eastAsia="zh-CN"/>
        </w:rPr>
        <w:t>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353.5</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49.17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365.48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50.83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FA0C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减少367.53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33.82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E60680">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减少350.23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32.75</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本年度项目经费收入减少，项目支出减少。</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26.11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社会保障和就业（类）支出654.5</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91.02</w:t>
      </w:r>
      <w:r>
        <w:rPr>
          <w:rFonts w:hint="eastAsia" w:ascii="Times New Roman" w:hAnsi="Times New Roman" w:eastAsia="仿宋_GB2312" w:cs="Times New Roman"/>
          <w:sz w:val="32"/>
          <w:szCs w:val="32"/>
        </w:rPr>
        <w:t>%；卫生健康（类）支出13.46万元，占</w:t>
      </w:r>
      <w:r>
        <w:rPr>
          <w:rFonts w:hint="eastAsia" w:ascii="Times New Roman" w:hAnsi="Times New Roman" w:eastAsia="仿宋_GB2312" w:cs="Times New Roman"/>
          <w:sz w:val="32"/>
          <w:szCs w:val="32"/>
          <w:lang w:val="en-US" w:eastAsia="zh-CN"/>
        </w:rPr>
        <w:t>1.87</w:t>
      </w:r>
      <w:r>
        <w:rPr>
          <w:rFonts w:hint="eastAsia" w:ascii="Times New Roman" w:hAnsi="Times New Roman" w:eastAsia="仿宋_GB2312" w:cs="Times New Roman"/>
          <w:sz w:val="32"/>
          <w:szCs w:val="32"/>
        </w:rPr>
        <w:t>%；住房保障（类）支出24.98万元，占</w:t>
      </w:r>
      <w:r>
        <w:rPr>
          <w:rFonts w:hint="eastAsia" w:ascii="Times New Roman" w:hAnsi="Times New Roman" w:eastAsia="仿宋_GB2312" w:cs="Times New Roman"/>
          <w:sz w:val="32"/>
          <w:szCs w:val="32"/>
          <w:lang w:val="en-US" w:eastAsia="zh-CN"/>
        </w:rPr>
        <w:t>3.47</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658.52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91.58</w:t>
      </w:r>
      <w:r>
        <w:rPr>
          <w:rFonts w:ascii="Times New Roman" w:hAnsi="Times New Roman" w:eastAsia="仿宋_GB2312" w:cs="Times New Roman"/>
          <w:sz w:val="32"/>
          <w:szCs w:val="32"/>
        </w:rPr>
        <w:t>%，其中：</w:t>
      </w:r>
    </w:p>
    <w:p w14:paraId="736FBB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6AE2F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26.11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年终</w:t>
      </w:r>
      <w:r>
        <w:rPr>
          <w:rFonts w:hint="eastAsia" w:ascii="Times New Roman" w:hAnsi="Times New Roman" w:eastAsia="仿宋_GB2312" w:cs="Times New Roman"/>
          <w:sz w:val="32"/>
          <w:szCs w:val="32"/>
        </w:rPr>
        <w:t>预发202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年年度考核奖</w:t>
      </w:r>
      <w:r>
        <w:rPr>
          <w:rFonts w:hint="eastAsia" w:ascii="Times New Roman" w:hAnsi="Times New Roman" w:eastAsia="仿宋_GB2312" w:cs="Times New Roman"/>
          <w:sz w:val="32"/>
          <w:szCs w:val="32"/>
          <w:lang w:val="en-US" w:eastAsia="zh-CN"/>
        </w:rPr>
        <w:t>13.60万元；财政统发工资部分下达至2019999</w:t>
      </w:r>
      <w:r>
        <w:rPr>
          <w:rFonts w:hint="eastAsia" w:ascii="Times New Roman" w:hAnsi="Times New Roman" w:eastAsia="仿宋_GB2312" w:cs="Times New Roman"/>
          <w:sz w:val="32"/>
          <w:szCs w:val="32"/>
        </w:rPr>
        <w:t>其他一般公共服务支出</w:t>
      </w:r>
      <w:r>
        <w:rPr>
          <w:rFonts w:hint="eastAsia" w:ascii="Times New Roman" w:hAnsi="Times New Roman" w:eastAsia="仿宋_GB2312" w:cs="Times New Roman"/>
          <w:sz w:val="32"/>
          <w:szCs w:val="32"/>
          <w:lang w:eastAsia="zh-CN"/>
        </w:rPr>
        <w:t>。</w:t>
      </w:r>
    </w:p>
    <w:p w14:paraId="6F0826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2、社会保障和就业支出（类）行政事业单位养老支出（款）机关事业单位基本养老保险缴费支出（项）。</w:t>
      </w:r>
    </w:p>
    <w:p w14:paraId="54AA161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年初预算为27.54万元，支出决算为28.51万元，完成年初预算的</w:t>
      </w:r>
      <w:r>
        <w:rPr>
          <w:rFonts w:hint="eastAsia" w:ascii="Times New Roman" w:hAnsi="Times New Roman" w:eastAsia="仿宋_GB2312" w:cs="Times New Roman"/>
          <w:sz w:val="32"/>
          <w:szCs w:val="32"/>
          <w:lang w:val="en-US" w:eastAsia="zh-CN"/>
        </w:rPr>
        <w:t>103.52</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基本养老保险缴费支出增加。</w:t>
      </w:r>
    </w:p>
    <w:p w14:paraId="28A9AE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3、社会保障和就业支出（类）行政事业单位养老支出（款）其他行政事业单位养老支出（项）。</w:t>
      </w:r>
    </w:p>
    <w:p w14:paraId="77AA9F3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年初预算为17.64万元，支出决算为17.64万元，完成年初预算的100%，决算数等于年初预算数，年度预算精准，执行较好。</w:t>
      </w:r>
    </w:p>
    <w:p w14:paraId="643BF1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4、社会保障和就业支出（类）就业补助（款）其他就业补助支出（项）。</w:t>
      </w:r>
    </w:p>
    <w:p w14:paraId="43C9880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年初预算为0万元，支出决算为40.95万元，因预算数为零，无法计算百分比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决算数大于年初预算数的主要原因是：年中追加公益性岗位人员补贴、就业补助资金。</w:t>
      </w:r>
    </w:p>
    <w:p w14:paraId="7ADA37B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5、社会保障和就业支出（类）残疾人事业（款）行政运行（项）。</w:t>
      </w:r>
    </w:p>
    <w:p w14:paraId="2CCD810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年初预算为308.98万元，支出决算为240.92万元，完成年初预算的</w:t>
      </w:r>
      <w:r>
        <w:rPr>
          <w:rFonts w:hint="eastAsia" w:ascii="Times New Roman" w:hAnsi="Times New Roman" w:eastAsia="仿宋_GB2312" w:cs="Times New Roman"/>
          <w:sz w:val="32"/>
          <w:szCs w:val="32"/>
          <w:lang w:val="en-US" w:eastAsia="zh-CN"/>
        </w:rPr>
        <w:t>77.97</w:t>
      </w:r>
      <w:r>
        <w:rPr>
          <w:rFonts w:hint="eastAsia" w:ascii="Times New Roman" w:hAnsi="Times New Roman" w:eastAsia="仿宋_GB2312" w:cs="Times New Roman"/>
          <w:sz w:val="32"/>
          <w:szCs w:val="32"/>
        </w:rPr>
        <w:t>%，决算数小于年初预算数的主要原因是：在职人员工资异动及提标；财政统发工资部分下达至2019999其他一般公共服务支出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根据决算编制要求调整残疾人事业发展专项项目支出功能科目。</w:t>
      </w:r>
    </w:p>
    <w:p w14:paraId="2E1B53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6、社会保障和就业支出（类）残疾人事业（款）残疾人康复（项）。</w:t>
      </w:r>
    </w:p>
    <w:p w14:paraId="0F38AA3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年初预算为60万元，支出决算为24.31万元，完成年初预算的</w:t>
      </w:r>
      <w:r>
        <w:rPr>
          <w:rFonts w:hint="eastAsia" w:ascii="Times New Roman" w:hAnsi="Times New Roman" w:eastAsia="仿宋_GB2312" w:cs="Times New Roman"/>
          <w:sz w:val="32"/>
          <w:szCs w:val="32"/>
          <w:lang w:val="en-US" w:eastAsia="zh-CN"/>
        </w:rPr>
        <w:t>40.52</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2025年按财政实际下达预算拨付款项</w:t>
      </w:r>
      <w:r>
        <w:rPr>
          <w:rFonts w:hint="eastAsia" w:ascii="Times New Roman" w:hAnsi="Times New Roman" w:eastAsia="仿宋_GB2312" w:cs="Times New Roman"/>
          <w:sz w:val="32"/>
          <w:szCs w:val="32"/>
        </w:rPr>
        <w:t>。</w:t>
      </w:r>
    </w:p>
    <w:p w14:paraId="4D9153F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7、社会保障和就业支出（类）残疾人事业（款）残疾人就业（项）。</w:t>
      </w:r>
    </w:p>
    <w:p w14:paraId="11497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年初预算为10万元，支出决算为11.32万元，完成年初预算的</w:t>
      </w:r>
      <w:r>
        <w:rPr>
          <w:rFonts w:hint="eastAsia" w:ascii="Times New Roman" w:hAnsi="Times New Roman" w:eastAsia="仿宋_GB2312" w:cs="Times New Roman"/>
          <w:sz w:val="32"/>
          <w:szCs w:val="32"/>
          <w:lang w:val="en-US" w:eastAsia="zh-CN"/>
        </w:rPr>
        <w:t>113.20</w:t>
      </w:r>
      <w:r>
        <w:rPr>
          <w:rFonts w:hint="eastAsia" w:ascii="Times New Roman" w:hAnsi="Times New Roman" w:eastAsia="仿宋_GB2312" w:cs="Times New Roman"/>
          <w:sz w:val="32"/>
          <w:szCs w:val="32"/>
        </w:rPr>
        <w:t>%，决算数大于年初预算数的主要原因是：年中追加湘财预〔2024〕345号残疾人就业（阳光家园计划）</w:t>
      </w:r>
      <w:r>
        <w:rPr>
          <w:rFonts w:hint="eastAsia" w:ascii="Times New Roman" w:hAnsi="Times New Roman" w:eastAsia="仿宋_GB2312" w:cs="Times New Roman"/>
          <w:sz w:val="32"/>
          <w:szCs w:val="32"/>
          <w:lang w:eastAsia="zh-CN"/>
        </w:rPr>
        <w:t>；2025年按财政实际下达预算拨付款项。</w:t>
      </w:r>
    </w:p>
    <w:p w14:paraId="658E69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8、社会保障和就业支出（类）残疾人事业（款）残疾人体育（项）。</w:t>
      </w:r>
    </w:p>
    <w:p w14:paraId="249624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年初预算为32.48万元，支出决算为102.67万元，完成年初预算的</w:t>
      </w:r>
      <w:r>
        <w:rPr>
          <w:rFonts w:hint="eastAsia" w:ascii="Times New Roman" w:hAnsi="Times New Roman" w:eastAsia="仿宋_GB2312" w:cs="Times New Roman"/>
          <w:sz w:val="32"/>
          <w:szCs w:val="32"/>
          <w:lang w:val="en-US" w:eastAsia="zh-CN"/>
        </w:rPr>
        <w:t>316.10</w:t>
      </w:r>
      <w:r>
        <w:rPr>
          <w:rFonts w:hint="eastAsia" w:ascii="Times New Roman" w:hAnsi="Times New Roman" w:eastAsia="仿宋_GB2312" w:cs="Times New Roman"/>
          <w:sz w:val="32"/>
          <w:szCs w:val="32"/>
        </w:rPr>
        <w:t>%，决算数大于年初预算数的主要原因是：年中追加湘财社指〔2025〕4号第17届残奥会奖金</w:t>
      </w:r>
      <w:r>
        <w:rPr>
          <w:rFonts w:hint="eastAsia" w:ascii="Times New Roman" w:hAnsi="Times New Roman" w:eastAsia="仿宋_GB2312" w:cs="Times New Roman"/>
          <w:sz w:val="32"/>
          <w:szCs w:val="32"/>
          <w:lang w:eastAsia="zh-CN"/>
        </w:rPr>
        <w:t>、2024年巴黎残奥会奖励资金</w:t>
      </w:r>
      <w:r>
        <w:rPr>
          <w:rFonts w:hint="eastAsia" w:ascii="Times New Roman" w:hAnsi="Times New Roman" w:eastAsia="仿宋_GB2312" w:cs="Times New Roman"/>
          <w:sz w:val="32"/>
          <w:szCs w:val="32"/>
        </w:rPr>
        <w:t>。</w:t>
      </w:r>
    </w:p>
    <w:p w14:paraId="6A7EF0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9、社会保障和就业支出（类）残疾人事业（款）其他残疾人事业支出（项）。</w:t>
      </w:r>
    </w:p>
    <w:p w14:paraId="34F64C5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年初预算为168.2</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万元，支出决算为188.18万元，完成年初预算的</w:t>
      </w:r>
      <w:r>
        <w:rPr>
          <w:rFonts w:hint="eastAsia" w:ascii="Times New Roman" w:hAnsi="Times New Roman" w:eastAsia="仿宋_GB2312" w:cs="Times New Roman"/>
          <w:sz w:val="32"/>
          <w:szCs w:val="32"/>
          <w:lang w:val="en-US" w:eastAsia="zh-CN"/>
        </w:rPr>
        <w:t>111.88</w:t>
      </w:r>
      <w:r>
        <w:rPr>
          <w:rFonts w:hint="eastAsia" w:ascii="Times New Roman" w:hAnsi="Times New Roman" w:eastAsia="仿宋_GB2312" w:cs="Times New Roman"/>
          <w:sz w:val="32"/>
          <w:szCs w:val="32"/>
        </w:rPr>
        <w:t>%，决算数大于年初预算数的主要原因是：怀化市残疾人托养康复中心建设项目经费由本级财政统筹安排预算；根据决算编制要求调整残疾人事业发展专项项目支出功能科目</w:t>
      </w:r>
      <w:r>
        <w:rPr>
          <w:rFonts w:hint="eastAsia" w:ascii="Times New Roman" w:hAnsi="Times New Roman" w:eastAsia="仿宋_GB2312" w:cs="Times New Roman"/>
          <w:sz w:val="32"/>
          <w:szCs w:val="32"/>
          <w:lang w:eastAsia="zh-CN"/>
        </w:rPr>
        <w:t>；2025年按财政实际下达预算拨付款项。</w:t>
      </w:r>
    </w:p>
    <w:p w14:paraId="55CF12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、卫生健康支出（类）行政事业单位医疗（款）行政单位医疗（项）。</w:t>
      </w:r>
    </w:p>
    <w:p w14:paraId="1EFAC69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年初预算为10.98万元，支出决算为11.46万元，完成年初预算的</w:t>
      </w:r>
      <w:r>
        <w:rPr>
          <w:rFonts w:hint="eastAsia" w:ascii="Times New Roman" w:hAnsi="Times New Roman" w:eastAsia="仿宋_GB2312" w:cs="Times New Roman"/>
          <w:sz w:val="32"/>
          <w:szCs w:val="32"/>
          <w:lang w:val="en-US" w:eastAsia="zh-CN"/>
        </w:rPr>
        <w:t>104.37</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职工基本医疗保险缴费支出</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rPr>
        <w:t>。</w:t>
      </w:r>
    </w:p>
    <w:p w14:paraId="6D74DE3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、卫生健康支出（类）医疗救助（款）其他医疗救助支出（项）。</w:t>
      </w:r>
    </w:p>
    <w:p w14:paraId="1957B0B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年中追加职工大病医疗救助</w:t>
      </w:r>
      <w:r>
        <w:rPr>
          <w:rFonts w:hint="eastAsia" w:ascii="Times New Roman" w:hAnsi="Times New Roman" w:eastAsia="仿宋_GB2312" w:cs="Times New Roman"/>
          <w:sz w:val="32"/>
          <w:szCs w:val="32"/>
        </w:rPr>
        <w:t>。</w:t>
      </w:r>
    </w:p>
    <w:p w14:paraId="28DC853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、住房保障支出（类）住房改革支出（款）住房公积金（项）。</w:t>
      </w:r>
    </w:p>
    <w:p w14:paraId="12866C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22.70</w:t>
      </w:r>
      <w:r>
        <w:rPr>
          <w:rFonts w:hint="eastAsia" w:ascii="Times New Roman" w:hAnsi="Times New Roman" w:eastAsia="仿宋_GB2312" w:cs="Times New Roman"/>
          <w:sz w:val="32"/>
          <w:szCs w:val="32"/>
        </w:rPr>
        <w:t>万元，支出决算为24.98万元，完成年初预算的</w:t>
      </w:r>
      <w:r>
        <w:rPr>
          <w:rFonts w:hint="eastAsia" w:ascii="Times New Roman" w:hAnsi="Times New Roman" w:eastAsia="仿宋_GB2312" w:cs="Times New Roman"/>
          <w:sz w:val="32"/>
          <w:szCs w:val="32"/>
          <w:lang w:val="en-US" w:eastAsia="zh-CN"/>
        </w:rPr>
        <w:t>110.04</w:t>
      </w:r>
      <w:r>
        <w:rPr>
          <w:rFonts w:hint="eastAsia" w:ascii="Times New Roman" w:hAnsi="Times New Roman" w:eastAsia="仿宋_GB2312" w:cs="Times New Roman"/>
          <w:sz w:val="32"/>
          <w:szCs w:val="32"/>
        </w:rPr>
        <w:t>%，决算数大于年初预算数的主要原因是：财政配套住房公积金支出增加。</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353.5</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314.62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其他工资福利支出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退休费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38.96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11.02</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91.70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降低9.33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本年度车辆运行维护费支出减少</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12.50</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怀化市残疾人联合会</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12.50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17.86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残联业务工作接待支出增加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县市区残联对接工作</w:t>
      </w:r>
      <w:r>
        <w:rPr>
          <w:rFonts w:ascii="Times New Roman" w:hAnsi="Times New Roman" w:eastAsia="仿宋_GB2312" w:cs="Times New Roman"/>
          <w:sz w:val="32"/>
          <w:szCs w:val="32"/>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338C5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年度政府性基金预算财政拨款收入0万元；年初结转和结余0万元；支出0万元，其中基本支出0万元，项目支出0万元；年末结转和结余0万元。本单位无政府性基金收支。</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D8F79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38</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96</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5.31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工会经费支出增加。</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F1821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全市残联工作</w:t>
      </w:r>
      <w:r>
        <w:rPr>
          <w:rFonts w:ascii="Times New Roman" w:hAnsi="Times New Roman" w:eastAsia="仿宋_GB2312" w:cs="Times New Roman"/>
          <w:sz w:val="32"/>
          <w:szCs w:val="32"/>
        </w:rPr>
        <w:t>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46</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学习传达省残联八届主席团三次会议和全省残联工作会议精神，全省残联系统党风廉政建设工作会议精神，总结和部署全市残联工作</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省残联来怀调研座谈</w:t>
      </w:r>
      <w:r>
        <w:rPr>
          <w:rFonts w:ascii="Times New Roman" w:hAnsi="Times New Roman" w:eastAsia="仿宋_GB2312" w:cs="Times New Roman"/>
          <w:sz w:val="32"/>
          <w:szCs w:val="32"/>
        </w:rPr>
        <w:t>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省残联一行来怀开展调研工作</w:t>
      </w:r>
      <w:r>
        <w:rPr>
          <w:rFonts w:hint="eastAsia" w:ascii="Times New Roman" w:hAnsi="Times New Roman" w:eastAsia="仿宋_GB2312" w:cs="Times New Roman"/>
          <w:sz w:val="32"/>
          <w:szCs w:val="32"/>
          <w:highlight w:val="none"/>
          <w:lang w:val="en-US" w:eastAsia="zh-CN"/>
        </w:rPr>
        <w:t>。</w:t>
      </w:r>
    </w:p>
    <w:p w14:paraId="5CA2BAA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2025年本部门</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38</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全市</w:t>
      </w:r>
      <w:r>
        <w:rPr>
          <w:rFonts w:hint="eastAsia" w:ascii="Times New Roman" w:hAnsi="Times New Roman" w:eastAsia="仿宋_GB2312" w:cs="Times New Roman"/>
          <w:sz w:val="32"/>
          <w:szCs w:val="32"/>
          <w:lang w:val="en-US" w:eastAsia="zh-CN"/>
        </w:rPr>
        <w:t>宣传员</w:t>
      </w:r>
      <w:r>
        <w:rPr>
          <w:rFonts w:ascii="Times New Roman" w:hAnsi="Times New Roman" w:eastAsia="仿宋_GB2312" w:cs="Times New Roman"/>
          <w:sz w:val="32"/>
          <w:szCs w:val="32"/>
        </w:rPr>
        <w:t>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学习必备技能</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2025年全市残联系统乡村振兴等重点业务工作培训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内容为各县市区残联汇报2025年以来重点工作落实情况，市残联党组成员、副理事长就分管领域重点工作进行业务培训</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1.85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无障碍环境建设省级骨干培训班培训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w:t>
      </w:r>
      <w:r>
        <w:rPr>
          <w:rFonts w:hint="eastAsia" w:ascii="Times New Roman" w:hAnsi="Times New Roman" w:eastAsia="仿宋_GB2312" w:cs="Times New Roman"/>
          <w:sz w:val="32"/>
          <w:szCs w:val="32"/>
          <w:highlight w:val="none"/>
          <w:lang w:val="en-US" w:eastAsia="zh-CN"/>
        </w:rPr>
        <w:t>为学习《无障碍环境建设法》及案例分享，无障碍环境体验技术体系及案例解析，无障碍规范解析和实践，建筑无障碍技术要点与实例解析，无障碍督导体验重点和分析，无障碍环境体验实操讲解等</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0.10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rPr>
        <w:t>自助互助康复</w:t>
      </w:r>
      <w:r>
        <w:rPr>
          <w:rFonts w:ascii="Times New Roman" w:hAnsi="Times New Roman" w:eastAsia="仿宋_GB2312" w:cs="Times New Roman"/>
          <w:color w:val="auto"/>
          <w:sz w:val="32"/>
          <w:szCs w:val="32"/>
        </w:rPr>
        <w:t>培训，</w:t>
      </w:r>
      <w:r>
        <w:rPr>
          <w:rFonts w:ascii="Times New Roman" w:hAnsi="Times New Roman" w:eastAsia="仿宋_GB2312" w:cs="Times New Roman"/>
          <w:color w:val="auto"/>
          <w:sz w:val="32"/>
          <w:szCs w:val="32"/>
          <w:highlight w:val="none"/>
        </w:rPr>
        <w:t>人数</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人，内容为</w:t>
      </w:r>
      <w:r>
        <w:rPr>
          <w:rFonts w:hint="eastAsia" w:ascii="Times New Roman" w:hAnsi="Times New Roman" w:eastAsia="仿宋_GB2312" w:cs="Times New Roman"/>
          <w:color w:val="auto"/>
          <w:sz w:val="32"/>
          <w:szCs w:val="32"/>
          <w:highlight w:val="none"/>
        </w:rPr>
        <w:t>成年智力障碍者</w:t>
      </w:r>
      <w:r>
        <w:rPr>
          <w:rFonts w:hint="eastAsia" w:ascii="Times New Roman" w:hAnsi="Times New Roman" w:eastAsia="仿宋_GB2312" w:cs="Times New Roman"/>
          <w:color w:val="auto"/>
          <w:sz w:val="32"/>
          <w:szCs w:val="32"/>
          <w:highlight w:val="none"/>
          <w:lang w:val="en-US" w:eastAsia="zh-CN"/>
        </w:rPr>
        <w:t>及脊髓损伤者自助互助康复培训</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5.27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2025年全市残联系统康复管理人员及专业技术人员培训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1、康复管理人员培训包括残疾人自助互助康复业务培训，科技助残解读、康复事业统计培训，工作交流，2、智力、孤独症康复专业人员培训包括智障儿童综合主题教学的设计与实施，儿童康复机构日常安全管理，孤独症儿童感知运动课程与训练、孤独症儿童常规阶段基本学习内容，3、肢体康复专业人员培训包括康复患儿的综合管理，脊柱侧弯与体态问题的评估、脊柱侧弯的运动治疗，脑瘫档案书写、机构星级评定工作讲解，痉挛性脑瘫的治疗策略</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19.95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盲人按摩提升培训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讲解骨骼系统、肌肉系统、神经系统，神经定位诊断，颈椎病精讲，关节松动技术的手法要领等</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7.40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残疾人新媒体电商新业态培训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新媒体运营及直播带货、短视频拍摄与制作</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2025年残疾人乡村振兴人才培育培训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精准实施乡村振兴建设，乡村创业流程与方法，数字化浪潮下的乡村创业AI工具应用，农产品短视频和直播方法与技巧。</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2025年本部门未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EBFEE2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357.88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357.88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49.77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残疾人康复</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Regular" w:hAnsi="Times New Roman Regular" w:eastAsia="仿宋" w:cs="Times New Roman Regular"/>
          <w:color w:val="auto"/>
          <w:sz w:val="32"/>
          <w:szCs w:val="32"/>
          <w:highlight w:val="none"/>
          <w:lang w:val="en-US" w:eastAsia="zh-CN"/>
        </w:rPr>
        <w:t>24.31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216.21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59.12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95.77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在市委、市政府的坚强领导和省残联的关心指导下，怀化市残联持续推进残疾人事业“十四五”规划实施，不断完善残疾人社会保障制度和关爱服务体系，各项目标任务有序推进，两项民生实事项目超额提前完成任务，超额率排全省前列；全省困难重度残疾人集中照护工作现场经验推介会在怀化召开；在省残疾人教育就业会上作残疾人送教上门典型发言；怀化籍运动员在第十二届全国残运会暨第九届特殊奥林匹克运动会上获得15金12银6铜，金牌数和总奖牌数均位列全省第二，另外还在2025年全国残疾人游泳、田径、柔道锦标赛上获金牌7枚，2024年度全市党建述职被评为“优秀”等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年初编制的预算不够精确，年内预算调整较大</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着力增强预算编制的全面性、准确性，强化预算执行的严肃性。对年初没有预算安排的支出原则上不安排支出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加强预算绩效管理。进一步加强单位的预算资金管理，减少预算资金使用的随意性，对预算的事前、事中、事后进行全过程控制，加大对预算编制与执行的监督管理力度，提高预算资金使用效率</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残疾人康复</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25.27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24.31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96.20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99.62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发现的主要问题</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原因</w:t>
      </w:r>
      <w:r>
        <w:rPr>
          <w:rFonts w:hint="eastAsia" w:ascii="Times New Roman" w:hAnsi="Times New Roman" w:eastAsia="仿宋_GB2312" w:cs="Times New Roman"/>
          <w:sz w:val="32"/>
          <w:szCs w:val="32"/>
          <w:lang w:val="en-US" w:eastAsia="zh-CN"/>
        </w:rPr>
        <w:t>及下一步工作措施</w:t>
      </w:r>
      <w:r>
        <w:rPr>
          <w:rFonts w:ascii="Times New Roman" w:hAnsi="Times New Roman" w:eastAsia="仿宋_GB2312" w:cs="Times New Roman"/>
          <w:kern w:val="0"/>
          <w:sz w:val="32"/>
          <w:szCs w:val="32"/>
        </w:rPr>
        <w:t>。</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绩效自评结果可以进一步规范财政资金管理，强化部门绩效和责任意识，切实提高财政资金使用效益，同时编制下一年的部门预算可以参考绩效自评结果，以提高预算编制的精准性。绩效自评结果按照财政要求及时公开</w:t>
      </w:r>
      <w:r>
        <w:rPr>
          <w:rFonts w:hint="eastAsia" w:ascii="Times New Roman" w:hAnsi="Times New Roman" w:eastAsia="仿宋_GB2312" w:cs="Times New Roman"/>
          <w:color w:val="auto"/>
          <w:sz w:val="32"/>
          <w:szCs w:val="32"/>
          <w:lang w:eastAsia="zh-CN"/>
        </w:rPr>
        <w:t>。</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4E182289">
      <w:pPr>
        <w:pStyle w:val="12"/>
        <w:spacing w:line="360" w:lineRule="auto"/>
        <w:jc w:val="center"/>
        <w:rPr>
          <w:rFonts w:ascii="Times New Roman" w:hAnsi="Times New Roman" w:eastAsia="方正小标宋_GBK" w:cs="Times New Roman"/>
          <w:sz w:val="52"/>
          <w:szCs w:val="52"/>
        </w:rPr>
      </w:pPr>
    </w:p>
    <w:p w14:paraId="1E4BD735">
      <w:pPr>
        <w:pStyle w:val="12"/>
        <w:spacing w:line="360" w:lineRule="auto"/>
        <w:jc w:val="center"/>
        <w:rPr>
          <w:rFonts w:ascii="Times New Roman" w:hAnsi="Times New Roman" w:eastAsia="方正小标宋_GBK" w:cs="Times New Roman"/>
          <w:sz w:val="52"/>
          <w:szCs w:val="52"/>
        </w:rPr>
      </w:pPr>
    </w:p>
    <w:p w14:paraId="0B92276D">
      <w:pPr>
        <w:pStyle w:val="12"/>
        <w:spacing w:line="360" w:lineRule="auto"/>
        <w:jc w:val="center"/>
        <w:rPr>
          <w:rFonts w:ascii="Times New Roman" w:hAnsi="Times New Roman" w:eastAsia="方正小标宋_GBK" w:cs="Times New Roman"/>
          <w:sz w:val="52"/>
          <w:szCs w:val="52"/>
        </w:rPr>
      </w:pPr>
    </w:p>
    <w:p w14:paraId="297CF17C">
      <w:pPr>
        <w:pStyle w:val="12"/>
        <w:spacing w:line="360" w:lineRule="auto"/>
        <w:jc w:val="center"/>
        <w:rPr>
          <w:rFonts w:ascii="Times New Roman" w:hAnsi="Times New Roman" w:eastAsia="方正小标宋_GBK" w:cs="Times New Roman"/>
          <w:sz w:val="52"/>
          <w:szCs w:val="52"/>
        </w:rPr>
      </w:pPr>
    </w:p>
    <w:p w14:paraId="647A87BC">
      <w:pPr>
        <w:pStyle w:val="12"/>
        <w:spacing w:line="360" w:lineRule="auto"/>
        <w:jc w:val="center"/>
        <w:rPr>
          <w:rFonts w:ascii="Times New Roman" w:hAnsi="Times New Roman" w:eastAsia="方正小标宋_GBK" w:cs="Times New Roman"/>
          <w:sz w:val="52"/>
          <w:szCs w:val="52"/>
        </w:rPr>
      </w:pPr>
    </w:p>
    <w:p w14:paraId="7BBCA145">
      <w:pPr>
        <w:pStyle w:val="12"/>
        <w:spacing w:line="360" w:lineRule="auto"/>
        <w:jc w:val="center"/>
        <w:rPr>
          <w:rFonts w:ascii="Times New Roman" w:hAnsi="Times New Roman" w:eastAsia="方正小标宋_GBK" w:cs="Times New Roman"/>
          <w:sz w:val="52"/>
          <w:szCs w:val="52"/>
        </w:rPr>
      </w:pPr>
    </w:p>
    <w:p w14:paraId="1C5A4094">
      <w:pPr>
        <w:pStyle w:val="12"/>
        <w:spacing w:line="360" w:lineRule="auto"/>
        <w:jc w:val="center"/>
        <w:rPr>
          <w:rFonts w:ascii="Times New Roman" w:hAnsi="Times New Roman" w:eastAsia="方正小标宋_GBK" w:cs="Times New Roman"/>
          <w:sz w:val="52"/>
          <w:szCs w:val="52"/>
        </w:rPr>
      </w:pPr>
    </w:p>
    <w:p w14:paraId="40B07E86">
      <w:pPr>
        <w:pStyle w:val="12"/>
        <w:spacing w:line="360" w:lineRule="auto"/>
        <w:jc w:val="center"/>
        <w:rPr>
          <w:rFonts w:ascii="Times New Roman" w:hAnsi="Times New Roman" w:eastAsia="方正小标宋_GBK" w:cs="Times New Roman"/>
          <w:sz w:val="52"/>
          <w:szCs w:val="52"/>
        </w:rPr>
      </w:pPr>
    </w:p>
    <w:p w14:paraId="66453C38">
      <w:pPr>
        <w:pStyle w:val="12"/>
        <w:spacing w:line="360" w:lineRule="auto"/>
        <w:jc w:val="center"/>
        <w:rPr>
          <w:rFonts w:ascii="Times New Roman" w:hAnsi="Times New Roman" w:eastAsia="方正小标宋_GBK" w:cs="Times New Roman"/>
          <w:sz w:val="52"/>
          <w:szCs w:val="52"/>
        </w:rPr>
      </w:pPr>
    </w:p>
    <w:p w14:paraId="6D4746AA">
      <w:pPr>
        <w:pStyle w:val="12"/>
        <w:spacing w:line="360" w:lineRule="auto"/>
        <w:jc w:val="center"/>
        <w:rPr>
          <w:rFonts w:ascii="Times New Roman" w:hAnsi="Times New Roman" w:eastAsia="方正小标宋_GBK" w:cs="Times New Roman"/>
          <w:sz w:val="52"/>
          <w:szCs w:val="52"/>
        </w:rPr>
      </w:pPr>
    </w:p>
    <w:p w14:paraId="70FB72A6">
      <w:pPr>
        <w:pStyle w:val="12"/>
        <w:spacing w:line="360" w:lineRule="auto"/>
        <w:jc w:val="center"/>
        <w:rPr>
          <w:rFonts w:ascii="Times New Roman" w:hAnsi="Times New Roman" w:eastAsia="方正小标宋_GBK" w:cs="Times New Roman"/>
          <w:sz w:val="52"/>
          <w:szCs w:val="52"/>
        </w:rPr>
      </w:pPr>
    </w:p>
    <w:p w14:paraId="33A288A1">
      <w:pPr>
        <w:pStyle w:val="12"/>
        <w:spacing w:line="360" w:lineRule="auto"/>
        <w:jc w:val="center"/>
        <w:rPr>
          <w:rFonts w:ascii="Times New Roman" w:hAnsi="Times New Roman" w:eastAsia="方正小标宋_GBK" w:cs="Times New Roman"/>
          <w:sz w:val="52"/>
          <w:szCs w:val="52"/>
        </w:rPr>
      </w:pPr>
    </w:p>
    <w:p w14:paraId="3E71563C">
      <w:pPr>
        <w:pStyle w:val="12"/>
        <w:spacing w:line="360" w:lineRule="auto"/>
        <w:jc w:val="center"/>
        <w:rPr>
          <w:rFonts w:ascii="Times New Roman" w:hAnsi="Times New Roman" w:eastAsia="方正小标宋_GBK" w:cs="Times New Roman"/>
          <w:sz w:val="52"/>
          <w:szCs w:val="52"/>
        </w:rPr>
      </w:pPr>
    </w:p>
    <w:p w14:paraId="73AF5F90">
      <w:pPr>
        <w:pStyle w:val="12"/>
        <w:spacing w:line="360" w:lineRule="auto"/>
        <w:jc w:val="center"/>
        <w:rPr>
          <w:rFonts w:ascii="Times New Roman" w:hAnsi="Times New Roman" w:eastAsia="方正小标宋_GBK" w:cs="Times New Roman"/>
          <w:sz w:val="52"/>
          <w:szCs w:val="52"/>
        </w:rPr>
      </w:pPr>
    </w:p>
    <w:p w14:paraId="7973392F">
      <w:pPr>
        <w:pStyle w:val="12"/>
        <w:spacing w:line="360" w:lineRule="auto"/>
        <w:jc w:val="center"/>
        <w:rPr>
          <w:rFonts w:ascii="Times New Roman" w:hAnsi="Times New Roman" w:eastAsia="方正小标宋_GBK" w:cs="Times New Roman"/>
          <w:sz w:val="52"/>
          <w:szCs w:val="52"/>
        </w:rPr>
      </w:pPr>
    </w:p>
    <w:p w14:paraId="76880BD8">
      <w:pPr>
        <w:pStyle w:val="12"/>
        <w:spacing w:line="360" w:lineRule="auto"/>
        <w:jc w:val="center"/>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怀化市残疾人联合会</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怀化市残疾人联合会</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B462F"/>
    <w:rsid w:val="00FE16FA"/>
    <w:rsid w:val="00FE328A"/>
    <w:rsid w:val="00FE6269"/>
    <w:rsid w:val="00FF5CD6"/>
    <w:rsid w:val="012B4701"/>
    <w:rsid w:val="02873320"/>
    <w:rsid w:val="02CB3B34"/>
    <w:rsid w:val="02FF5E45"/>
    <w:rsid w:val="030376E3"/>
    <w:rsid w:val="032558AB"/>
    <w:rsid w:val="03FE7EAB"/>
    <w:rsid w:val="04567CE7"/>
    <w:rsid w:val="04741368"/>
    <w:rsid w:val="04B05B7C"/>
    <w:rsid w:val="04C609C8"/>
    <w:rsid w:val="04DD3090"/>
    <w:rsid w:val="04E452F2"/>
    <w:rsid w:val="04E470A0"/>
    <w:rsid w:val="05502988"/>
    <w:rsid w:val="055204AE"/>
    <w:rsid w:val="057523EE"/>
    <w:rsid w:val="05B25F1A"/>
    <w:rsid w:val="05F504EE"/>
    <w:rsid w:val="06473D8B"/>
    <w:rsid w:val="06C278B5"/>
    <w:rsid w:val="06CA3863"/>
    <w:rsid w:val="07225ECD"/>
    <w:rsid w:val="072E6CF9"/>
    <w:rsid w:val="07310D24"/>
    <w:rsid w:val="07372051"/>
    <w:rsid w:val="075449B1"/>
    <w:rsid w:val="07DB478B"/>
    <w:rsid w:val="07EA70C4"/>
    <w:rsid w:val="07F817E1"/>
    <w:rsid w:val="083130B2"/>
    <w:rsid w:val="083640B7"/>
    <w:rsid w:val="08517F8B"/>
    <w:rsid w:val="08AB4BF2"/>
    <w:rsid w:val="08F0070A"/>
    <w:rsid w:val="09201577"/>
    <w:rsid w:val="0926412B"/>
    <w:rsid w:val="092A6EDD"/>
    <w:rsid w:val="093A2F7C"/>
    <w:rsid w:val="09532A47"/>
    <w:rsid w:val="0A6E5D8A"/>
    <w:rsid w:val="0A732EFB"/>
    <w:rsid w:val="0A805ABD"/>
    <w:rsid w:val="0A8A693C"/>
    <w:rsid w:val="0ADB0F46"/>
    <w:rsid w:val="0AF64C86"/>
    <w:rsid w:val="0B0D0BD3"/>
    <w:rsid w:val="0B596481"/>
    <w:rsid w:val="0B923CFA"/>
    <w:rsid w:val="0BE65DF4"/>
    <w:rsid w:val="0C460641"/>
    <w:rsid w:val="0C873133"/>
    <w:rsid w:val="0C8A49D1"/>
    <w:rsid w:val="0C8C0749"/>
    <w:rsid w:val="0D8B27AF"/>
    <w:rsid w:val="0E341099"/>
    <w:rsid w:val="0E377A47"/>
    <w:rsid w:val="0E455054"/>
    <w:rsid w:val="0ED463D8"/>
    <w:rsid w:val="0F2033CB"/>
    <w:rsid w:val="0F3A0931"/>
    <w:rsid w:val="0F83329A"/>
    <w:rsid w:val="0FCC70AF"/>
    <w:rsid w:val="10042CED"/>
    <w:rsid w:val="100D7DF3"/>
    <w:rsid w:val="103332B1"/>
    <w:rsid w:val="10516B8B"/>
    <w:rsid w:val="106D4AF0"/>
    <w:rsid w:val="10B4026F"/>
    <w:rsid w:val="10C20BDE"/>
    <w:rsid w:val="10DB4EBB"/>
    <w:rsid w:val="111B209C"/>
    <w:rsid w:val="11B93718"/>
    <w:rsid w:val="11D31A19"/>
    <w:rsid w:val="11EB4164"/>
    <w:rsid w:val="12906AB9"/>
    <w:rsid w:val="13432B9A"/>
    <w:rsid w:val="13C46A1B"/>
    <w:rsid w:val="13E64393"/>
    <w:rsid w:val="14922675"/>
    <w:rsid w:val="14AB7BDB"/>
    <w:rsid w:val="15542020"/>
    <w:rsid w:val="15766F10"/>
    <w:rsid w:val="159A3989"/>
    <w:rsid w:val="15B12FCF"/>
    <w:rsid w:val="16041350"/>
    <w:rsid w:val="169A3A63"/>
    <w:rsid w:val="16DC22CD"/>
    <w:rsid w:val="171E28E6"/>
    <w:rsid w:val="1720040C"/>
    <w:rsid w:val="175723F4"/>
    <w:rsid w:val="175B7696"/>
    <w:rsid w:val="17F62E6C"/>
    <w:rsid w:val="18475E6C"/>
    <w:rsid w:val="184B14B9"/>
    <w:rsid w:val="18982249"/>
    <w:rsid w:val="18ED07C2"/>
    <w:rsid w:val="18ED2570"/>
    <w:rsid w:val="192835A8"/>
    <w:rsid w:val="19467ED2"/>
    <w:rsid w:val="194D237F"/>
    <w:rsid w:val="19704F4F"/>
    <w:rsid w:val="19966E0F"/>
    <w:rsid w:val="1A057D8D"/>
    <w:rsid w:val="1A450189"/>
    <w:rsid w:val="1A4A1B64"/>
    <w:rsid w:val="1A4C1518"/>
    <w:rsid w:val="1A512FD2"/>
    <w:rsid w:val="1A5403CD"/>
    <w:rsid w:val="1AAC0209"/>
    <w:rsid w:val="1ACC4407"/>
    <w:rsid w:val="1B8D3B96"/>
    <w:rsid w:val="1C073948"/>
    <w:rsid w:val="1C940F54"/>
    <w:rsid w:val="1CD203FA"/>
    <w:rsid w:val="1CD66224"/>
    <w:rsid w:val="1D156539"/>
    <w:rsid w:val="1D6848BB"/>
    <w:rsid w:val="1D813BCE"/>
    <w:rsid w:val="1D97DEFF"/>
    <w:rsid w:val="1DDC7057"/>
    <w:rsid w:val="1DEA3522"/>
    <w:rsid w:val="1DF60118"/>
    <w:rsid w:val="1DFF72E5"/>
    <w:rsid w:val="1E032835"/>
    <w:rsid w:val="1E1405E7"/>
    <w:rsid w:val="1E1467F1"/>
    <w:rsid w:val="1E805C34"/>
    <w:rsid w:val="1E9B2A6E"/>
    <w:rsid w:val="1EC73863"/>
    <w:rsid w:val="1EFC6F07"/>
    <w:rsid w:val="1F2D1C55"/>
    <w:rsid w:val="1F3B3AC3"/>
    <w:rsid w:val="1F505606"/>
    <w:rsid w:val="1F533349"/>
    <w:rsid w:val="20346CD6"/>
    <w:rsid w:val="204314A8"/>
    <w:rsid w:val="205E01F7"/>
    <w:rsid w:val="206A094A"/>
    <w:rsid w:val="206D3F96"/>
    <w:rsid w:val="212208DA"/>
    <w:rsid w:val="212A1E87"/>
    <w:rsid w:val="215238B8"/>
    <w:rsid w:val="215F3F23"/>
    <w:rsid w:val="21681934"/>
    <w:rsid w:val="21731A80"/>
    <w:rsid w:val="21AB121A"/>
    <w:rsid w:val="21C3118C"/>
    <w:rsid w:val="22304CAA"/>
    <w:rsid w:val="223E124F"/>
    <w:rsid w:val="22511DC1"/>
    <w:rsid w:val="2266797F"/>
    <w:rsid w:val="22DD3655"/>
    <w:rsid w:val="22EC1AEA"/>
    <w:rsid w:val="232030F2"/>
    <w:rsid w:val="23713D9D"/>
    <w:rsid w:val="23735D67"/>
    <w:rsid w:val="237A5348"/>
    <w:rsid w:val="23A75A11"/>
    <w:rsid w:val="23F549CE"/>
    <w:rsid w:val="2419690F"/>
    <w:rsid w:val="24863878"/>
    <w:rsid w:val="24D13C4A"/>
    <w:rsid w:val="24F42ED8"/>
    <w:rsid w:val="25207829"/>
    <w:rsid w:val="25552AA0"/>
    <w:rsid w:val="2580651A"/>
    <w:rsid w:val="258B55EA"/>
    <w:rsid w:val="258E50DA"/>
    <w:rsid w:val="25DF1492"/>
    <w:rsid w:val="26211AAB"/>
    <w:rsid w:val="262A4E03"/>
    <w:rsid w:val="26325A66"/>
    <w:rsid w:val="265E2CFF"/>
    <w:rsid w:val="2674607E"/>
    <w:rsid w:val="27D52B4D"/>
    <w:rsid w:val="27FB16AD"/>
    <w:rsid w:val="283F090E"/>
    <w:rsid w:val="28435545"/>
    <w:rsid w:val="285717B4"/>
    <w:rsid w:val="28B60BD0"/>
    <w:rsid w:val="29341AF5"/>
    <w:rsid w:val="29915199"/>
    <w:rsid w:val="2A13795C"/>
    <w:rsid w:val="2A39337C"/>
    <w:rsid w:val="2A8105E2"/>
    <w:rsid w:val="2AA131BA"/>
    <w:rsid w:val="2AAB0EBC"/>
    <w:rsid w:val="2B083239"/>
    <w:rsid w:val="2B6C1A1A"/>
    <w:rsid w:val="2B807273"/>
    <w:rsid w:val="2C013BC2"/>
    <w:rsid w:val="2C815051"/>
    <w:rsid w:val="2CBC077F"/>
    <w:rsid w:val="2D3E73E6"/>
    <w:rsid w:val="2D485B6F"/>
    <w:rsid w:val="2D642184"/>
    <w:rsid w:val="2D8E5A2D"/>
    <w:rsid w:val="2DBB4A92"/>
    <w:rsid w:val="2E044DC1"/>
    <w:rsid w:val="2E0777D8"/>
    <w:rsid w:val="2E093550"/>
    <w:rsid w:val="2E5A1FFE"/>
    <w:rsid w:val="2E6609A2"/>
    <w:rsid w:val="2EA35999"/>
    <w:rsid w:val="2EF60594"/>
    <w:rsid w:val="2F0957D2"/>
    <w:rsid w:val="2F124686"/>
    <w:rsid w:val="2F2B5748"/>
    <w:rsid w:val="2F974B8C"/>
    <w:rsid w:val="2FDF85B8"/>
    <w:rsid w:val="2FFFEE04"/>
    <w:rsid w:val="30377F88"/>
    <w:rsid w:val="308C0468"/>
    <w:rsid w:val="310149B3"/>
    <w:rsid w:val="31244B45"/>
    <w:rsid w:val="31374878"/>
    <w:rsid w:val="313C1E8F"/>
    <w:rsid w:val="318A2BFA"/>
    <w:rsid w:val="318C0784"/>
    <w:rsid w:val="318F6462"/>
    <w:rsid w:val="31D40319"/>
    <w:rsid w:val="322C3CB1"/>
    <w:rsid w:val="325D20BC"/>
    <w:rsid w:val="32B65B01"/>
    <w:rsid w:val="32C40510"/>
    <w:rsid w:val="32C409AB"/>
    <w:rsid w:val="3321133C"/>
    <w:rsid w:val="333F5C66"/>
    <w:rsid w:val="33484B1B"/>
    <w:rsid w:val="33AF6948"/>
    <w:rsid w:val="33F24A86"/>
    <w:rsid w:val="34DF85B0"/>
    <w:rsid w:val="35035E5B"/>
    <w:rsid w:val="351A6043"/>
    <w:rsid w:val="3569521C"/>
    <w:rsid w:val="35926521"/>
    <w:rsid w:val="35C81F43"/>
    <w:rsid w:val="35ED46B6"/>
    <w:rsid w:val="35ED7BFB"/>
    <w:rsid w:val="36484E32"/>
    <w:rsid w:val="36CF7301"/>
    <w:rsid w:val="36DA1F2E"/>
    <w:rsid w:val="374E0226"/>
    <w:rsid w:val="37585548"/>
    <w:rsid w:val="378325C5"/>
    <w:rsid w:val="37A60062"/>
    <w:rsid w:val="380968DD"/>
    <w:rsid w:val="382B67B9"/>
    <w:rsid w:val="38445E31"/>
    <w:rsid w:val="387E2D8D"/>
    <w:rsid w:val="38D17360"/>
    <w:rsid w:val="38EE1CC0"/>
    <w:rsid w:val="390A4620"/>
    <w:rsid w:val="393D2C48"/>
    <w:rsid w:val="39556F51"/>
    <w:rsid w:val="39643D30"/>
    <w:rsid w:val="3971469F"/>
    <w:rsid w:val="397D1296"/>
    <w:rsid w:val="39900FC9"/>
    <w:rsid w:val="39D23390"/>
    <w:rsid w:val="3A0E1EEE"/>
    <w:rsid w:val="3A8D5509"/>
    <w:rsid w:val="3AA840F1"/>
    <w:rsid w:val="3AE01ADD"/>
    <w:rsid w:val="3AED7D56"/>
    <w:rsid w:val="3B3B4F65"/>
    <w:rsid w:val="3B444FFB"/>
    <w:rsid w:val="3B8F36BC"/>
    <w:rsid w:val="3BA26809"/>
    <w:rsid w:val="3BD57167"/>
    <w:rsid w:val="3BED0027"/>
    <w:rsid w:val="3BFD221A"/>
    <w:rsid w:val="3C100A4F"/>
    <w:rsid w:val="3C892C03"/>
    <w:rsid w:val="3CD61C4C"/>
    <w:rsid w:val="3D267223"/>
    <w:rsid w:val="3D801355"/>
    <w:rsid w:val="3D98044D"/>
    <w:rsid w:val="3DED69EA"/>
    <w:rsid w:val="3E015FF2"/>
    <w:rsid w:val="3E09134A"/>
    <w:rsid w:val="3E0C6080"/>
    <w:rsid w:val="3E0E070F"/>
    <w:rsid w:val="3E55633E"/>
    <w:rsid w:val="3E5A7DF8"/>
    <w:rsid w:val="3E5F71BC"/>
    <w:rsid w:val="3E7C147D"/>
    <w:rsid w:val="3E946E66"/>
    <w:rsid w:val="3EBF1A09"/>
    <w:rsid w:val="3EE55913"/>
    <w:rsid w:val="3F03352F"/>
    <w:rsid w:val="400022D9"/>
    <w:rsid w:val="414E3E91"/>
    <w:rsid w:val="415058B4"/>
    <w:rsid w:val="418A27A2"/>
    <w:rsid w:val="419D3F2B"/>
    <w:rsid w:val="41C31810"/>
    <w:rsid w:val="41DB1250"/>
    <w:rsid w:val="41FD4D22"/>
    <w:rsid w:val="42334BE8"/>
    <w:rsid w:val="42982C9D"/>
    <w:rsid w:val="42B31885"/>
    <w:rsid w:val="43BF488C"/>
    <w:rsid w:val="440A1978"/>
    <w:rsid w:val="44110F59"/>
    <w:rsid w:val="44427364"/>
    <w:rsid w:val="44531571"/>
    <w:rsid w:val="44965F1A"/>
    <w:rsid w:val="449A71A0"/>
    <w:rsid w:val="449B5BEB"/>
    <w:rsid w:val="44A139EE"/>
    <w:rsid w:val="44C1472D"/>
    <w:rsid w:val="44E126D9"/>
    <w:rsid w:val="44EB79FC"/>
    <w:rsid w:val="45EE77A4"/>
    <w:rsid w:val="46026DAB"/>
    <w:rsid w:val="46194606"/>
    <w:rsid w:val="46AC31BB"/>
    <w:rsid w:val="4707684D"/>
    <w:rsid w:val="471A7957"/>
    <w:rsid w:val="47596E9F"/>
    <w:rsid w:val="47637A0A"/>
    <w:rsid w:val="477D2F10"/>
    <w:rsid w:val="4792415F"/>
    <w:rsid w:val="47C307BC"/>
    <w:rsid w:val="47D74267"/>
    <w:rsid w:val="47EB386F"/>
    <w:rsid w:val="485E04E5"/>
    <w:rsid w:val="48A73C3A"/>
    <w:rsid w:val="48AB372A"/>
    <w:rsid w:val="48B620CF"/>
    <w:rsid w:val="48C7608A"/>
    <w:rsid w:val="490746D8"/>
    <w:rsid w:val="490B2EAF"/>
    <w:rsid w:val="491FF225"/>
    <w:rsid w:val="494D316B"/>
    <w:rsid w:val="495F0D2E"/>
    <w:rsid w:val="49B760FE"/>
    <w:rsid w:val="49DE7B2F"/>
    <w:rsid w:val="49E62540"/>
    <w:rsid w:val="49F66C27"/>
    <w:rsid w:val="4A113A61"/>
    <w:rsid w:val="4A145D12"/>
    <w:rsid w:val="4A38723F"/>
    <w:rsid w:val="4A547DF1"/>
    <w:rsid w:val="4ABB39CC"/>
    <w:rsid w:val="4AD36F68"/>
    <w:rsid w:val="4AFF7D5D"/>
    <w:rsid w:val="4B2E419E"/>
    <w:rsid w:val="4B38501D"/>
    <w:rsid w:val="4B7F2DA5"/>
    <w:rsid w:val="4BC82845"/>
    <w:rsid w:val="4BE62CCB"/>
    <w:rsid w:val="4C806C7C"/>
    <w:rsid w:val="4CB676CE"/>
    <w:rsid w:val="4D153868"/>
    <w:rsid w:val="4D3A0F31"/>
    <w:rsid w:val="4D5C4E4F"/>
    <w:rsid w:val="4D7353EA"/>
    <w:rsid w:val="4DB0533F"/>
    <w:rsid w:val="4DD94895"/>
    <w:rsid w:val="4EA56E6D"/>
    <w:rsid w:val="4EE01C53"/>
    <w:rsid w:val="4EEF00E8"/>
    <w:rsid w:val="4EFC6A7C"/>
    <w:rsid w:val="4F473A81"/>
    <w:rsid w:val="4F644633"/>
    <w:rsid w:val="4F714FA1"/>
    <w:rsid w:val="4F820F5D"/>
    <w:rsid w:val="4F895E47"/>
    <w:rsid w:val="4F9B5B7A"/>
    <w:rsid w:val="4FA113E3"/>
    <w:rsid w:val="4FA74392"/>
    <w:rsid w:val="4FFC0D0F"/>
    <w:rsid w:val="4FFD214C"/>
    <w:rsid w:val="501222E0"/>
    <w:rsid w:val="50281B04"/>
    <w:rsid w:val="50720FD1"/>
    <w:rsid w:val="50A418A0"/>
    <w:rsid w:val="50CF1F80"/>
    <w:rsid w:val="5164532F"/>
    <w:rsid w:val="51E77C7B"/>
    <w:rsid w:val="51F50BB6"/>
    <w:rsid w:val="52D40E84"/>
    <w:rsid w:val="53424C8B"/>
    <w:rsid w:val="53603363"/>
    <w:rsid w:val="537B0E37"/>
    <w:rsid w:val="53E977FC"/>
    <w:rsid w:val="53F02939"/>
    <w:rsid w:val="54901A26"/>
    <w:rsid w:val="54B319F0"/>
    <w:rsid w:val="54B971CF"/>
    <w:rsid w:val="54BD2ECD"/>
    <w:rsid w:val="54C3004D"/>
    <w:rsid w:val="54D2203E"/>
    <w:rsid w:val="54E83610"/>
    <w:rsid w:val="54F226E1"/>
    <w:rsid w:val="54F63F7F"/>
    <w:rsid w:val="54F75F49"/>
    <w:rsid w:val="55992B5C"/>
    <w:rsid w:val="55C71578"/>
    <w:rsid w:val="55DA73FC"/>
    <w:rsid w:val="56AC5F5C"/>
    <w:rsid w:val="56FC33A3"/>
    <w:rsid w:val="5712706A"/>
    <w:rsid w:val="575B7C3A"/>
    <w:rsid w:val="5777D4F5"/>
    <w:rsid w:val="58207565"/>
    <w:rsid w:val="58247055"/>
    <w:rsid w:val="58612DB0"/>
    <w:rsid w:val="58847AF3"/>
    <w:rsid w:val="58E862D4"/>
    <w:rsid w:val="5915074C"/>
    <w:rsid w:val="592B4A0E"/>
    <w:rsid w:val="596F4300"/>
    <w:rsid w:val="59CC52AE"/>
    <w:rsid w:val="59DD8326"/>
    <w:rsid w:val="5A0B7EF0"/>
    <w:rsid w:val="5A205D3C"/>
    <w:rsid w:val="5AB87F28"/>
    <w:rsid w:val="5AE20B01"/>
    <w:rsid w:val="5B0B26B5"/>
    <w:rsid w:val="5B157129"/>
    <w:rsid w:val="5B3E7729"/>
    <w:rsid w:val="5C401F83"/>
    <w:rsid w:val="5C5645CA"/>
    <w:rsid w:val="5C8400C2"/>
    <w:rsid w:val="5C91458D"/>
    <w:rsid w:val="5CBF734C"/>
    <w:rsid w:val="5CE56FC0"/>
    <w:rsid w:val="5D105DFA"/>
    <w:rsid w:val="5D7F0889"/>
    <w:rsid w:val="5D8660BC"/>
    <w:rsid w:val="5D9247C3"/>
    <w:rsid w:val="5DD93D2E"/>
    <w:rsid w:val="5DE74DAC"/>
    <w:rsid w:val="5DEF592A"/>
    <w:rsid w:val="5DFE41AE"/>
    <w:rsid w:val="5E0C65C1"/>
    <w:rsid w:val="5E1436C8"/>
    <w:rsid w:val="5E8E5228"/>
    <w:rsid w:val="5EEE216B"/>
    <w:rsid w:val="5F0B0627"/>
    <w:rsid w:val="5F296CFF"/>
    <w:rsid w:val="5F322057"/>
    <w:rsid w:val="5F593A88"/>
    <w:rsid w:val="5FC6BB1E"/>
    <w:rsid w:val="5FDC6467"/>
    <w:rsid w:val="5FF62959"/>
    <w:rsid w:val="5FF720F1"/>
    <w:rsid w:val="6017749F"/>
    <w:rsid w:val="60206AF9"/>
    <w:rsid w:val="6030345D"/>
    <w:rsid w:val="60563B24"/>
    <w:rsid w:val="60E1459E"/>
    <w:rsid w:val="61930DA7"/>
    <w:rsid w:val="624C4995"/>
    <w:rsid w:val="628A3F58"/>
    <w:rsid w:val="628D57F7"/>
    <w:rsid w:val="62DD052C"/>
    <w:rsid w:val="634B7B8C"/>
    <w:rsid w:val="637623B5"/>
    <w:rsid w:val="63A252D2"/>
    <w:rsid w:val="63A63014"/>
    <w:rsid w:val="63B141AA"/>
    <w:rsid w:val="63B75288"/>
    <w:rsid w:val="63D47B81"/>
    <w:rsid w:val="63FE2D33"/>
    <w:rsid w:val="6480250D"/>
    <w:rsid w:val="64C9520C"/>
    <w:rsid w:val="651F307E"/>
    <w:rsid w:val="653F727C"/>
    <w:rsid w:val="65640A91"/>
    <w:rsid w:val="65647C5B"/>
    <w:rsid w:val="65BD63F3"/>
    <w:rsid w:val="65BF03BD"/>
    <w:rsid w:val="65D200F0"/>
    <w:rsid w:val="66124991"/>
    <w:rsid w:val="662B7800"/>
    <w:rsid w:val="664B39FF"/>
    <w:rsid w:val="66CD08B8"/>
    <w:rsid w:val="67277FC8"/>
    <w:rsid w:val="67E73BFB"/>
    <w:rsid w:val="67FF5C0B"/>
    <w:rsid w:val="68091DC3"/>
    <w:rsid w:val="682B1D3A"/>
    <w:rsid w:val="683D4DCE"/>
    <w:rsid w:val="68580655"/>
    <w:rsid w:val="685F7C35"/>
    <w:rsid w:val="694A2693"/>
    <w:rsid w:val="69AB391E"/>
    <w:rsid w:val="69F34AD9"/>
    <w:rsid w:val="69F85C4B"/>
    <w:rsid w:val="6A503CD9"/>
    <w:rsid w:val="6AD06BC8"/>
    <w:rsid w:val="6B0B3764"/>
    <w:rsid w:val="6B2C02A3"/>
    <w:rsid w:val="6B454EC0"/>
    <w:rsid w:val="6B5275DD"/>
    <w:rsid w:val="6B737C7F"/>
    <w:rsid w:val="6BAE0CB8"/>
    <w:rsid w:val="6BD526E8"/>
    <w:rsid w:val="6BFF1513"/>
    <w:rsid w:val="6C3D16F7"/>
    <w:rsid w:val="6CC83FFB"/>
    <w:rsid w:val="6D192AA9"/>
    <w:rsid w:val="6D2F407A"/>
    <w:rsid w:val="6D720588"/>
    <w:rsid w:val="6E0E3C8F"/>
    <w:rsid w:val="6E184B0E"/>
    <w:rsid w:val="6E755ABD"/>
    <w:rsid w:val="6E8C2E06"/>
    <w:rsid w:val="6E900B48"/>
    <w:rsid w:val="6EB4324A"/>
    <w:rsid w:val="6EBA5BC5"/>
    <w:rsid w:val="6EFC0924"/>
    <w:rsid w:val="6F045092"/>
    <w:rsid w:val="6F305A7B"/>
    <w:rsid w:val="6F331CC9"/>
    <w:rsid w:val="6FA50623"/>
    <w:rsid w:val="6FB74722"/>
    <w:rsid w:val="6FEF8B7E"/>
    <w:rsid w:val="70521005"/>
    <w:rsid w:val="70AE175A"/>
    <w:rsid w:val="70B54896"/>
    <w:rsid w:val="70D72A5F"/>
    <w:rsid w:val="70FE448F"/>
    <w:rsid w:val="710B1A7B"/>
    <w:rsid w:val="714F4CEB"/>
    <w:rsid w:val="715262DC"/>
    <w:rsid w:val="71A6591B"/>
    <w:rsid w:val="71B903B6"/>
    <w:rsid w:val="71E81BD2"/>
    <w:rsid w:val="72021D5D"/>
    <w:rsid w:val="729A1F96"/>
    <w:rsid w:val="72DA4A88"/>
    <w:rsid w:val="72E254FD"/>
    <w:rsid w:val="733F6699"/>
    <w:rsid w:val="737D59BA"/>
    <w:rsid w:val="73E21E46"/>
    <w:rsid w:val="73F25E01"/>
    <w:rsid w:val="73FC27DC"/>
    <w:rsid w:val="7440173D"/>
    <w:rsid w:val="74940C67"/>
    <w:rsid w:val="74BF5CE3"/>
    <w:rsid w:val="753D4E5A"/>
    <w:rsid w:val="75422471"/>
    <w:rsid w:val="754B57C9"/>
    <w:rsid w:val="75866801"/>
    <w:rsid w:val="75A03D67"/>
    <w:rsid w:val="75B55338"/>
    <w:rsid w:val="75BA64AB"/>
    <w:rsid w:val="75C33E5B"/>
    <w:rsid w:val="75EF084A"/>
    <w:rsid w:val="75F33BEA"/>
    <w:rsid w:val="75F41852"/>
    <w:rsid w:val="75F47C0F"/>
    <w:rsid w:val="76065B94"/>
    <w:rsid w:val="7625426C"/>
    <w:rsid w:val="763E532E"/>
    <w:rsid w:val="76426BCC"/>
    <w:rsid w:val="76C515AB"/>
    <w:rsid w:val="770025E3"/>
    <w:rsid w:val="77C11D73"/>
    <w:rsid w:val="77C37683"/>
    <w:rsid w:val="77EC05FB"/>
    <w:rsid w:val="78322C70"/>
    <w:rsid w:val="78546D1C"/>
    <w:rsid w:val="786A240A"/>
    <w:rsid w:val="78E26444"/>
    <w:rsid w:val="79A27982"/>
    <w:rsid w:val="79B17BC5"/>
    <w:rsid w:val="79D19834"/>
    <w:rsid w:val="79FF515B"/>
    <w:rsid w:val="7A456C8B"/>
    <w:rsid w:val="7A5073DE"/>
    <w:rsid w:val="7A7A445B"/>
    <w:rsid w:val="7B116B6D"/>
    <w:rsid w:val="7B1448AF"/>
    <w:rsid w:val="7B7D2454"/>
    <w:rsid w:val="7BAB0D70"/>
    <w:rsid w:val="7BB155BC"/>
    <w:rsid w:val="7BC260B9"/>
    <w:rsid w:val="7BD227A0"/>
    <w:rsid w:val="7BF549BF"/>
    <w:rsid w:val="7C014E34"/>
    <w:rsid w:val="7C2154D6"/>
    <w:rsid w:val="7C5F1B5A"/>
    <w:rsid w:val="7CB023B6"/>
    <w:rsid w:val="7CB71996"/>
    <w:rsid w:val="7CD12A58"/>
    <w:rsid w:val="7CD460A4"/>
    <w:rsid w:val="7D0A41BC"/>
    <w:rsid w:val="7D1A1F06"/>
    <w:rsid w:val="7D5611AF"/>
    <w:rsid w:val="7D9F4904"/>
    <w:rsid w:val="7DBB54B6"/>
    <w:rsid w:val="7DC12ACC"/>
    <w:rsid w:val="7E156974"/>
    <w:rsid w:val="7E5C0A47"/>
    <w:rsid w:val="7E720CEC"/>
    <w:rsid w:val="7E8D0C00"/>
    <w:rsid w:val="7E9755DB"/>
    <w:rsid w:val="7E9E1962"/>
    <w:rsid w:val="7E9F11B4"/>
    <w:rsid w:val="7F364DF4"/>
    <w:rsid w:val="7F37EC1E"/>
    <w:rsid w:val="7F58120E"/>
    <w:rsid w:val="7F7DCD9D"/>
    <w:rsid w:val="7F9452D1"/>
    <w:rsid w:val="7F970A6F"/>
    <w:rsid w:val="7FC1FFF3"/>
    <w:rsid w:val="7FC69637"/>
    <w:rsid w:val="7FDF106F"/>
    <w:rsid w:val="7FDF8620"/>
    <w:rsid w:val="7FE8C8F7"/>
    <w:rsid w:val="7FF37189"/>
    <w:rsid w:val="7FFB242F"/>
    <w:rsid w:val="7FFDB408"/>
    <w:rsid w:val="7FFE4EEB"/>
    <w:rsid w:val="95FB2B98"/>
    <w:rsid w:val="9A639BC2"/>
    <w:rsid w:val="9BFA491D"/>
    <w:rsid w:val="9FF7D786"/>
    <w:rsid w:val="ABBFB23D"/>
    <w:rsid w:val="B6AFFE39"/>
    <w:rsid w:val="BF1EF734"/>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dd5e75d8-51a2-45ec-b25e-5aa202564393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736FBB2E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bc5e4307-e06c-409d-8ace-02f194bb855e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6F0826F1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aa933c23-0a09-438f-b39d-18856513f209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28A9AE05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c4b9da8e-fbe3-4043-bf0c-2ec50827920a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643BF1E8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efbd3619-7afe-4c2b-bf0e-381fbaf6db8e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7ADA37B8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f29f9466-caa7-4d4e-afe6-1bd611dd582b</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2E1B53CB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786a8c3e-03b5-462e-8b2e-d48545793f59</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4D9153FC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019cca1b-40ad-4eff-89f9-0d536a5c7e0c</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658E694A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5b5c629b-bd4b-45be-9165-7d027988c3ec</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6A7EF085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89f8ea5a-c40b-40e7-872c-34555be1c5f2</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55CF127C</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4b1b7b42-98fa-47da-99cb-5787e8ce7b28</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6D74DE36</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483456c9-a8aa-4027-a678-dcedc8e6e81b</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28DC8537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93a4b8a8-5231-4e5c-b9fb-1c4d768dfff6</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49AB8B70</paraID>
      <start xmlns="http://schemas.wps.cn/vas-ai-hub/contract-review">145</start>
      <end xmlns="http://schemas.wps.cn/vas-ai-hub/contract-review">147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dad16ebd-176b-421e-beda-fc179cccc994</errorID>
      <errorWord xmlns="http://schemas.wps.cn/vas-ai-hub/contract-review">开展2025年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开展2025年度</item>
      </candidateList>
      <explain xmlns="http://schemas.wps.cn/vas-ai-hub/contract-review"/>
      <paraID xmlns="http://schemas.wps.cn/vas-ai-hub/contract-review">5CA2BAA7</paraID>
      <start xmlns="http://schemas.wps.cn/vas-ai-hub/contract-review">79</start>
      <end xmlns="http://schemas.wps.cn/vas-ai-hub/contract-review">86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66b1988c-8b4e-4d0a-b71f-441eac412fc7</errorID>
      <errorWord xmlns="http://schemas.wps.cn/vas-ai-hub/contract-review">开展2025年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开展2025年度</item>
      </candidateList>
      <explain xmlns="http://schemas.wps.cn/vas-ai-hub/contract-review"/>
      <paraID xmlns="http://schemas.wps.cn/vas-ai-hub/contract-review">5CA2BAA7</paraID>
      <start xmlns="http://schemas.wps.cn/vas-ai-hub/contract-review">254</start>
      <end xmlns="http://schemas.wps.cn/vas-ai-hub/contract-review">261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41a5a78d-d884-4c97-b38e-5d366366b15c</errorID>
      <errorWord xmlns="http://schemas.wps.cn/vas-ai-hub/contract-review">开展2025年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开展2025年度</item>
      </candidateList>
      <explain xmlns="http://schemas.wps.cn/vas-ai-hub/contract-review"/>
      <paraID xmlns="http://schemas.wps.cn/vas-ai-hub/contract-review">5CA2BAA7</paraID>
      <start xmlns="http://schemas.wps.cn/vas-ai-hub/contract-review">408</start>
      <end xmlns="http://schemas.wps.cn/vas-ai-hub/contract-review">415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b47f2800-2feb-4bd8-b5a6-eb3ae0759652</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18399561</paraID>
      <start xmlns="http://schemas.wps.cn/vas-ai-hub/contract-review">37</start>
      <end xmlns="http://schemas.wps.cn/vas-ai-hub/contract-review">45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49052e-73f0-40a2-a2b9-f3a3d144753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3632</Words>
  <Characters>4039</Characters>
  <Lines>69</Lines>
  <Paragraphs>19</Paragraphs>
  <TotalTime>31</TotalTime>
  <ScaleCrop>false</ScaleCrop>
  <LinksUpToDate>false</LinksUpToDate>
  <CharactersWithSpaces>4048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2026-10-16T10:11:07Z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eyJoZGlkIjoiMWJkNjZkNWQ0YTczMmJjNjU1NDVmZjgwNjc3MTRjOWQiLCJ1c2VySWQiOiI1Njc1NzgyMDIifQ==</vt:lpwstr>
  </property>
</Properties>
</file>