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A7641">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2A68043">
      <w:pPr>
        <w:pStyle w:val="15"/>
        <w:jc w:val="center"/>
        <w:rPr>
          <w:rFonts w:ascii="Times New Roman" w:hAnsi="Times New Roman" w:cs="Times New Roman"/>
          <w:sz w:val="56"/>
          <w:szCs w:val="56"/>
        </w:rPr>
      </w:pPr>
    </w:p>
    <w:p w14:paraId="4C55EFB7">
      <w:pPr>
        <w:pStyle w:val="15"/>
        <w:jc w:val="center"/>
        <w:rPr>
          <w:rFonts w:ascii="Times New Roman" w:hAnsi="Times New Roman" w:cs="Times New Roman"/>
          <w:sz w:val="84"/>
          <w:szCs w:val="84"/>
        </w:rPr>
      </w:pPr>
    </w:p>
    <w:p w14:paraId="15D9D8E1">
      <w:pPr>
        <w:pStyle w:val="15"/>
        <w:jc w:val="center"/>
        <w:rPr>
          <w:rFonts w:ascii="Times New Roman" w:hAnsi="Times New Roman" w:cs="Times New Roman"/>
          <w:sz w:val="84"/>
          <w:szCs w:val="84"/>
        </w:rPr>
      </w:pPr>
    </w:p>
    <w:p w14:paraId="1879DACC">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42AF593">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怀化市社会福利院</w:t>
      </w:r>
      <w:r>
        <w:rPr>
          <w:rFonts w:ascii="Times New Roman" w:hAnsi="Times New Roman" w:eastAsia="方正小标宋简体" w:cs="Times New Roman"/>
          <w:sz w:val="72"/>
          <w:szCs w:val="72"/>
        </w:rPr>
        <w:t>部门决算</w:t>
      </w:r>
    </w:p>
    <w:p w14:paraId="5AD8DA91">
      <w:pPr>
        <w:pStyle w:val="15"/>
        <w:jc w:val="center"/>
        <w:rPr>
          <w:rFonts w:ascii="Times New Roman" w:hAnsi="Times New Roman" w:eastAsia="方正小标宋_GBK" w:cs="Times New Roman"/>
          <w:sz w:val="56"/>
          <w:szCs w:val="56"/>
        </w:rPr>
      </w:pPr>
    </w:p>
    <w:p w14:paraId="6293D8B7">
      <w:pPr>
        <w:pStyle w:val="15"/>
        <w:jc w:val="center"/>
        <w:rPr>
          <w:rFonts w:ascii="Times New Roman" w:hAnsi="Times New Roman" w:cs="Times New Roman"/>
          <w:sz w:val="56"/>
          <w:szCs w:val="56"/>
        </w:rPr>
      </w:pPr>
    </w:p>
    <w:p w14:paraId="3DAA1339">
      <w:pPr>
        <w:pStyle w:val="15"/>
        <w:rPr>
          <w:rFonts w:ascii="Times New Roman" w:hAnsi="Times New Roman" w:cs="Times New Roman"/>
          <w:sz w:val="56"/>
          <w:szCs w:val="56"/>
        </w:rPr>
      </w:pPr>
    </w:p>
    <w:p w14:paraId="5D6DF58E">
      <w:pPr>
        <w:pStyle w:val="15"/>
        <w:jc w:val="center"/>
        <w:rPr>
          <w:rFonts w:ascii="Times New Roman" w:hAnsi="Times New Roman" w:cs="Times New Roman"/>
          <w:sz w:val="32"/>
          <w:szCs w:val="32"/>
        </w:rPr>
      </w:pPr>
    </w:p>
    <w:p w14:paraId="7F3FDFC4">
      <w:pPr>
        <w:pStyle w:val="15"/>
        <w:jc w:val="center"/>
        <w:rPr>
          <w:rFonts w:ascii="Times New Roman" w:hAnsi="Times New Roman" w:cs="Times New Roman"/>
          <w:sz w:val="32"/>
          <w:szCs w:val="32"/>
        </w:rPr>
      </w:pPr>
    </w:p>
    <w:p w14:paraId="24F8755B">
      <w:pPr>
        <w:pStyle w:val="15"/>
        <w:jc w:val="center"/>
        <w:rPr>
          <w:rFonts w:ascii="Times New Roman" w:hAnsi="Times New Roman" w:cs="Times New Roman"/>
          <w:sz w:val="32"/>
          <w:szCs w:val="32"/>
        </w:rPr>
      </w:pPr>
    </w:p>
    <w:p w14:paraId="4AA9651D">
      <w:pPr>
        <w:pStyle w:val="15"/>
        <w:jc w:val="center"/>
        <w:rPr>
          <w:rFonts w:ascii="Times New Roman" w:hAnsi="Times New Roman" w:cs="Times New Roman"/>
          <w:sz w:val="32"/>
          <w:szCs w:val="32"/>
        </w:rPr>
      </w:pPr>
    </w:p>
    <w:p w14:paraId="27182CE2">
      <w:pPr>
        <w:pStyle w:val="15"/>
        <w:jc w:val="center"/>
        <w:rPr>
          <w:rFonts w:ascii="Times New Roman" w:hAnsi="Times New Roman" w:cs="Times New Roman"/>
          <w:sz w:val="32"/>
          <w:szCs w:val="32"/>
        </w:rPr>
      </w:pPr>
    </w:p>
    <w:p w14:paraId="6DFC81C5">
      <w:pPr>
        <w:pStyle w:val="15"/>
        <w:jc w:val="center"/>
        <w:rPr>
          <w:rFonts w:ascii="Times New Roman" w:hAnsi="Times New Roman" w:cs="Times New Roman"/>
          <w:sz w:val="32"/>
          <w:szCs w:val="32"/>
        </w:rPr>
      </w:pPr>
    </w:p>
    <w:p w14:paraId="02DAE0AE">
      <w:pPr>
        <w:pStyle w:val="15"/>
        <w:spacing w:line="540" w:lineRule="exact"/>
        <w:jc w:val="center"/>
        <w:rPr>
          <w:rFonts w:ascii="Times New Roman" w:hAnsi="Times New Roman" w:cs="Times New Roman"/>
          <w:sz w:val="56"/>
          <w:szCs w:val="56"/>
        </w:rPr>
      </w:pPr>
    </w:p>
    <w:p w14:paraId="71AC21B9">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D15D240">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15C7003">
      <w:pPr>
        <w:pStyle w:val="15"/>
        <w:spacing w:line="600" w:lineRule="exact"/>
        <w:jc w:val="both"/>
        <w:rPr>
          <w:rFonts w:ascii="Times New Roman" w:hAnsi="Times New Roman" w:cs="Times New Roman"/>
          <w:b/>
          <w:sz w:val="36"/>
          <w:szCs w:val="28"/>
        </w:rPr>
      </w:pPr>
    </w:p>
    <w:p w14:paraId="5F3E9C07">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91F6195">
      <w:pPr>
        <w:pStyle w:val="15"/>
        <w:spacing w:line="600" w:lineRule="exact"/>
        <w:jc w:val="center"/>
        <w:rPr>
          <w:rFonts w:ascii="Times New Roman" w:hAnsi="Times New Roman" w:cs="Times New Roman"/>
          <w:b/>
          <w:sz w:val="36"/>
          <w:szCs w:val="28"/>
        </w:rPr>
      </w:pPr>
    </w:p>
    <w:p w14:paraId="3F079938">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怀化市社会福利院</w:t>
      </w:r>
      <w:r>
        <w:rPr>
          <w:rFonts w:ascii="Times New Roman" w:hAnsi="Times New Roman" w:cs="Times New Roman"/>
          <w:bCs/>
          <w:sz w:val="32"/>
          <w:szCs w:val="32"/>
        </w:rPr>
        <w:t>概况</w:t>
      </w:r>
    </w:p>
    <w:p w14:paraId="1D7B377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93645D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31FC29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773125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5E5E57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B2CF5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FAFD32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61B49F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100A44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657391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255A5D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ADB646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7C8C3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B85A75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0606F5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32A5E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DEBE3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C399A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D72BE4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6E442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1C3AE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76CDF1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9CDF450">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国有资本经营预算收入支出决算情况</w:t>
      </w:r>
    </w:p>
    <w:p w14:paraId="4644EBF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55F931A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19D3FE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13146E3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1F214A5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61EC33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28E86F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8398BA4">
      <w:pPr>
        <w:pStyle w:val="15"/>
        <w:spacing w:line="600" w:lineRule="exact"/>
        <w:rPr>
          <w:rFonts w:ascii="Times New Roman" w:hAnsi="Times New Roman" w:cs="Times New Roman"/>
          <w:bCs/>
          <w:sz w:val="28"/>
          <w:szCs w:val="28"/>
        </w:rPr>
      </w:pPr>
    </w:p>
    <w:p w14:paraId="4C2141F3">
      <w:pPr>
        <w:jc w:val="center"/>
        <w:rPr>
          <w:rFonts w:ascii="Times New Roman" w:hAnsi="Times New Roman" w:cs="Times New Roman"/>
          <w:sz w:val="72"/>
          <w:szCs w:val="72"/>
        </w:rPr>
      </w:pPr>
    </w:p>
    <w:p w14:paraId="3FE2D384">
      <w:pPr>
        <w:jc w:val="center"/>
        <w:rPr>
          <w:rFonts w:ascii="Times New Roman" w:hAnsi="Times New Roman" w:cs="Times New Roman"/>
          <w:sz w:val="72"/>
          <w:szCs w:val="72"/>
        </w:rPr>
      </w:pPr>
    </w:p>
    <w:p w14:paraId="69E6B433">
      <w:pPr>
        <w:jc w:val="center"/>
        <w:rPr>
          <w:rFonts w:ascii="Times New Roman" w:hAnsi="Times New Roman" w:cs="Times New Roman"/>
          <w:sz w:val="72"/>
          <w:szCs w:val="72"/>
        </w:rPr>
      </w:pPr>
    </w:p>
    <w:p w14:paraId="466457EB">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D30739B">
      <w:pPr>
        <w:rPr>
          <w:rFonts w:ascii="Times New Roman" w:hAnsi="Times New Roman" w:eastAsia="方正小标宋_GBK" w:cs="Times New Roman"/>
          <w:sz w:val="72"/>
          <w:szCs w:val="72"/>
        </w:rPr>
      </w:pPr>
    </w:p>
    <w:p w14:paraId="45D0A9B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38C2262">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怀化市社会福利院</w:t>
      </w:r>
      <w:r>
        <w:rPr>
          <w:rFonts w:ascii="Times New Roman" w:hAnsi="Times New Roman" w:eastAsia="方正小标宋_GBK" w:cs="Times New Roman"/>
          <w:sz w:val="52"/>
          <w:szCs w:val="52"/>
        </w:rPr>
        <w:t>概况</w:t>
      </w:r>
    </w:p>
    <w:p w14:paraId="0A71C5B0">
      <w:pPr>
        <w:pStyle w:val="3"/>
        <w:ind w:left="0" w:leftChars="0" w:firstLine="0" w:firstLineChars="0"/>
        <w:rPr>
          <w:rFonts w:ascii="Times New Roman" w:hAnsi="Times New Roman" w:cs="Times New Roman"/>
        </w:rPr>
      </w:pPr>
    </w:p>
    <w:p w14:paraId="16C8F8E3">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A42C86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怀化市社会福利院成立于1999年,为儿童福利院、老年福利院“两院合一”的综合福利院。是怀化市民政局直属事业单位，主要为社会弱势群体提供服务，承担以下工作职责：</w:t>
      </w:r>
    </w:p>
    <w:p w14:paraId="2965775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1.贯彻执行党和国家的社会福利政策及法律法规，依法保护服务对象的合法权益。</w:t>
      </w:r>
    </w:p>
    <w:p w14:paraId="75B05CE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2.承担本行政区弃婴的接收、喂养、治疗、教育、康复和涉外民间收养。</w:t>
      </w:r>
    </w:p>
    <w:p w14:paraId="7AD5FB8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3.承担市城区范围内部份“三无”老人接收供养。</w:t>
      </w:r>
    </w:p>
    <w:p w14:paraId="0FD1F43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4.提供社会老人的养老服务。</w:t>
      </w:r>
    </w:p>
    <w:p w14:paraId="5E092B7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pPr>
      <w:r>
        <w:rPr>
          <w:rFonts w:hint="default" w:ascii="Times New Roman" w:hAnsi="Times New Roman" w:eastAsia="仿宋_GB2312" w:cs="Times New Roman"/>
          <w:bCs/>
          <w:kern w:val="0"/>
          <w:sz w:val="32"/>
          <w:szCs w:val="32"/>
        </w:rPr>
        <w:t>5.完成主管部门交办的其他任务。</w:t>
      </w:r>
    </w:p>
    <w:p w14:paraId="31E8FA4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3B4F47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怀化市社会福利院</w:t>
      </w:r>
      <w:r>
        <w:rPr>
          <w:rFonts w:hint="default" w:ascii="Times New Roman" w:hAnsi="Times New Roman" w:eastAsia="仿宋_GB2312" w:cs="Times New Roman"/>
          <w:bCs/>
          <w:kern w:val="0"/>
          <w:sz w:val="32"/>
          <w:szCs w:val="32"/>
        </w:rPr>
        <w:t>内设机构包括：综合办公室、综合业务室、财务室。</w:t>
      </w:r>
    </w:p>
    <w:p w14:paraId="3BACDB17">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怀化市社会福利院</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default" w:ascii="Times New Roman" w:hAnsi="Times New Roman" w:eastAsia="仿宋_GB2312" w:cs="Times New Roman"/>
          <w:bCs/>
          <w:kern w:val="0"/>
          <w:sz w:val="32"/>
          <w:szCs w:val="32"/>
        </w:rPr>
        <w:t>怀化市社会福利院</w:t>
      </w:r>
      <w:r>
        <w:rPr>
          <w:rFonts w:hint="eastAsia" w:ascii="Times New Roman" w:hAnsi="Times New Roman" w:eastAsia="仿宋_GB2312" w:cs="Times New Roman"/>
          <w:bCs/>
          <w:kern w:val="0"/>
          <w:sz w:val="32"/>
          <w:szCs w:val="32"/>
          <w:lang w:val="en-US" w:eastAsia="zh-CN"/>
        </w:rPr>
        <w:t>本级</w:t>
      </w:r>
      <w:r>
        <w:rPr>
          <w:rFonts w:hint="default" w:ascii="Times New Roman" w:hAnsi="Times New Roman" w:eastAsia="仿宋_GB2312" w:cs="Times New Roman"/>
          <w:bCs/>
          <w:kern w:val="0"/>
          <w:sz w:val="32"/>
          <w:szCs w:val="32"/>
        </w:rPr>
        <w:t>。</w:t>
      </w:r>
    </w:p>
    <w:p w14:paraId="72D21BB1">
      <w:pPr>
        <w:jc w:val="left"/>
        <w:rPr>
          <w:rFonts w:ascii="Times New Roman" w:hAnsi="Times New Roman" w:eastAsia="仿宋_GB2312" w:cs="Times New Roman"/>
          <w:sz w:val="28"/>
          <w:szCs w:val="32"/>
        </w:rPr>
      </w:pPr>
    </w:p>
    <w:p w14:paraId="578F4125">
      <w:pPr>
        <w:jc w:val="center"/>
        <w:rPr>
          <w:rFonts w:ascii="Times New Roman" w:hAnsi="Times New Roman" w:eastAsia="黑体" w:cs="Times New Roman"/>
          <w:sz w:val="28"/>
          <w:szCs w:val="28"/>
        </w:rPr>
      </w:pPr>
    </w:p>
    <w:p w14:paraId="61322192">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FCD0836">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1D4C02F">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0"/>
        <w:jc w:val="center"/>
      </w:pPr>
      <w:r>
        <w:rPr>
          <w:rFonts w:hint="default" w:ascii="Times New Roman" w:hAnsi="Times New Roman" w:cs="Times New Roman"/>
          <w:color w:val="000000"/>
          <w:sz w:val="32"/>
          <w:szCs w:val="32"/>
        </w:rPr>
        <w:t>（决算公开表附后）</w:t>
      </w:r>
    </w:p>
    <w:p w14:paraId="4DB662BA">
      <w:pPr>
        <w:pStyle w:val="15"/>
        <w:jc w:val="center"/>
        <w:rPr>
          <w:rFonts w:ascii="Times New Roman" w:hAnsi="Times New Roman" w:eastAsia="方正小标宋_GBK" w:cs="Times New Roman"/>
          <w:sz w:val="72"/>
          <w:szCs w:val="72"/>
        </w:rPr>
      </w:pPr>
    </w:p>
    <w:p w14:paraId="2D801460">
      <w:pPr>
        <w:pStyle w:val="15"/>
        <w:jc w:val="center"/>
        <w:rPr>
          <w:rFonts w:ascii="Times New Roman" w:hAnsi="Times New Roman" w:eastAsia="方正小标宋_GBK" w:cs="Times New Roman"/>
          <w:sz w:val="72"/>
          <w:szCs w:val="72"/>
        </w:rPr>
      </w:pPr>
    </w:p>
    <w:p w14:paraId="722B2D93">
      <w:pPr>
        <w:pStyle w:val="15"/>
        <w:jc w:val="center"/>
        <w:rPr>
          <w:rFonts w:ascii="Times New Roman" w:hAnsi="Times New Roman" w:eastAsia="方正小标宋_GBK" w:cs="Times New Roman"/>
          <w:sz w:val="72"/>
          <w:szCs w:val="72"/>
        </w:rPr>
      </w:pPr>
    </w:p>
    <w:p w14:paraId="3B806B3B">
      <w:pPr>
        <w:pStyle w:val="15"/>
        <w:jc w:val="center"/>
        <w:rPr>
          <w:rFonts w:ascii="Times New Roman" w:hAnsi="Times New Roman" w:eastAsia="方正小标宋_GBK" w:cs="Times New Roman"/>
          <w:sz w:val="72"/>
          <w:szCs w:val="72"/>
        </w:rPr>
      </w:pPr>
    </w:p>
    <w:p w14:paraId="68F4F70F">
      <w:pPr>
        <w:pStyle w:val="15"/>
        <w:jc w:val="center"/>
        <w:rPr>
          <w:rFonts w:ascii="Times New Roman" w:hAnsi="Times New Roman" w:eastAsia="方正小标宋_GBK" w:cs="Times New Roman"/>
          <w:sz w:val="72"/>
          <w:szCs w:val="72"/>
        </w:rPr>
      </w:pPr>
    </w:p>
    <w:p w14:paraId="7F1D1F80">
      <w:pPr>
        <w:pStyle w:val="15"/>
        <w:jc w:val="center"/>
        <w:rPr>
          <w:rFonts w:ascii="Times New Roman" w:hAnsi="Times New Roman" w:eastAsia="方正小标宋_GBK" w:cs="Times New Roman"/>
          <w:sz w:val="72"/>
          <w:szCs w:val="72"/>
        </w:rPr>
      </w:pPr>
    </w:p>
    <w:p w14:paraId="7E556F86">
      <w:pPr>
        <w:pStyle w:val="15"/>
        <w:jc w:val="center"/>
        <w:rPr>
          <w:rFonts w:ascii="Times New Roman" w:hAnsi="Times New Roman" w:eastAsia="方正小标宋_GBK" w:cs="Times New Roman"/>
          <w:sz w:val="72"/>
          <w:szCs w:val="72"/>
        </w:rPr>
      </w:pPr>
    </w:p>
    <w:p w14:paraId="0636970E">
      <w:pPr>
        <w:pStyle w:val="15"/>
        <w:jc w:val="center"/>
        <w:rPr>
          <w:rFonts w:ascii="Times New Roman" w:hAnsi="Times New Roman" w:eastAsia="方正小标宋_GBK" w:cs="Times New Roman"/>
          <w:sz w:val="72"/>
          <w:szCs w:val="72"/>
        </w:rPr>
      </w:pPr>
    </w:p>
    <w:p w14:paraId="1B436315">
      <w:pPr>
        <w:pStyle w:val="15"/>
        <w:jc w:val="center"/>
        <w:rPr>
          <w:rFonts w:ascii="Times New Roman" w:hAnsi="Times New Roman" w:eastAsia="方正小标宋_GBK" w:cs="Times New Roman"/>
          <w:sz w:val="72"/>
          <w:szCs w:val="72"/>
        </w:rPr>
      </w:pPr>
    </w:p>
    <w:p w14:paraId="4A8BD2D7">
      <w:pPr>
        <w:pStyle w:val="15"/>
        <w:jc w:val="center"/>
        <w:rPr>
          <w:rFonts w:ascii="Times New Roman" w:hAnsi="Times New Roman" w:eastAsia="方正小标宋_GBK" w:cs="Times New Roman"/>
          <w:sz w:val="72"/>
          <w:szCs w:val="72"/>
        </w:rPr>
      </w:pPr>
    </w:p>
    <w:p w14:paraId="1422D9F1">
      <w:pPr>
        <w:pStyle w:val="15"/>
        <w:jc w:val="center"/>
        <w:rPr>
          <w:rFonts w:ascii="Times New Roman" w:hAnsi="Times New Roman" w:eastAsia="方正小标宋_GBK" w:cs="Times New Roman"/>
          <w:sz w:val="72"/>
          <w:szCs w:val="72"/>
        </w:rPr>
      </w:pPr>
    </w:p>
    <w:p w14:paraId="4BED79D2">
      <w:pPr>
        <w:pStyle w:val="15"/>
        <w:jc w:val="center"/>
        <w:rPr>
          <w:rFonts w:ascii="Times New Roman" w:hAnsi="Times New Roman" w:eastAsia="方正小标宋_GBK" w:cs="Times New Roman"/>
          <w:sz w:val="72"/>
          <w:szCs w:val="72"/>
        </w:rPr>
      </w:pPr>
    </w:p>
    <w:p w14:paraId="6C64AF4B">
      <w:pPr>
        <w:pStyle w:val="15"/>
        <w:jc w:val="both"/>
        <w:rPr>
          <w:rFonts w:ascii="Times New Roman" w:hAnsi="Times New Roman" w:eastAsia="方正小标宋_GBK" w:cs="Times New Roman"/>
          <w:sz w:val="72"/>
          <w:szCs w:val="72"/>
        </w:rPr>
      </w:pPr>
    </w:p>
    <w:p w14:paraId="5EC4F514">
      <w:pPr>
        <w:pStyle w:val="15"/>
        <w:keepNext w:val="0"/>
        <w:keepLines w:val="0"/>
        <w:pageBreakBefore w:val="0"/>
        <w:kinsoku/>
        <w:wordWrap/>
        <w:topLinePunct w:val="0"/>
        <w:bidi w:val="0"/>
        <w:snapToGrid/>
        <w:spacing w:line="58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C97CA50">
      <w:pPr>
        <w:pStyle w:val="15"/>
        <w:keepNext w:val="0"/>
        <w:keepLines w:val="0"/>
        <w:pageBreakBefore w:val="0"/>
        <w:kinsoku/>
        <w:wordWrap/>
        <w:topLinePunct w:val="0"/>
        <w:bidi w:val="0"/>
        <w:snapToGrid/>
        <w:spacing w:line="580" w:lineRule="exact"/>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82445F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黑体" w:cs="Times New Roman"/>
          <w:bCs/>
          <w:color w:val="000000"/>
          <w:kern w:val="0"/>
          <w:sz w:val="32"/>
          <w:szCs w:val="32"/>
          <w:lang w:val="en-US" w:eastAsia="zh-CN" w:bidi="ar-SA"/>
        </w:rPr>
      </w:pPr>
    </w:p>
    <w:p w14:paraId="1F0CB017">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黑体" w:cs="Times New Roman"/>
          <w:bCs/>
          <w:color w:val="000000"/>
          <w:kern w:val="0"/>
          <w:sz w:val="32"/>
          <w:szCs w:val="32"/>
          <w:lang w:val="en-US" w:eastAsia="zh-CN" w:bidi="ar-SA"/>
        </w:rPr>
      </w:pPr>
      <w:r>
        <w:rPr>
          <w:rFonts w:ascii="Times New Roman" w:hAnsi="Times New Roman" w:eastAsia="黑体" w:cs="Times New Roman"/>
          <w:bCs/>
          <w:color w:val="000000"/>
          <w:kern w:val="0"/>
          <w:sz w:val="32"/>
          <w:szCs w:val="32"/>
          <w:lang w:val="en-US" w:eastAsia="zh-CN" w:bidi="ar-SA"/>
        </w:rPr>
        <w:t>一、收入支出决算总体情况说明</w:t>
      </w:r>
    </w:p>
    <w:p w14:paraId="49786601">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944.24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166.03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21.33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工本年度新增儿童福利院提质改造项目</w:t>
      </w:r>
      <w:r>
        <w:rPr>
          <w:rFonts w:hint="eastAsia" w:ascii="Times New Roman" w:hAnsi="Times New Roman" w:eastAsia="仿宋_GB2312" w:cs="Times New Roman"/>
          <w:sz w:val="32"/>
          <w:szCs w:val="32"/>
          <w:lang w:eastAsia="zh-CN"/>
        </w:rPr>
        <w:t>。</w:t>
      </w:r>
    </w:p>
    <w:p w14:paraId="34406451">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孤残儿童、困境儿童、特困人群集中供养及儿童福利机构提质改造</w:t>
      </w:r>
      <w:r>
        <w:rPr>
          <w:rFonts w:hint="eastAsia" w:ascii="Times New Roman" w:hAnsi="Times New Roman" w:eastAsia="仿宋_GB2312" w:cs="Times New Roman"/>
          <w:sz w:val="32"/>
          <w:szCs w:val="32"/>
          <w:lang w:eastAsia="zh-CN"/>
        </w:rPr>
        <w:t>等重点支出，体现在有关支出科目中。</w:t>
      </w:r>
    </w:p>
    <w:p w14:paraId="4C87644F">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B1DCB0D">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944.24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766.96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81.23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177.28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18.77</w:t>
      </w:r>
      <w:r>
        <w:rPr>
          <w:rFonts w:ascii="Times New Roman" w:hAnsi="Times New Roman" w:eastAsia="仿宋_GB2312" w:cs="Times New Roman"/>
          <w:sz w:val="32"/>
          <w:szCs w:val="32"/>
        </w:rPr>
        <w:t>%。</w:t>
      </w:r>
    </w:p>
    <w:p w14:paraId="28886A9D">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2287A11">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944.24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291.83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30.91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652.41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69.09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C0BA2D6">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086FF5E">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766.96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147.32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23.78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本年度新增儿童福利院提质改造项目。</w:t>
      </w:r>
    </w:p>
    <w:p w14:paraId="1758BF93">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E5502B7">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45A7760">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453.41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48.02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71.42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13.61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结转失能长者照护中心建设经费2024年完成支付、孤残儿童养育项目的中央及省级困难群众救助资金支出减少。</w:t>
      </w:r>
    </w:p>
    <w:p w14:paraId="6B95A38A">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20AA29A">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453.41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13.48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2.97</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422.20</w:t>
      </w:r>
      <w:r>
        <w:rPr>
          <w:rFonts w:hint="default" w:ascii="Times New Roman" w:hAnsi="Times New Roman" w:eastAsia="仿宋_GB2312" w:cs="Times New Roman"/>
          <w:sz w:val="32"/>
          <w:szCs w:val="32"/>
          <w:lang w:eastAsia="zh-CN"/>
        </w:rPr>
        <w:t>万元</w:t>
      </w:r>
      <w:r>
        <w:rPr>
          <w:rFonts w:hint="eastAsia" w:ascii="Times New Roman" w:hAnsi="Times New Roman" w:eastAsia="仿宋_GB2312" w:cs="Times New Roman"/>
          <w:sz w:val="32"/>
          <w:szCs w:val="32"/>
          <w:lang w:eastAsia="zh-CN"/>
        </w:rPr>
        <w:t>，占</w:t>
      </w:r>
      <w:r>
        <w:rPr>
          <w:rFonts w:hint="eastAsia" w:ascii="Times New Roman" w:hAnsi="Times New Roman" w:eastAsia="仿宋_GB2312" w:cs="Times New Roman"/>
          <w:sz w:val="32"/>
          <w:szCs w:val="32"/>
          <w:lang w:val="en-US" w:eastAsia="zh-CN"/>
        </w:rPr>
        <w:t>93.12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卫生健康支出5.</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1万元，占</w:t>
      </w:r>
      <w:r>
        <w:rPr>
          <w:rFonts w:hint="eastAsia" w:ascii="Times New Roman" w:hAnsi="Times New Roman" w:eastAsia="仿宋_GB2312" w:cs="Times New Roman"/>
          <w:sz w:val="32"/>
          <w:szCs w:val="32"/>
          <w:lang w:val="en-US" w:eastAsia="zh-CN"/>
        </w:rPr>
        <w:t>1.17</w:t>
      </w:r>
      <w:r>
        <w:rPr>
          <w:rFonts w:hint="default" w:ascii="Times New Roman" w:hAnsi="Times New Roman" w:eastAsia="仿宋_GB2312" w:cs="Times New Roman"/>
          <w:sz w:val="32"/>
          <w:szCs w:val="32"/>
          <w:lang w:eastAsia="zh-CN"/>
        </w:rPr>
        <w:t>%；住房保障支出</w:t>
      </w:r>
      <w:r>
        <w:rPr>
          <w:rFonts w:hint="eastAsia" w:ascii="Times New Roman" w:hAnsi="Times New Roman" w:eastAsia="仿宋_GB2312" w:cs="Times New Roman"/>
          <w:sz w:val="32"/>
          <w:szCs w:val="32"/>
          <w:lang w:val="en-US" w:eastAsia="zh-CN"/>
        </w:rPr>
        <w:t>12.41</w:t>
      </w:r>
      <w:r>
        <w:rPr>
          <w:rFonts w:hint="default" w:ascii="Times New Roman" w:hAnsi="Times New Roman" w:eastAsia="仿宋_GB2312" w:cs="Times New Roman"/>
          <w:sz w:val="32"/>
          <w:szCs w:val="32"/>
          <w:lang w:eastAsia="zh-CN"/>
        </w:rPr>
        <w:t>万元，占2.</w:t>
      </w:r>
      <w:r>
        <w:rPr>
          <w:rFonts w:hint="eastAsia" w:ascii="Times New Roman" w:hAnsi="Times New Roman" w:eastAsia="仿宋_GB2312" w:cs="Times New Roman"/>
          <w:sz w:val="32"/>
          <w:szCs w:val="32"/>
          <w:lang w:val="en-US" w:eastAsia="zh-CN"/>
        </w:rPr>
        <w:t>74</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w:t>
      </w:r>
    </w:p>
    <w:p w14:paraId="3FB2B500">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57FBD5F">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251.55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453.41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180.25</w:t>
      </w:r>
      <w:r>
        <w:rPr>
          <w:rFonts w:ascii="Times New Roman" w:hAnsi="Times New Roman" w:eastAsia="仿宋_GB2312" w:cs="Times New Roman"/>
          <w:sz w:val="32"/>
          <w:szCs w:val="32"/>
        </w:rPr>
        <w:t>%，其中：</w:t>
      </w:r>
    </w:p>
    <w:p w14:paraId="342C4EF1">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40B5635">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13.48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属年度追加预算</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本年度人员工资预算不足，超出年初预算</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val="en-US" w:eastAsia="zh-CN"/>
        </w:rPr>
        <w:t>部分记入该项。</w:t>
      </w:r>
    </w:p>
    <w:p w14:paraId="3447FE44">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民政管理事务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2D199DB">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103.75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113.63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109.52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人员工资调增，超出年初预算部分记入</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val="en-US" w:eastAsia="zh-CN"/>
        </w:rPr>
        <w:t>。</w:t>
      </w:r>
    </w:p>
    <w:p w14:paraId="0F04447C">
      <w:pPr>
        <w:pStyle w:val="15"/>
        <w:keepNext w:val="0"/>
        <w:keepLines w:val="0"/>
        <w:pageBreakBefore w:val="0"/>
        <w:numPr>
          <w:ilvl w:val="0"/>
          <w:numId w:val="1"/>
        </w:numPr>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76AB38F3">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102.67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人员工资普调致社保基数调整。</w:t>
      </w:r>
    </w:p>
    <w:p w14:paraId="5EFA073F">
      <w:pPr>
        <w:pStyle w:val="15"/>
        <w:keepNext w:val="0"/>
        <w:keepLines w:val="0"/>
        <w:pageBreakBefore w:val="0"/>
        <w:numPr>
          <w:ilvl w:val="0"/>
          <w:numId w:val="1"/>
        </w:numPr>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儿童福利</w:t>
      </w:r>
      <w:r>
        <w:rPr>
          <w:rFonts w:ascii="Times New Roman" w:hAnsi="Times New Roman" w:eastAsia="仿宋_GB2312" w:cs="Times New Roman"/>
          <w:sz w:val="32"/>
          <w:szCs w:val="32"/>
        </w:rPr>
        <w:t>（项）。</w:t>
      </w:r>
    </w:p>
    <w:p w14:paraId="2BFEBB66">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228.16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507.02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孤残儿童养育项目的中央及省级困难群众救助资金支出年初未能预算。</w:t>
      </w:r>
    </w:p>
    <w:p w14:paraId="1292395F">
      <w:pPr>
        <w:pStyle w:val="15"/>
        <w:keepNext w:val="0"/>
        <w:keepLines w:val="0"/>
        <w:pageBreakBefore w:val="0"/>
        <w:numPr>
          <w:ilvl w:val="0"/>
          <w:numId w:val="1"/>
        </w:numPr>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社会福利事业单位</w:t>
      </w:r>
      <w:r>
        <w:rPr>
          <w:rFonts w:ascii="Times New Roman" w:hAnsi="Times New Roman" w:eastAsia="仿宋_GB2312" w:cs="Times New Roman"/>
          <w:sz w:val="32"/>
          <w:szCs w:val="32"/>
        </w:rPr>
        <w:t>（项）。</w:t>
      </w:r>
    </w:p>
    <w:p w14:paraId="023CD8C6">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69.12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97.40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原七七六处退休人员经费压缩。</w:t>
      </w:r>
    </w:p>
    <w:p w14:paraId="51AAFC47">
      <w:pPr>
        <w:pStyle w:val="15"/>
        <w:keepNext w:val="0"/>
        <w:keepLines w:val="0"/>
        <w:pageBreakBefore w:val="0"/>
        <w:numPr>
          <w:ilvl w:val="0"/>
          <w:numId w:val="1"/>
        </w:numPr>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0F5EAF84">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属年度追加预算</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人员工资普调致医保调增，超出年初预算部分记入该项。</w:t>
      </w:r>
    </w:p>
    <w:p w14:paraId="66A7ABE9">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3239BC45">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该项按预算支出，实际人员工资普调致医保调增，调增部份记入行政单位医疗项。</w:t>
      </w:r>
    </w:p>
    <w:p w14:paraId="3C3A2283">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D7EBD8C">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112.10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人员工资普调致住房公积金调增。</w:t>
      </w:r>
    </w:p>
    <w:p w14:paraId="28C37084">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社会保障和就业支出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儿童福利方面</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228.16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50.32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弃婴养治教康</w:t>
      </w:r>
      <w:r>
        <w:rPr>
          <w:rFonts w:hint="eastAsia" w:ascii="Times New Roman" w:hAnsi="Times New Roman" w:eastAsia="仿宋_GB2312" w:cs="Times New Roman"/>
          <w:sz w:val="32"/>
          <w:szCs w:val="32"/>
        </w:rPr>
        <w:t>方面</w:t>
      </w:r>
      <w:r>
        <w:rPr>
          <w:rFonts w:hint="eastAsia" w:ascii="Times New Roman" w:hAnsi="Times New Roman" w:eastAsia="楷体_GB2312" w:cs="Times New Roman"/>
          <w:b/>
          <w:bCs/>
          <w:i/>
          <w:color w:val="auto"/>
          <w:sz w:val="32"/>
          <w:szCs w:val="32"/>
        </w:rPr>
        <w:t>。</w:t>
      </w:r>
    </w:p>
    <w:p w14:paraId="29EB425D">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7A90AC5">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206.72</w:t>
      </w:r>
      <w:r>
        <w:rPr>
          <w:rFonts w:ascii="Times New Roman" w:hAnsi="Times New Roman" w:eastAsia="仿宋_GB2312" w:cs="Times New Roman"/>
          <w:sz w:val="32"/>
          <w:szCs w:val="32"/>
        </w:rPr>
        <w:t>万元，其中：</w:t>
      </w:r>
    </w:p>
    <w:p w14:paraId="7CA603E4">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196.42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95.02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绩效工资、机关事业单位基本养老保险缴费、职工基本医疗保险缴、其他社会保障缴费、 住房公积金、生活补助、奖励金</w:t>
      </w:r>
      <w:r>
        <w:rPr>
          <w:rFonts w:ascii="Times New Roman" w:hAnsi="Times New Roman" w:eastAsia="仿宋_GB2312" w:cs="Times New Roman"/>
          <w:sz w:val="32"/>
          <w:szCs w:val="32"/>
        </w:rPr>
        <w:t>。</w:t>
      </w:r>
    </w:p>
    <w:p w14:paraId="71D10F66">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4.98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 培训费、 委托业务费、工会经费、 福利费、公务用车运行维护费、其他交通费用、 其他商品和服务支出</w:t>
      </w:r>
      <w:r>
        <w:rPr>
          <w:rFonts w:ascii="Times New Roman" w:hAnsi="Times New Roman" w:eastAsia="仿宋_GB2312" w:cs="Times New Roman"/>
          <w:sz w:val="32"/>
          <w:szCs w:val="32"/>
        </w:rPr>
        <w:t>。</w:t>
      </w:r>
    </w:p>
    <w:p w14:paraId="1738E19D">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8156B49">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8F761CC">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eastAsia="zh-CN"/>
        </w:rPr>
        <w:t>决算为</w:t>
      </w:r>
      <w:r>
        <w:rPr>
          <w:rFonts w:hint="eastAsia" w:ascii="Times New Roman" w:hAnsi="Times New Roman" w:eastAsia="仿宋_GB2312" w:cs="Times New Roman"/>
          <w:sz w:val="32"/>
          <w:szCs w:val="32"/>
          <w:lang w:val="en-US" w:eastAsia="zh-CN"/>
        </w:rPr>
        <w:t>0.6</w:t>
      </w:r>
      <w:r>
        <w:rPr>
          <w:rFonts w:hint="eastAsia" w:ascii="Times New Roman" w:hAnsi="Times New Roman" w:eastAsia="仿宋_GB2312" w:cs="Times New Roman"/>
          <w:sz w:val="32"/>
          <w:szCs w:val="32"/>
          <w:lang w:eastAsia="zh-CN"/>
        </w:rPr>
        <w:t>万元，完成预算的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%；与上年相比减少</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按预算申报数支出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车况老化使用少</w:t>
      </w:r>
      <w:r>
        <w:rPr>
          <w:rFonts w:ascii="Times New Roman" w:hAnsi="Times New Roman" w:eastAsia="仿宋_GB2312" w:cs="Times New Roman"/>
          <w:sz w:val="32"/>
          <w:szCs w:val="32"/>
        </w:rPr>
        <w:t>。</w:t>
      </w:r>
    </w:p>
    <w:p w14:paraId="0AA2A625">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BCACB5A">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w:t>
      </w:r>
      <w:r>
        <w:rPr>
          <w:rFonts w:hint="eastAsia" w:ascii="Times New Roman" w:hAnsi="Times New Roman" w:eastAsia="仿宋_GB2312" w:cs="Times New Roman"/>
          <w:sz w:val="32"/>
          <w:szCs w:val="32"/>
          <w:lang w:eastAsia="zh-CN"/>
        </w:rPr>
        <w:t>公出国（境）费支出预算为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万元，完成预算的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%；与上年相比增加（减少）</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万元，增长（降低）</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lang w:eastAsia="zh-CN"/>
        </w:rPr>
        <w:t>预算数的主要原因是</w:t>
      </w:r>
      <w:r>
        <w:rPr>
          <w:rFonts w:hint="default" w:ascii="Times New Roman" w:hAnsi="Times New Roman" w:eastAsia="仿宋_GB2312" w:cs="Times New Roman"/>
          <w:sz w:val="32"/>
          <w:szCs w:val="32"/>
          <w:lang w:eastAsia="zh-CN"/>
        </w:rPr>
        <w:t>无该项支出</w:t>
      </w:r>
      <w:r>
        <w:rPr>
          <w:rFonts w:hint="eastAsia" w:ascii="Times New Roman" w:hAnsi="Times New Roman" w:eastAsia="仿宋_GB2312" w:cs="Times New Roman"/>
          <w:sz w:val="32"/>
          <w:szCs w:val="32"/>
          <w:lang w:eastAsia="zh-CN"/>
        </w:rPr>
        <w:t>。决算数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lang w:eastAsia="zh-CN"/>
        </w:rPr>
        <w:t>上年数的主要原因是</w:t>
      </w:r>
      <w:r>
        <w:rPr>
          <w:rFonts w:hint="default" w:ascii="Times New Roman" w:hAnsi="Times New Roman" w:eastAsia="仿宋_GB2312" w:cs="Times New Roman"/>
          <w:sz w:val="32"/>
          <w:szCs w:val="32"/>
          <w:lang w:eastAsia="zh-CN"/>
        </w:rPr>
        <w:t>无该</w:t>
      </w:r>
      <w:r>
        <w:rPr>
          <w:rFonts w:hint="default" w:ascii="Times New Roman" w:hAnsi="Times New Roman" w:eastAsia="仿宋_GB2312" w:cs="Times New Roman"/>
          <w:sz w:val="32"/>
          <w:szCs w:val="32"/>
        </w:rPr>
        <w:t>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人次。</w:t>
      </w:r>
    </w:p>
    <w:p w14:paraId="7A5B1F6E">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%。其中：</w:t>
      </w:r>
    </w:p>
    <w:p w14:paraId="67734565">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w:t>
      </w:r>
      <w:r>
        <w:rPr>
          <w:rFonts w:hint="eastAsia" w:ascii="Times New Roman" w:hAnsi="Times New Roman" w:eastAsia="仿宋_GB2312" w:cs="Times New Roman"/>
          <w:sz w:val="32"/>
          <w:szCs w:val="32"/>
          <w:lang w:val="en-US" w:eastAsia="zh-CN"/>
        </w:rPr>
        <w:t>因是</w:t>
      </w:r>
      <w:r>
        <w:rPr>
          <w:rFonts w:hint="default" w:ascii="Times New Roman" w:hAnsi="Times New Roman" w:eastAsia="仿宋_GB2312" w:cs="Times New Roman"/>
          <w:sz w:val="32"/>
          <w:szCs w:val="32"/>
          <w:lang w:val="en-US" w:eastAsia="zh-CN"/>
        </w:rPr>
        <w:t>无该项支出</w:t>
      </w:r>
      <w:r>
        <w:rPr>
          <w:rFonts w:hint="eastAsia" w:ascii="Times New Roman" w:hAnsi="Times New Roman" w:eastAsia="仿宋_GB2312" w:cs="Times New Roman"/>
          <w:sz w:val="32"/>
          <w:szCs w:val="32"/>
          <w:lang w:val="en-US" w:eastAsia="zh-CN"/>
        </w:rPr>
        <w:t>，决算数等于上年数的主要原因是</w:t>
      </w:r>
      <w:r>
        <w:rPr>
          <w:rFonts w:hint="default" w:ascii="Times New Roman" w:hAnsi="Times New Roman" w:eastAsia="仿宋_GB2312" w:cs="Times New Roman"/>
          <w:sz w:val="32"/>
          <w:szCs w:val="32"/>
          <w:lang w:val="en-US" w:eastAsia="zh-CN"/>
        </w:rPr>
        <w:t>无该项支出</w:t>
      </w:r>
      <w:r>
        <w:rPr>
          <w:rFonts w:hint="eastAsia" w:ascii="Times New Roman" w:hAnsi="Times New Roman" w:eastAsia="仿宋_GB2312" w:cs="Times New Roman"/>
          <w:sz w:val="32"/>
          <w:szCs w:val="32"/>
          <w:lang w:val="en-US" w:eastAsia="zh-CN"/>
        </w:rPr>
        <w:t>。</w:t>
      </w:r>
    </w:p>
    <w:p w14:paraId="3B397FCC">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万元，主要是</w:t>
      </w:r>
      <w:r>
        <w:rPr>
          <w:rFonts w:hint="default" w:ascii="Times New Roman" w:hAnsi="Times New Roman" w:eastAsia="仿宋_GB2312" w:cs="Times New Roman"/>
          <w:sz w:val="32"/>
          <w:szCs w:val="32"/>
        </w:rPr>
        <w:t>车辆油料费、车辆维修费、车辆</w:t>
      </w:r>
      <w:r>
        <w:rPr>
          <w:rFonts w:hint="default" w:ascii="Times New Roman" w:hAnsi="Times New Roman" w:eastAsia="仿宋_GB2312" w:cs="Times New Roman"/>
          <w:sz w:val="32"/>
          <w:szCs w:val="32"/>
          <w:lang w:val="en-US" w:eastAsia="zh-CN"/>
        </w:rPr>
        <w:t>保</w:t>
      </w:r>
      <w:r>
        <w:rPr>
          <w:rFonts w:hint="default" w:ascii="Times New Roman" w:hAnsi="Times New Roman" w:eastAsia="仿宋_GB2312" w:cs="Times New Roman"/>
          <w:sz w:val="32"/>
          <w:szCs w:val="32"/>
        </w:rPr>
        <w:t>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按预算申报数支出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车况老化使用少</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7527620C">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default" w:ascii="Times New Roman" w:hAnsi="Times New Roman" w:eastAsia="仿宋_GB2312" w:cs="Times New Roman"/>
          <w:sz w:val="32"/>
          <w:szCs w:val="32"/>
        </w:rPr>
        <w:t>无该项支出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default" w:ascii="Times New Roman" w:hAnsi="Times New Roman" w:eastAsia="仿宋_GB2312" w:cs="Times New Roman"/>
          <w:sz w:val="32"/>
          <w:szCs w:val="32"/>
        </w:rPr>
        <w:t>无该项支出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39F51D64">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cs="Times New Roman"/>
          <w:bCs/>
          <w:sz w:val="32"/>
          <w:szCs w:val="32"/>
        </w:rPr>
        <w:t>八、政府性基金预算收入支出决算情况</w:t>
      </w:r>
    </w:p>
    <w:p w14:paraId="0B3EFBB6">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313.55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313.55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313.55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1F67BEB">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（项）。</w:t>
      </w:r>
    </w:p>
    <w:p w14:paraId="1DA2A7C1">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313.55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属年度追加预算</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2025年9月新增困境儿童集中委托照护项目及儿童福利院提质改造项目。</w:t>
      </w:r>
    </w:p>
    <w:p w14:paraId="16AA9712">
      <w:pPr>
        <w:pStyle w:val="15"/>
        <w:keepNext w:val="0"/>
        <w:keepLines w:val="0"/>
        <w:pageBreakBefore w:val="0"/>
        <w:numPr>
          <w:ilvl w:val="0"/>
          <w:numId w:val="2"/>
        </w:numPr>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国有资本经营预算收入支出决算情况</w:t>
      </w:r>
    </w:p>
    <w:p w14:paraId="20E347B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本年度无国有资本经营预算财政拨款收入支出。</w:t>
      </w:r>
    </w:p>
    <w:p w14:paraId="7B509C9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0A2C356F">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万元，比年初预算数（或者上年决算数）增加（减少）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%。主要原因是：</w:t>
      </w:r>
      <w:r>
        <w:rPr>
          <w:rFonts w:hint="default" w:ascii="Times New Roman" w:hAnsi="Times New Roman" w:eastAsia="仿宋_GB2312" w:cs="Times New Roman"/>
          <w:sz w:val="32"/>
          <w:szCs w:val="32"/>
        </w:rPr>
        <w:t>无预算无支出。</w:t>
      </w:r>
    </w:p>
    <w:p w14:paraId="76648C19">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A7924F6">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事业单位工作人员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2025年本单位在职人员继续教育培训。</w:t>
      </w:r>
    </w:p>
    <w:p w14:paraId="4A7BA4F0">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106F7E0D">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536.28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34.43</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246.65</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255.20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54.01</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w:t>
      </w:r>
      <w:r>
        <w:rPr>
          <w:rFonts w:hint="eastAsia" w:ascii="Times New Roman" w:hAnsi="Times New Roman" w:eastAsia="仿宋_GB2312" w:cs="Times New Roman"/>
          <w:color w:val="auto"/>
          <w:sz w:val="32"/>
          <w:szCs w:val="32"/>
          <w:lang w:val="en-US" w:eastAsia="zh-CN"/>
        </w:rPr>
        <w:t>的100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1361D31B">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27E31611">
      <w:pPr>
        <w:pStyle w:val="15"/>
        <w:keepNext w:val="0"/>
        <w:keepLines w:val="0"/>
        <w:pageBreakBefore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D13261C">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0D50A8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七</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944.24</w:t>
      </w:r>
      <w:bookmarkStart w:id="0" w:name="_GoBack"/>
      <w:bookmarkEnd w:id="0"/>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 xml:space="preserve">3 </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246.69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92.35</w:t>
      </w:r>
      <w:r>
        <w:rPr>
          <w:rFonts w:ascii="Times New Roman" w:hAnsi="Times New Roman" w:eastAsia="仿宋_GB2312" w:cs="Times New Roman"/>
          <w:kern w:val="0"/>
          <w:sz w:val="32"/>
          <w:szCs w:val="32"/>
        </w:rPr>
        <w:t>%；政府性基金预算</w:t>
      </w:r>
      <w:r>
        <w:rPr>
          <w:rFonts w:hint="eastAsia" w:ascii="Times New Roman" w:hAnsi="Times New Roman" w:eastAsia="仿宋_GB2312" w:cs="Times New Roman"/>
          <w:kern w:val="0"/>
          <w:sz w:val="32"/>
          <w:szCs w:val="32"/>
          <w:lang w:val="en-US" w:eastAsia="zh-CN"/>
        </w:rPr>
        <w:t>项目4个313.55万元</w:t>
      </w:r>
      <w:r>
        <w:rPr>
          <w:rFonts w:ascii="Times New Roman" w:hAnsi="Times New Roman" w:eastAsia="仿宋_GB2312" w:cs="Times New Roman"/>
          <w:kern w:val="0"/>
          <w:sz w:val="32"/>
          <w:szCs w:val="32"/>
        </w:rPr>
        <w:t>，占政府性基金预算支出总额的</w:t>
      </w:r>
      <w:r>
        <w:rPr>
          <w:rFonts w:hint="eastAsia" w:ascii="Times New Roman" w:hAnsi="Times New Roman" w:eastAsia="仿宋_GB2312" w:cs="Times New Roman"/>
          <w:kern w:val="0"/>
          <w:sz w:val="32"/>
          <w:szCs w:val="32"/>
          <w:lang w:val="en-US" w:eastAsia="zh-CN"/>
        </w:rPr>
        <w:t>91.36</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1BBEC8FA">
      <w:pPr>
        <w:ind w:firstLine="646" w:firstLineChars="202"/>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998.06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944.24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94.61%</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仿宋" w:hAnsi="仿宋" w:eastAsia="仿宋" w:cs="仿宋"/>
          <w:b w:val="0"/>
          <w:bCs w:val="0"/>
          <w:sz w:val="32"/>
          <w:szCs w:val="32"/>
          <w:lang w:val="en-US" w:eastAsia="zh-CN"/>
        </w:rPr>
        <w:t>搭建儿童“幸福成长桥”，专业服务暖夕阳，托起长者“银发幸福”，认真做好失能失智长者照护中心运营工作，有序推进儿童部提质改造项目，扎实做好成年孤儿安置与关怀，推进困境儿童委托照护；积极推进了儿童福利机构“精准化管理、精细化服务”提质行动，充分拓展社会服务职能，</w:t>
      </w:r>
      <w:r>
        <w:rPr>
          <w:rFonts w:hint="eastAsia" w:ascii="仿宋" w:hAnsi="仿宋" w:eastAsia="仿宋" w:cs="仿宋"/>
          <w:sz w:val="32"/>
          <w:szCs w:val="32"/>
          <w:lang w:val="en-US" w:eastAsia="zh-CN"/>
        </w:rPr>
        <w:t>组织未成年人保护中心开展了春节慰问、亲情陪伴、慈善公益冬令营、“走出大山看世界”慈善公益研学等系列活动，帮助困境儿童走出家门、融入社会、开阔眼界，全面提升身心健康素质</w:t>
      </w:r>
      <w:r>
        <w:rPr>
          <w:rFonts w:ascii="Times New Roman" w:hAnsi="Times New Roman" w:eastAsia="仿宋_GB2312" w:cs="Times New Roman"/>
          <w:sz w:val="32"/>
          <w:szCs w:val="32"/>
        </w:rPr>
        <w:t>。发现的主要问题及原因：</w:t>
      </w:r>
      <w:r>
        <w:rPr>
          <w:rFonts w:hint="eastAsia" w:ascii="仿宋" w:hAnsi="仿宋" w:eastAsia="仿宋" w:cs="仿宋"/>
          <w:w w:val="100"/>
          <w:sz w:val="32"/>
          <w:szCs w:val="32"/>
        </w:rPr>
        <w:t>存在部分项目资金使用进度较慢的情况。主要原因包括个别项目前期筹备时间较长，流程环节较为复杂，导致实际支出与绩效目标在时间进度上出现偏离；同时，在项目推进过程中，由于对一些不可预见因素预估不足，一定程度上影响了支出的及时性和均衡性。</w:t>
      </w:r>
      <w:r>
        <w:rPr>
          <w:rFonts w:ascii="Times New Roman" w:hAnsi="Times New Roman" w:eastAsia="仿宋_GB2312" w:cs="Times New Roman"/>
          <w:sz w:val="32"/>
          <w:szCs w:val="32"/>
        </w:rPr>
        <w:t>下一步改进措施：</w:t>
      </w:r>
      <w:r>
        <w:rPr>
          <w:rFonts w:hint="eastAsia" w:ascii="仿宋" w:hAnsi="仿宋" w:eastAsia="仿宋" w:cs="仿宋"/>
          <w:w w:val="100"/>
          <w:sz w:val="32"/>
          <w:szCs w:val="32"/>
        </w:rPr>
        <w:t>首先，进一步加强项目的前期规划和准备工作，优化流程，提高项目实施效率。强化对不可预见因素的预判和应对能力，制定更具灵活性的预案。建立更加完善的支出进度跟踪和监督机制，定期对预算执行情况进行评估和调整。加强与相关部门的沟通协调，确保项目顺利推进和资金合理使用。持续提升工作人员的绩效意识和业务能力，为更好地实现绩效目标提供有力保障。</w:t>
      </w:r>
    </w:p>
    <w:p w14:paraId="576C468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color w:val="auto"/>
          <w:sz w:val="32"/>
          <w:szCs w:val="32"/>
          <w:highlight w:val="none"/>
          <w:lang w:val="en-US" w:eastAsia="zh-CN"/>
        </w:rPr>
        <w:t>为进一步规范财政资金管理，强化支出责任，提高财政资金的使用效益，建立科学、合理的财政支出绩效管理评价体系，单位依照怀财绩【2026】36号文的要求，贯彻落实中央和省、市关于全面实施预算绩效管理决策部里，进一步规范财政资金管理、强化绩效意识和支出责任，提高本单位预算绩效管理整体水平，要把《中共中央  国务院关于全面实施预算绩效管理的意见》（中发【2018】34号）和《中共怀化市委办公室 怀化市人民政府办公室关于全面实施预算绩效管理的通知》（怀办发电【2019】48号）等文件规定和深化零基预算改革有关要求，我单位开展了2025年度绩效自评工作，具体情况如下：</w:t>
      </w:r>
    </w:p>
    <w:p w14:paraId="288BFA2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1.2025年，我单位自评得分99.46分。</w:t>
      </w:r>
    </w:p>
    <w:p w14:paraId="72FAC94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2.2025年，单位整体支出年初预算351.30万元，其中基本支出181.55万元，项目支出70万元。全年总预算998.06万元，其中基本支出316万元，项目支出682.06万元。全年决算数944.24万元，其中基本支出291.83万元，项目支出652.41万元，财政拨款收入预决算差异率204.89%，产生这一差异的原因是</w:t>
      </w:r>
      <w:r>
        <w:rPr>
          <w:rFonts w:hint="eastAsia" w:ascii="仿宋" w:hAnsi="仿宋" w:eastAsia="仿宋" w:cs="仿宋"/>
          <w:color w:val="auto"/>
          <w:sz w:val="32"/>
          <w:szCs w:val="32"/>
          <w:highlight w:val="none"/>
          <w:lang w:val="en-US" w:eastAsia="zh-CN"/>
        </w:rPr>
        <w:t>2025年度追加一般公共预算财政拨款和政府性基金财政拨款收入，用于完成困难群众求助、失能失智长者照护中心建设经、儿童福利机构养治教康、弃婴喂养、残疾儿童康复救助等专项工作的开展。</w:t>
      </w:r>
    </w:p>
    <w:p w14:paraId="1A008AA9">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单位绩效自评指标说明</w:t>
      </w:r>
    </w:p>
    <w:p w14:paraId="043D0847">
      <w:pPr>
        <w:numPr>
          <w:ilvl w:val="0"/>
          <w:numId w:val="4"/>
        </w:numPr>
        <w:ind w:left="0" w:leftChars="0" w:firstLine="400" w:firstLineChars="0"/>
        <w:rPr>
          <w:rFonts w:hint="eastAsia" w:ascii="仿宋" w:hAnsi="仿宋" w:eastAsia="仿宋" w:cs="仿宋"/>
          <w:w w:val="100"/>
          <w:sz w:val="32"/>
          <w:szCs w:val="32"/>
        </w:rPr>
      </w:pPr>
      <w:r>
        <w:rPr>
          <w:rFonts w:hint="eastAsia" w:ascii="仿宋" w:hAnsi="仿宋" w:eastAsia="仿宋" w:cs="仿宋"/>
          <w:color w:val="auto"/>
          <w:sz w:val="32"/>
          <w:szCs w:val="32"/>
          <w:highlight w:val="none"/>
          <w:lang w:val="en-US" w:eastAsia="zh-CN"/>
        </w:rPr>
        <w:t>成本指标：单位整体支出全年预算数</w:t>
      </w:r>
      <w:r>
        <w:rPr>
          <w:rFonts w:hint="eastAsia" w:ascii="仿宋" w:hAnsi="仿宋" w:eastAsia="仿宋" w:cs="仿宋"/>
          <w:b w:val="0"/>
          <w:bCs w:val="0"/>
          <w:color w:val="auto"/>
          <w:sz w:val="32"/>
          <w:szCs w:val="32"/>
          <w:highlight w:val="none"/>
          <w:lang w:val="en-US" w:eastAsia="zh-CN"/>
        </w:rPr>
        <w:t>998.06</w:t>
      </w:r>
      <w:r>
        <w:rPr>
          <w:rFonts w:hint="eastAsia" w:ascii="仿宋" w:hAnsi="仿宋" w:eastAsia="仿宋" w:cs="仿宋"/>
          <w:color w:val="auto"/>
          <w:sz w:val="32"/>
          <w:szCs w:val="32"/>
          <w:highlight w:val="none"/>
          <w:lang w:val="en-US" w:eastAsia="zh-CN"/>
        </w:rPr>
        <w:t>万元，实际支出</w:t>
      </w:r>
      <w:r>
        <w:rPr>
          <w:rFonts w:hint="eastAsia" w:ascii="仿宋" w:hAnsi="仿宋" w:eastAsia="仿宋" w:cs="仿宋"/>
          <w:b w:val="0"/>
          <w:bCs w:val="0"/>
          <w:color w:val="auto"/>
          <w:sz w:val="32"/>
          <w:szCs w:val="32"/>
          <w:highlight w:val="none"/>
          <w:lang w:val="en-US" w:eastAsia="zh-CN"/>
        </w:rPr>
        <w:t>944.24</w:t>
      </w:r>
      <w:r>
        <w:rPr>
          <w:rFonts w:hint="eastAsia" w:ascii="仿宋" w:hAnsi="仿宋" w:eastAsia="仿宋" w:cs="仿宋"/>
          <w:color w:val="auto"/>
          <w:sz w:val="32"/>
          <w:szCs w:val="32"/>
          <w:highlight w:val="none"/>
          <w:lang w:val="en-US" w:eastAsia="zh-CN"/>
        </w:rPr>
        <w:t>万元，预算执行率94.61%。本年度我院严格落实财政预算成本管控要求，整体预算支出偏差率控制在合理区间，食材、护理耗材、设备采购均严格执行政府采购制度，未发生三公经费超支、违规用工、资产闲置浪费等额外成本支出。单位要加强</w:t>
      </w:r>
      <w:r>
        <w:rPr>
          <w:rFonts w:hint="eastAsia" w:ascii="仿宋" w:hAnsi="仿宋" w:eastAsia="仿宋" w:cs="仿宋"/>
          <w:color w:val="000000"/>
          <w:kern w:val="0"/>
          <w:sz w:val="32"/>
          <w:szCs w:val="32"/>
          <w:lang w:val="en-US" w:eastAsia="zh-CN"/>
        </w:rPr>
        <w:t>预算编制，提高预算准确性和完整性，重视</w:t>
      </w:r>
      <w:r>
        <w:rPr>
          <w:rFonts w:hint="eastAsia" w:ascii="仿宋" w:hAnsi="仿宋" w:eastAsia="仿宋" w:cs="仿宋"/>
          <w:color w:val="auto"/>
          <w:sz w:val="32"/>
          <w:szCs w:val="32"/>
          <w:highlight w:val="none"/>
          <w:lang w:val="en-US" w:eastAsia="zh-CN"/>
        </w:rPr>
        <w:t>项目执行预案的设计，以应变项目执行中的突发事件，提高财政资金使用效益</w:t>
      </w:r>
      <w:r>
        <w:rPr>
          <w:rFonts w:hint="eastAsia" w:ascii="仿宋" w:hAnsi="仿宋" w:eastAsia="仿宋" w:cs="仿宋"/>
          <w:color w:val="000000"/>
          <w:kern w:val="0"/>
          <w:sz w:val="32"/>
          <w:szCs w:val="32"/>
          <w:lang w:val="en-US" w:eastAsia="zh-CN"/>
        </w:rPr>
        <w:t>。</w:t>
      </w:r>
      <w:r>
        <w:rPr>
          <w:rFonts w:hint="eastAsia" w:ascii="仿宋" w:hAnsi="仿宋" w:eastAsia="仿宋" w:cs="仿宋"/>
          <w:w w:val="100"/>
          <w:sz w:val="32"/>
          <w:szCs w:val="32"/>
          <w:lang w:val="en-US" w:eastAsia="zh-CN"/>
        </w:rPr>
        <w:t>整体支出</w:t>
      </w:r>
      <w:r>
        <w:rPr>
          <w:rFonts w:hint="eastAsia" w:ascii="仿宋" w:hAnsi="仿宋" w:eastAsia="仿宋" w:cs="仿宋"/>
          <w:w w:val="100"/>
          <w:sz w:val="32"/>
          <w:szCs w:val="32"/>
        </w:rPr>
        <w:t>严格控制在预算范围内</w:t>
      </w:r>
      <w:r>
        <w:rPr>
          <w:rFonts w:hint="eastAsia" w:ascii="仿宋" w:hAnsi="仿宋" w:eastAsia="仿宋" w:cs="仿宋"/>
          <w:w w:val="100"/>
          <w:sz w:val="32"/>
          <w:szCs w:val="32"/>
          <w:lang w:eastAsia="zh-CN"/>
        </w:rPr>
        <w:t>，</w:t>
      </w:r>
      <w:r>
        <w:rPr>
          <w:rFonts w:hint="eastAsia" w:ascii="仿宋" w:hAnsi="仿宋" w:eastAsia="仿宋" w:cs="仿宋"/>
          <w:w w:val="100"/>
          <w:sz w:val="32"/>
          <w:szCs w:val="32"/>
        </w:rPr>
        <w:t>通过合理安排资金，优化资源配置，在保障</w:t>
      </w:r>
      <w:r>
        <w:rPr>
          <w:rFonts w:hint="eastAsia" w:ascii="仿宋" w:hAnsi="仿宋" w:eastAsia="仿宋" w:cs="仿宋"/>
          <w:w w:val="100"/>
          <w:sz w:val="32"/>
          <w:szCs w:val="32"/>
          <w:lang w:val="en-US" w:eastAsia="zh-CN"/>
        </w:rPr>
        <w:t>机构基本运行和确保项目实施</w:t>
      </w:r>
      <w:r>
        <w:rPr>
          <w:rFonts w:hint="eastAsia" w:ascii="仿宋" w:hAnsi="仿宋" w:eastAsia="仿宋" w:cs="仿宋"/>
          <w:w w:val="100"/>
          <w:sz w:val="32"/>
          <w:szCs w:val="32"/>
        </w:rPr>
        <w:t>质量和效果的前提下，实现了成本的有效控制。</w:t>
      </w:r>
    </w:p>
    <w:p w14:paraId="49C09B2E">
      <w:pPr>
        <w:numPr>
          <w:ilvl w:val="0"/>
          <w:numId w:val="4"/>
        </w:numPr>
        <w:ind w:left="0" w:leftChars="0" w:firstLine="400" w:firstLineChars="0"/>
        <w:rPr>
          <w:rFonts w:hint="eastAsia" w:ascii="仿宋" w:hAnsi="仿宋" w:eastAsia="仿宋" w:cs="仿宋"/>
          <w:b w:val="0"/>
          <w:bCs w:val="0"/>
          <w:sz w:val="32"/>
          <w:szCs w:val="32"/>
          <w:lang w:val="en-US" w:eastAsia="zh-CN"/>
        </w:rPr>
      </w:pPr>
      <w:r>
        <w:rPr>
          <w:rFonts w:hint="eastAsia" w:ascii="仿宋" w:hAnsi="仿宋" w:eastAsia="仿宋" w:cs="仿宋"/>
          <w:color w:val="auto"/>
          <w:sz w:val="32"/>
          <w:szCs w:val="32"/>
          <w:highlight w:val="none"/>
          <w:lang w:val="en-US" w:eastAsia="zh-CN"/>
        </w:rPr>
        <w:t>产出指标：</w:t>
      </w:r>
      <w:r>
        <w:rPr>
          <w:rFonts w:hint="eastAsia" w:ascii="仿宋" w:hAnsi="仿宋" w:eastAsia="仿宋" w:cs="仿宋"/>
          <w:b w:val="0"/>
          <w:bCs w:val="0"/>
          <w:color w:val="000000"/>
          <w:kern w:val="0"/>
          <w:sz w:val="32"/>
          <w:szCs w:val="32"/>
        </w:rPr>
        <w:t>持续抓好党建、党风廉政建设和意识形态工作</w:t>
      </w:r>
      <w:r>
        <w:rPr>
          <w:rFonts w:hint="eastAsia" w:ascii="仿宋" w:hAnsi="仿宋" w:eastAsia="仿宋" w:cs="仿宋"/>
          <w:b w:val="0"/>
          <w:bCs w:val="0"/>
          <w:color w:val="000000"/>
          <w:kern w:val="0"/>
          <w:sz w:val="32"/>
          <w:szCs w:val="32"/>
          <w:lang w:eastAsia="zh-CN"/>
        </w:rPr>
        <w:t>，</w:t>
      </w:r>
      <w:r>
        <w:rPr>
          <w:rFonts w:hint="eastAsia" w:ascii="仿宋" w:hAnsi="仿宋" w:eastAsia="仿宋" w:cs="仿宋"/>
          <w:b w:val="0"/>
          <w:bCs w:val="0"/>
          <w:color w:val="000000"/>
          <w:kern w:val="0"/>
          <w:sz w:val="32"/>
          <w:szCs w:val="32"/>
          <w:lang w:val="en-US" w:eastAsia="zh-CN"/>
        </w:rPr>
        <w:t>完善内部管理；</w:t>
      </w:r>
      <w:r>
        <w:rPr>
          <w:rFonts w:hint="eastAsia" w:ascii="仿宋" w:hAnsi="仿宋" w:eastAsia="仿宋" w:cs="仿宋"/>
          <w:b w:val="0"/>
          <w:bCs w:val="0"/>
          <w:sz w:val="32"/>
          <w:szCs w:val="32"/>
          <w:lang w:val="en-US" w:eastAsia="zh-CN"/>
        </w:rPr>
        <w:t>安全生产方面，加强责任落实，提高安全技能，消除安全隐患，完善设施建设，筑牢饮食安全防线；业务方面主要完善制度建设，加强</w:t>
      </w:r>
      <w:r>
        <w:rPr>
          <w:rFonts w:hint="eastAsia" w:ascii="仿宋" w:hAnsi="仿宋" w:eastAsia="仿宋" w:cs="仿宋"/>
          <w:b w:val="0"/>
          <w:bCs w:val="0"/>
          <w:sz w:val="32"/>
          <w:szCs w:val="32"/>
          <w:lang w:eastAsia="zh-CN"/>
        </w:rPr>
        <w:t>队伍建设，</w:t>
      </w:r>
      <w:r>
        <w:rPr>
          <w:rFonts w:hint="eastAsia" w:ascii="仿宋" w:hAnsi="仿宋" w:eastAsia="仿宋" w:cs="仿宋"/>
          <w:b w:val="0"/>
          <w:bCs w:val="0"/>
          <w:sz w:val="32"/>
          <w:szCs w:val="32"/>
          <w:lang w:val="en-US" w:eastAsia="zh-CN"/>
        </w:rPr>
        <w:t>夯实规范管理。</w:t>
      </w:r>
      <w:r>
        <w:rPr>
          <w:rFonts w:hint="eastAsia" w:ascii="仿宋" w:hAnsi="仿宋" w:eastAsia="仿宋" w:cs="仿宋"/>
          <w:b w:val="0"/>
          <w:bCs w:val="0"/>
          <w:sz w:val="32"/>
          <w:szCs w:val="32"/>
          <w:lang w:eastAsia="zh-CN"/>
        </w:rPr>
        <w:t>规范日常护理，</w:t>
      </w:r>
      <w:r>
        <w:rPr>
          <w:rFonts w:hint="eastAsia" w:ascii="仿宋" w:hAnsi="仿宋" w:eastAsia="仿宋" w:cs="仿宋"/>
          <w:sz w:val="32"/>
          <w:szCs w:val="32"/>
          <w:lang w:eastAsia="zh-CN"/>
        </w:rPr>
        <w:t>改造</w:t>
      </w:r>
      <w:r>
        <w:rPr>
          <w:rFonts w:hint="eastAsia" w:ascii="仿宋" w:hAnsi="仿宋" w:eastAsia="仿宋" w:cs="仿宋"/>
          <w:sz w:val="32"/>
          <w:szCs w:val="32"/>
          <w:lang w:val="en-US" w:eastAsia="zh-CN"/>
        </w:rPr>
        <w:t>生活</w:t>
      </w:r>
      <w:r>
        <w:rPr>
          <w:rFonts w:hint="eastAsia" w:ascii="仿宋" w:hAnsi="仿宋" w:eastAsia="仿宋" w:cs="仿宋"/>
          <w:sz w:val="32"/>
          <w:szCs w:val="32"/>
          <w:lang w:eastAsia="zh-CN"/>
        </w:rPr>
        <w:t>环境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按照儿童福利中心提质改造的工作进度</w:t>
      </w:r>
      <w:r>
        <w:rPr>
          <w:rFonts w:hint="eastAsia" w:ascii="仿宋" w:hAnsi="仿宋" w:eastAsia="仿宋" w:cs="仿宋"/>
          <w:sz w:val="32"/>
          <w:szCs w:val="32"/>
          <w:lang w:val="en-US" w:eastAsia="zh-CN"/>
        </w:rPr>
        <w:t>计划，扎实完成了提质改造工程建设，满足供养儿童的多元化需求。</w:t>
      </w:r>
      <w:r>
        <w:rPr>
          <w:rFonts w:hint="eastAsia" w:ascii="仿宋" w:hAnsi="仿宋" w:eastAsia="仿宋" w:cs="仿宋"/>
          <w:sz w:val="32"/>
          <w:szCs w:val="32"/>
          <w:lang w:eastAsia="zh-CN"/>
        </w:rPr>
        <w:t>积极与市残联、医保局等</w:t>
      </w:r>
      <w:r>
        <w:rPr>
          <w:rFonts w:hint="eastAsia" w:ascii="仿宋" w:hAnsi="仿宋" w:eastAsia="仿宋" w:cs="仿宋"/>
          <w:sz w:val="32"/>
          <w:szCs w:val="32"/>
        </w:rPr>
        <w:t>相关部门</w:t>
      </w:r>
      <w:r>
        <w:rPr>
          <w:rFonts w:hint="eastAsia" w:ascii="仿宋" w:hAnsi="仿宋" w:eastAsia="仿宋" w:cs="仿宋"/>
          <w:sz w:val="32"/>
          <w:szCs w:val="32"/>
          <w:lang w:eastAsia="zh-CN"/>
        </w:rPr>
        <w:t>协调对接</w:t>
      </w:r>
      <w:r>
        <w:rPr>
          <w:rFonts w:hint="eastAsia" w:ascii="仿宋" w:hAnsi="仿宋" w:eastAsia="仿宋" w:cs="仿宋"/>
          <w:sz w:val="32"/>
          <w:szCs w:val="32"/>
        </w:rPr>
        <w:t>，</w:t>
      </w:r>
      <w:r>
        <w:rPr>
          <w:rFonts w:hint="eastAsia" w:ascii="仿宋" w:hAnsi="仿宋" w:eastAsia="仿宋" w:cs="仿宋"/>
          <w:sz w:val="32"/>
          <w:szCs w:val="32"/>
          <w:lang w:eastAsia="zh-CN"/>
        </w:rPr>
        <w:t>及时</w:t>
      </w:r>
      <w:r>
        <w:rPr>
          <w:rFonts w:hint="eastAsia" w:ascii="仿宋" w:hAnsi="仿宋" w:eastAsia="仿宋" w:cs="仿宋"/>
          <w:sz w:val="32"/>
          <w:szCs w:val="32"/>
        </w:rPr>
        <w:t>完成</w:t>
      </w:r>
      <w:r>
        <w:rPr>
          <w:rFonts w:hint="eastAsia" w:ascii="仿宋" w:hAnsi="仿宋" w:eastAsia="仿宋" w:cs="仿宋"/>
          <w:sz w:val="32"/>
          <w:szCs w:val="32"/>
          <w:lang w:eastAsia="zh-CN"/>
        </w:rPr>
        <w:t>了</w:t>
      </w:r>
      <w:r>
        <w:rPr>
          <w:rFonts w:hint="eastAsia" w:ascii="仿宋" w:hAnsi="仿宋" w:eastAsia="仿宋" w:cs="仿宋"/>
          <w:sz w:val="32"/>
          <w:szCs w:val="32"/>
        </w:rPr>
        <w:t>孤残儿童城镇医疗参保工作，解决孤残儿童看病经费难的问题</w:t>
      </w:r>
      <w:r>
        <w:rPr>
          <w:rFonts w:hint="eastAsia" w:ascii="仿宋" w:hAnsi="仿宋" w:eastAsia="仿宋" w:cs="仿宋"/>
          <w:sz w:val="32"/>
          <w:szCs w:val="32"/>
          <w:lang w:eastAsia="zh-CN"/>
        </w:rPr>
        <w:t>；重点关注长期服药的慢性病儿童，及时根据身体情况调整日常用药，开展</w:t>
      </w:r>
      <w:r>
        <w:rPr>
          <w:rFonts w:hint="eastAsia" w:ascii="仿宋" w:hAnsi="仿宋" w:eastAsia="仿宋" w:cs="仿宋"/>
          <w:sz w:val="32"/>
          <w:szCs w:val="32"/>
        </w:rPr>
        <w:t>方便快捷的专业化医疗保健服务</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 开展定期评估与培训，加强康复师资培训，安排专人积极参加省厅组织的专业培训和邀请儿童康复专家、资深心理治疗师进行专业知识讲座等方式，对中心康复师进行业务培训，不断提升康复人员业务技能。将特殊教育和康复治疗有机结合，以更科学的理念、更精湛的技能，护航每一位特殊需要儿童的成长之路。设立心理咨询室，了解孩子们的心理状态，及时发现并解决他们的心理困扰，引导他们树立积极乐观的人生态度，学会自我调节情绪。今年组织心理健康教育课程4次，开展10岁以上儿童心理健康测评31人次。积极搭建社会联动平台，广泛凝聚社会爱心力量，为孩子们的成长注入更多温暖。今年院里组织集体生日活动4次、外出郊游3次，为孩子们带来更多的关爱与陪伴；爱心人士、爱心企业团体开展关爱主题活动27余次。严格遵循收养相关法律法规，构建规范化、全流程的收养安置服务体系，今年回归家庭儿童2名；全程守护出嫁“女儿”刘福芳孕晚期护理，积极对接市民政局、市慈善办申请资金救助，解决其孕检、生产及产后月子中心护理等系列费用近3万余元；协调相关部门，顺利完成大龄孤儿廖君美低保申请办理工作，妥善落实离院用房安置事宜，全力保障其基本生活权益。聚焦事实无人抚养困境儿童的年龄特点与成长需求，精准提供生活照料、学业辅导、心理疏导、兴趣培养等全方位、多元化照护服务。同时，还强化与家庭、社区及相关部门的联动协作，清晰界定各方权责，构建“机构照护+家庭联动+社会支持”的多元协同保障机制，全方位筑牢困境儿童权益保护防线。截至目前，中心共接收市辖各县（市）区委托照护困境儿</w:t>
      </w:r>
      <w:r>
        <w:rPr>
          <w:rFonts w:hint="eastAsia" w:ascii="仿宋" w:hAnsi="仿宋" w:eastAsia="仿宋" w:cs="仿宋"/>
          <w:sz w:val="32"/>
          <w:szCs w:val="32"/>
          <w:highlight w:val="yellow"/>
          <w:lang w:val="en-US" w:eastAsia="zh-CN"/>
        </w:rPr>
        <w:t>童33名</w:t>
      </w:r>
      <w:r>
        <w:rPr>
          <w:rFonts w:hint="eastAsia" w:ascii="仿宋" w:hAnsi="仿宋" w:eastAsia="仿宋" w:cs="仿宋"/>
          <w:sz w:val="32"/>
          <w:szCs w:val="32"/>
          <w:lang w:val="en-US" w:eastAsia="zh-CN"/>
        </w:rPr>
        <w:t>，累计开展健康体检33人次，组织特色文体活动46场、心理疏导服务98次、社会爱心公益活动23次，募集爱心物资1200余件，切实以精准服务为困境儿童撑起健康快乐成长的蓝天。全年未发生食品安全、人身安全、消防安全责任事，时效层面财政整体支出资金拨付、经费结算按期完成，预算执行时序进度达标，全面实现福利院民生保障核心产出目标。</w:t>
      </w:r>
      <w:r>
        <w:rPr>
          <w:rFonts w:hint="eastAsia" w:ascii="仿宋" w:hAnsi="仿宋" w:eastAsia="仿宋" w:cs="仿宋"/>
          <w:b w:val="0"/>
          <w:bCs w:val="0"/>
          <w:sz w:val="32"/>
          <w:szCs w:val="32"/>
          <w:lang w:val="en-US" w:eastAsia="zh-CN"/>
        </w:rPr>
        <w:t>所有支付均在2025年12月31日前完成，完成及时率100%。</w:t>
      </w:r>
    </w:p>
    <w:p w14:paraId="1E39557A">
      <w:pPr>
        <w:numPr>
          <w:ilvl w:val="0"/>
          <w:numId w:val="4"/>
        </w:numPr>
        <w:spacing w:line="360" w:lineRule="auto"/>
        <w:ind w:left="0" w:leftChars="0" w:firstLine="400" w:firstLineChars="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效益指标：本年度我院整体支出资金效益充分发挥，社会效益层面，圆满完成辖区特困老年人、残疾特困人员集中兜底供养民生任务，切实保障弱势群体基本生活、医疗、康养权益，完善区域公益性社会福利服务体系，化解特困群体生活照料难题，助力基层民生保障与社会维稳工作；可持续影响层面，依托财政经费保障机构人员运转、设施运维、服务供给，机构管理制度、护理服务体系、基础设施长效落地，福利机构兜底服务、资产使用、人员运营具备长期可持续能力；服务效益层面，通过优化膳食配比、升级居住环境、落实个性化护理服务，服务对象综合满意度超额完成目标，全年无有效服务投诉、负面舆情及安全纠纷，财政资金民生效益、公益效益全面落地，资金使用效益优良。</w:t>
      </w:r>
    </w:p>
    <w:p w14:paraId="5AD0F404">
      <w:pPr>
        <w:numPr>
          <w:ilvl w:val="0"/>
          <w:numId w:val="4"/>
        </w:numPr>
        <w:spacing w:line="360" w:lineRule="auto"/>
        <w:ind w:left="0" w:leftChars="0" w:firstLine="400" w:firstLineChars="0"/>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sz w:val="32"/>
          <w:szCs w:val="32"/>
          <w:lang w:val="en-US" w:eastAsia="zh-CN"/>
        </w:rPr>
        <w:t>满意度指标：</w:t>
      </w:r>
      <w:r>
        <w:rPr>
          <w:rFonts w:hint="eastAsia" w:ascii="仿宋" w:hAnsi="仿宋" w:eastAsia="仿宋" w:cs="仿宋"/>
          <w:sz w:val="32"/>
          <w:szCs w:val="32"/>
          <w:lang w:val="en-US" w:eastAsia="zh-CN"/>
        </w:rPr>
        <w:t>每月开展多维度技能考核，涵盖理论知识、实操规范、服务态度等核心维度，考核合格率100%、优秀率达30%，有效夯实护理团队专业素养。传统节日期间，策划开展“团圆饺子宴”“浓情端午·粽叶飘香”“情暖中秋·共话团圆”“敬老爱老·情暖重阳”等主题活动，传承敬老爱老传统美德，营造浓厚节日氛围。重点关注性格孤僻、子女不在身边的长者，建立“专人结对陪伴”机制，定期开展心理疏导，有效缓解长者孤独感。积极对接志愿者团队，全年开展志愿服务十余次，丰富长者精神文化生活。</w:t>
      </w:r>
      <w:r>
        <w:rPr>
          <w:rFonts w:hint="eastAsia" w:ascii="仿宋" w:hAnsi="仿宋" w:eastAsia="仿宋" w:cs="仿宋"/>
          <w:b w:val="0"/>
          <w:bCs w:val="0"/>
          <w:sz w:val="32"/>
          <w:szCs w:val="32"/>
          <w:lang w:val="en-US" w:eastAsia="zh-CN"/>
        </w:rPr>
        <w:t>通过对服务对象满意程度的调查，本年度院内供养对象综合满意度、家属满意度、主管部门满意度均超额完成既定绩效目标，全年无有效服务投诉、信访举报及负面舆情。依托整体支出经费优化食宿条件、提升护理服务质量、完善诉求处置机制，切实提升弱势群体服务体验，财政民生服务获得感显著提升，满意度指标全部达标。群众满意度达90%以上，完成年度绩效指标。</w:t>
      </w:r>
    </w:p>
    <w:p w14:paraId="23521F45">
      <w:pPr>
        <w:pStyle w:val="15"/>
        <w:spacing w:line="360" w:lineRule="auto"/>
        <w:jc w:val="center"/>
        <w:rPr>
          <w:rFonts w:ascii="Times New Roman" w:hAnsi="Times New Roman" w:eastAsia="方正小标宋_GBK" w:cs="Times New Roman"/>
          <w:sz w:val="52"/>
          <w:szCs w:val="52"/>
        </w:rPr>
      </w:pPr>
    </w:p>
    <w:p w14:paraId="43E13C2A">
      <w:pPr>
        <w:pStyle w:val="15"/>
        <w:spacing w:line="360" w:lineRule="auto"/>
        <w:jc w:val="center"/>
        <w:rPr>
          <w:rFonts w:ascii="Times New Roman" w:hAnsi="Times New Roman" w:eastAsia="方正小标宋_GBK" w:cs="Times New Roman"/>
          <w:sz w:val="52"/>
          <w:szCs w:val="52"/>
        </w:rPr>
      </w:pPr>
    </w:p>
    <w:p w14:paraId="6ECF803D">
      <w:pPr>
        <w:pStyle w:val="15"/>
        <w:spacing w:line="360" w:lineRule="auto"/>
        <w:jc w:val="center"/>
        <w:rPr>
          <w:rFonts w:ascii="Times New Roman" w:hAnsi="Times New Roman" w:eastAsia="方正小标宋_GBK" w:cs="Times New Roman"/>
          <w:sz w:val="52"/>
          <w:szCs w:val="52"/>
        </w:rPr>
      </w:pPr>
    </w:p>
    <w:p w14:paraId="67D8AB1E">
      <w:pPr>
        <w:pStyle w:val="15"/>
        <w:spacing w:line="360" w:lineRule="auto"/>
        <w:jc w:val="center"/>
        <w:rPr>
          <w:rFonts w:ascii="Times New Roman" w:hAnsi="Times New Roman" w:eastAsia="方正小标宋_GBK" w:cs="Times New Roman"/>
          <w:sz w:val="52"/>
          <w:szCs w:val="52"/>
        </w:rPr>
      </w:pPr>
    </w:p>
    <w:p w14:paraId="1E35465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407A3AB">
      <w:pPr>
        <w:widowControl/>
        <w:jc w:val="left"/>
        <w:rPr>
          <w:rFonts w:ascii="Times New Roman" w:hAnsi="Times New Roman" w:eastAsia="仿宋_GB2312" w:cs="Times New Roman"/>
          <w:color w:val="auto"/>
          <w:kern w:val="0"/>
          <w:sz w:val="32"/>
          <w:szCs w:val="32"/>
          <w:lang w:val="en-US" w:eastAsia="zh-CN" w:bidi="ar-SA"/>
        </w:rPr>
      </w:pPr>
    </w:p>
    <w:p w14:paraId="31237876">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righ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一、财政拨款收入，是指由财政部门核拨给单位的财政预算资金。</w:t>
      </w:r>
    </w:p>
    <w:p w14:paraId="7AD49CBF">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二、年末结转和结余：指本年度或以前年度预算安排、因客观条件发生变化无法按原计划实施，需延迟到以后年度按有关规定继续使用的资金。</w:t>
      </w:r>
    </w:p>
    <w:p w14:paraId="52E7A049">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三、其他收入，指除“财政拨款收入”、“事业收入”、“经营收入”等以外的收入。主要是按规定动用的售房收入、存款利息收入等。</w:t>
      </w:r>
    </w:p>
    <w:p w14:paraId="391F7E07">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四、基本支出，指为保障机构正常运行、完成日常工作任务而发生的人员支出和公用支出。</w:t>
      </w:r>
    </w:p>
    <w:p w14:paraId="2EAB1BDA">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五、项目支出，指在基本支出之外为完成特定行政任务和事业发展目标所发生的支出。</w:t>
      </w:r>
    </w:p>
    <w:p w14:paraId="594A5122">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六、人员经费支出，是指行政（事业）单位用于职工个人方面的小姐么他开支。具体包括基本工资、津贴补贴、职工福利费、离退休人员经费等。</w:t>
      </w:r>
    </w:p>
    <w:p w14:paraId="0B58B4F0">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七、三公经费，指单位人员因公出国（境）经费、公务用车购置及运行费、公务招待费产生的消费。其中，因公出国（境）费反映单位公务出国（境）的国际旅费、国外城市间交通费、住宿费、伙食费、培训费、公杂费等支出；公务用车购置及运行费反映单位公务用车车辆购置支出（含 车辆购置税）及租用费、燃料费、维修费、过路过桥费、保险费、安全奖励费用等支出；公务接待费反映单位按规定开支的各类公务接待（含外宾接待）支出。</w:t>
      </w:r>
    </w:p>
    <w:p w14:paraId="718DD63E">
      <w:pPr>
        <w:pStyle w:val="8"/>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spacing w:before="0" w:beforeAutospacing="0" w:after="0" w:afterAutospacing="0" w:line="0" w:lineRule="atLeast"/>
        <w:ind w:left="0" w:firstLine="640"/>
        <w:jc w:val="both"/>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八、机关运行经费，是指为保障行政单位（含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38440D">
      <w:pPr>
        <w:pStyle w:val="15"/>
        <w:jc w:val="center"/>
        <w:rPr>
          <w:rFonts w:ascii="Times New Roman" w:hAnsi="Times New Roman" w:eastAsia="仿宋_GB2312" w:cs="Times New Roman"/>
          <w:color w:val="auto"/>
          <w:kern w:val="0"/>
          <w:sz w:val="32"/>
          <w:szCs w:val="32"/>
          <w:lang w:val="en-US" w:eastAsia="zh-CN" w:bidi="ar-SA"/>
        </w:rPr>
      </w:pPr>
    </w:p>
    <w:p w14:paraId="5EDB9890">
      <w:pPr>
        <w:pStyle w:val="15"/>
        <w:jc w:val="both"/>
        <w:rPr>
          <w:rFonts w:ascii="Times New Roman" w:hAnsi="Times New Roman" w:eastAsia="仿宋_GB2312" w:cs="Times New Roman"/>
          <w:color w:val="auto"/>
          <w:kern w:val="0"/>
          <w:sz w:val="32"/>
          <w:szCs w:val="32"/>
          <w:lang w:val="en-US" w:eastAsia="zh-CN" w:bidi="ar-SA"/>
        </w:rPr>
      </w:pPr>
    </w:p>
    <w:p w14:paraId="4A492743">
      <w:pPr>
        <w:pStyle w:val="15"/>
        <w:spacing w:line="360" w:lineRule="auto"/>
        <w:ind w:firstLine="1560" w:firstLineChars="3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14B6287">
      <w:pPr>
        <w:rPr>
          <w:rFonts w:ascii="Times New Roman" w:hAnsi="Times New Roman" w:cs="Times New Roman"/>
          <w:sz w:val="72"/>
          <w:szCs w:val="72"/>
        </w:rPr>
      </w:pPr>
    </w:p>
    <w:p w14:paraId="0DA6AC15">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between w:val="none" w:color="auto" w:sz="0" w:space="0"/>
        </w:pBdr>
        <w:kinsoku/>
        <w:wordWrap/>
        <w:topLinePunct w:val="0"/>
        <w:bidi w:val="0"/>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fldChar w:fldCharType="begin"/>
      </w:r>
      <w:r>
        <w:rPr>
          <w:rFonts w:hint="default" w:ascii="Times New Roman" w:hAnsi="Times New Roman" w:eastAsia="仿宋_GB2312" w:cs="Times New Roman"/>
          <w:color w:val="auto"/>
          <w:kern w:val="0"/>
          <w:sz w:val="32"/>
          <w:szCs w:val="32"/>
          <w:lang w:val="en-US" w:eastAsia="zh-CN" w:bidi="ar-SA"/>
        </w:rPr>
        <w:instrText xml:space="preserve"> HYPERLINK "怀化市社会福利院.xlsx" </w:instrText>
      </w:r>
      <w:r>
        <w:rPr>
          <w:rFonts w:hint="default" w:ascii="Times New Roman" w:hAnsi="Times New Roman" w:eastAsia="仿宋_GB2312" w:cs="Times New Roman"/>
          <w:color w:val="auto"/>
          <w:kern w:val="0"/>
          <w:sz w:val="32"/>
          <w:szCs w:val="32"/>
          <w:lang w:val="en-US" w:eastAsia="zh-CN" w:bidi="ar-SA"/>
        </w:rPr>
        <w:fldChar w:fldCharType="separate"/>
      </w:r>
      <w:r>
        <w:rPr>
          <w:rStyle w:val="12"/>
          <w:rFonts w:hint="default" w:ascii="Times New Roman" w:hAnsi="Times New Roman" w:eastAsia="仿宋_GB2312" w:cs="Times New Roman"/>
          <w:kern w:val="0"/>
          <w:sz w:val="32"/>
          <w:szCs w:val="32"/>
          <w:lang w:val="en-US" w:eastAsia="zh-CN" w:bidi="ar-SA"/>
        </w:rPr>
        <w:t>怀化市社会福利院.xlsx</w:t>
      </w:r>
      <w:r>
        <w:rPr>
          <w:rFonts w:hint="default" w:ascii="Times New Roman" w:hAnsi="Times New Roman" w:eastAsia="仿宋_GB2312" w:cs="Times New Roman"/>
          <w:color w:val="auto"/>
          <w:kern w:val="0"/>
          <w:sz w:val="32"/>
          <w:szCs w:val="32"/>
          <w:lang w:val="en-US" w:eastAsia="zh-CN" w:bidi="ar-SA"/>
        </w:rPr>
        <w:fldChar w:fldCharType="end"/>
      </w:r>
    </w:p>
    <w:p w14:paraId="2663379E">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between w:val="none" w:color="auto" w:sz="0" w:space="0"/>
        </w:pBdr>
        <w:kinsoku/>
        <w:wordWrap/>
        <w:topLinePunct w:val="0"/>
        <w:bidi w:val="0"/>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fldChar w:fldCharType="begin"/>
      </w:r>
      <w:r>
        <w:rPr>
          <w:rFonts w:hint="eastAsia" w:ascii="Times New Roman" w:hAnsi="Times New Roman" w:eastAsia="仿宋_GB2312" w:cs="Times New Roman"/>
          <w:color w:val="auto"/>
          <w:kern w:val="0"/>
          <w:sz w:val="32"/>
          <w:szCs w:val="32"/>
          <w:lang w:val="en-US" w:eastAsia="zh-CN" w:bidi="ar-SA"/>
        </w:rPr>
        <w:instrText xml:space="preserve"> HYPERLINK "怀化市社会福利院2025年整体绩效报告.docx" </w:instrText>
      </w:r>
      <w:r>
        <w:rPr>
          <w:rFonts w:hint="eastAsia" w:ascii="Times New Roman" w:hAnsi="Times New Roman" w:eastAsia="仿宋_GB2312" w:cs="Times New Roman"/>
          <w:color w:val="auto"/>
          <w:kern w:val="0"/>
          <w:sz w:val="32"/>
          <w:szCs w:val="32"/>
          <w:lang w:val="en-US" w:eastAsia="zh-CN" w:bidi="ar-SA"/>
        </w:rPr>
        <w:fldChar w:fldCharType="separate"/>
      </w:r>
      <w:r>
        <w:rPr>
          <w:rStyle w:val="12"/>
          <w:rFonts w:hint="eastAsia" w:ascii="Times New Roman" w:hAnsi="Times New Roman" w:eastAsia="仿宋_GB2312" w:cs="Times New Roman"/>
          <w:kern w:val="0"/>
          <w:sz w:val="32"/>
          <w:szCs w:val="32"/>
          <w:lang w:val="en-US" w:eastAsia="zh-CN" w:bidi="ar-SA"/>
        </w:rPr>
        <w:t>怀化市社会福利院2025年整体绩效报告.docx</w:t>
      </w:r>
      <w:r>
        <w:rPr>
          <w:rFonts w:hint="eastAsia" w:ascii="Times New Roman" w:hAnsi="Times New Roman" w:eastAsia="仿宋_GB2312" w:cs="Times New Roman"/>
          <w:color w:val="auto"/>
          <w:kern w:val="0"/>
          <w:sz w:val="32"/>
          <w:szCs w:val="32"/>
          <w:lang w:val="en-US" w:eastAsia="zh-CN" w:bidi="ar-SA"/>
        </w:rPr>
        <w:fldChar w:fldCharType="end"/>
      </w:r>
    </w:p>
    <w:p w14:paraId="4558C921">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between w:val="none" w:color="auto" w:sz="0" w:space="0"/>
        </w:pBdr>
        <w:kinsoku/>
        <w:wordWrap/>
        <w:topLinePunct w:val="0"/>
        <w:bidi w:val="0"/>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auto"/>
          <w:kern w:val="0"/>
          <w:sz w:val="32"/>
          <w:szCs w:val="32"/>
          <w:lang w:val="en-US" w:eastAsia="zh-CN" w:bidi="ar-SA"/>
        </w:rPr>
        <w:sectPr>
          <w:pgSz w:w="11906" w:h="16838"/>
          <w:pgMar w:top="1417" w:right="1588" w:bottom="1417" w:left="1588" w:header="851" w:footer="992" w:gutter="0"/>
          <w:cols w:space="425" w:num="1"/>
          <w:docGrid w:type="linesAndChars" w:linePitch="312" w:charSpace="0"/>
        </w:sectPr>
      </w:pPr>
      <w:r>
        <w:rPr>
          <w:rFonts w:hint="eastAsia" w:ascii="Times New Roman" w:hAnsi="Times New Roman" w:eastAsia="仿宋_GB2312" w:cs="Times New Roman"/>
          <w:color w:val="auto"/>
          <w:kern w:val="0"/>
          <w:sz w:val="32"/>
          <w:szCs w:val="32"/>
          <w:lang w:val="en-US" w:eastAsia="zh-CN" w:bidi="ar-SA"/>
        </w:rPr>
        <w:fldChar w:fldCharType="begin"/>
      </w:r>
      <w:r>
        <w:rPr>
          <w:rFonts w:hint="eastAsia" w:ascii="Times New Roman" w:hAnsi="Times New Roman" w:eastAsia="仿宋_GB2312" w:cs="Times New Roman"/>
          <w:color w:val="auto"/>
          <w:kern w:val="0"/>
          <w:sz w:val="32"/>
          <w:szCs w:val="32"/>
          <w:lang w:val="en-US" w:eastAsia="zh-CN" w:bidi="ar-SA"/>
        </w:rPr>
        <w:instrText xml:space="preserve"> HYPERLINK "怀化市社会福利院2025年专项支出绩效报告.docx" </w:instrText>
      </w:r>
      <w:r>
        <w:rPr>
          <w:rFonts w:hint="eastAsia" w:ascii="Times New Roman" w:hAnsi="Times New Roman" w:eastAsia="仿宋_GB2312" w:cs="Times New Roman"/>
          <w:color w:val="auto"/>
          <w:kern w:val="0"/>
          <w:sz w:val="32"/>
          <w:szCs w:val="32"/>
          <w:lang w:val="en-US" w:eastAsia="zh-CN" w:bidi="ar-SA"/>
        </w:rPr>
        <w:fldChar w:fldCharType="separate"/>
      </w:r>
      <w:r>
        <w:rPr>
          <w:rStyle w:val="12"/>
          <w:rFonts w:hint="eastAsia" w:ascii="Times New Roman" w:hAnsi="Times New Roman" w:eastAsia="仿宋_GB2312" w:cs="Times New Roman"/>
          <w:kern w:val="0"/>
          <w:sz w:val="32"/>
          <w:szCs w:val="32"/>
          <w:lang w:val="en-US" w:eastAsia="zh-CN" w:bidi="ar-SA"/>
        </w:rPr>
        <w:t>怀化市社会福利院2025年专项支出绩效报告.docx</w:t>
      </w:r>
      <w:r>
        <w:rPr>
          <w:rFonts w:hint="eastAsia" w:ascii="Times New Roman" w:hAnsi="Times New Roman" w:eastAsia="仿宋_GB2312" w:cs="Times New Roman"/>
          <w:color w:val="auto"/>
          <w:kern w:val="0"/>
          <w:sz w:val="32"/>
          <w:szCs w:val="32"/>
          <w:lang w:val="en-US" w:eastAsia="zh-CN" w:bidi="ar-SA"/>
        </w:rPr>
        <w:fldChar w:fldCharType="end"/>
      </w:r>
    </w:p>
    <w:p w14:paraId="5F6530C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7E2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1A838">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9E76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D98F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874AF">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D4874AF">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50D29"/>
    <w:multiLevelType w:val="singleLevel"/>
    <w:tmpl w:val="81650D29"/>
    <w:lvl w:ilvl="0" w:tentative="0">
      <w:start w:val="3"/>
      <w:numFmt w:val="decimal"/>
      <w:suff w:val="nothing"/>
      <w:lvlText w:val="%1、"/>
      <w:lvlJc w:val="left"/>
    </w:lvl>
  </w:abstractNum>
  <w:abstractNum w:abstractNumId="1">
    <w:nsid w:val="8211DEED"/>
    <w:multiLevelType w:val="singleLevel"/>
    <w:tmpl w:val="8211DEED"/>
    <w:lvl w:ilvl="0" w:tentative="0">
      <w:start w:val="3"/>
      <w:numFmt w:val="decimal"/>
      <w:lvlText w:val="%1."/>
      <w:lvlJc w:val="left"/>
      <w:pPr>
        <w:tabs>
          <w:tab w:val="left" w:pos="312"/>
        </w:tabs>
      </w:pPr>
    </w:lvl>
  </w:abstractNum>
  <w:abstractNum w:abstractNumId="2">
    <w:nsid w:val="E165A388"/>
    <w:multiLevelType w:val="singleLevel"/>
    <w:tmpl w:val="E165A388"/>
    <w:lvl w:ilvl="0" w:tentative="0">
      <w:start w:val="1"/>
      <w:numFmt w:val="chineseCounting"/>
      <w:suff w:val="nothing"/>
      <w:lvlText w:val="%1、"/>
      <w:lvlJc w:val="left"/>
      <w:rPr>
        <w:rFonts w:hint="eastAsia"/>
      </w:rPr>
    </w:lvl>
  </w:abstractNum>
  <w:abstractNum w:abstractNumId="3">
    <w:nsid w:val="FAB6E48C"/>
    <w:multiLevelType w:val="singleLevel"/>
    <w:tmpl w:val="FAB6E48C"/>
    <w:lvl w:ilvl="0" w:tentative="0">
      <w:start w:val="9"/>
      <w:numFmt w:val="chineseCounting"/>
      <w:suff w:val="nothing"/>
      <w:lvlText w:val="%1、"/>
      <w:lvlJc w:val="left"/>
      <w:rPr>
        <w:rFonts w:hint="eastAsia"/>
      </w:rPr>
    </w:lvl>
  </w:abstractNum>
  <w:abstractNum w:abstractNumId="4">
    <w:nsid w:val="29D538FD"/>
    <w:multiLevelType w:val="singleLevel"/>
    <w:tmpl w:val="29D538FD"/>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6689D"/>
    <w:rsid w:val="03BA365B"/>
    <w:rsid w:val="04A62A1C"/>
    <w:rsid w:val="04D32210"/>
    <w:rsid w:val="05190F9B"/>
    <w:rsid w:val="06AC0092"/>
    <w:rsid w:val="08B60D54"/>
    <w:rsid w:val="097906FF"/>
    <w:rsid w:val="0D204C9F"/>
    <w:rsid w:val="0FA3577E"/>
    <w:rsid w:val="105D4FA7"/>
    <w:rsid w:val="123E24E6"/>
    <w:rsid w:val="17C22912"/>
    <w:rsid w:val="182742EB"/>
    <w:rsid w:val="19BB2E46"/>
    <w:rsid w:val="1A136006"/>
    <w:rsid w:val="1B374B98"/>
    <w:rsid w:val="1B7A7441"/>
    <w:rsid w:val="20034BFA"/>
    <w:rsid w:val="20F37FD4"/>
    <w:rsid w:val="21494A03"/>
    <w:rsid w:val="21621621"/>
    <w:rsid w:val="244020ED"/>
    <w:rsid w:val="26AE48D0"/>
    <w:rsid w:val="2EFF6701"/>
    <w:rsid w:val="33C741B8"/>
    <w:rsid w:val="34EE16F2"/>
    <w:rsid w:val="362269FA"/>
    <w:rsid w:val="36D87F64"/>
    <w:rsid w:val="38207DBA"/>
    <w:rsid w:val="3DB94A57"/>
    <w:rsid w:val="3F794425"/>
    <w:rsid w:val="437A7FB9"/>
    <w:rsid w:val="444E1587"/>
    <w:rsid w:val="4B9B6D29"/>
    <w:rsid w:val="4DCD4C46"/>
    <w:rsid w:val="4E7C16C5"/>
    <w:rsid w:val="4FAB04F0"/>
    <w:rsid w:val="54574766"/>
    <w:rsid w:val="5C56274E"/>
    <w:rsid w:val="5C7E017D"/>
    <w:rsid w:val="5D1A6C78"/>
    <w:rsid w:val="608606C1"/>
    <w:rsid w:val="638D2ACB"/>
    <w:rsid w:val="67C41CBB"/>
    <w:rsid w:val="698C1472"/>
    <w:rsid w:val="6BB70D17"/>
    <w:rsid w:val="6C1A459F"/>
    <w:rsid w:val="6FF9271D"/>
    <w:rsid w:val="70370508"/>
    <w:rsid w:val="788E2390"/>
    <w:rsid w:val="79350448"/>
    <w:rsid w:val="794C7D62"/>
    <w:rsid w:val="7AD4000F"/>
    <w:rsid w:val="7B6F3D44"/>
    <w:rsid w:val="7BA23C69"/>
    <w:rsid w:val="7BEF6063"/>
    <w:rsid w:val="7C1C3A1B"/>
    <w:rsid w:val="7E944EA2"/>
    <w:rsid w:val="7FBF128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Hyperlink"/>
    <w:basedOn w:val="11"/>
    <w:semiHidden/>
    <w:unhideWhenUsed/>
    <w:uiPriority w:val="99"/>
    <w:rPr>
      <w:color w:val="0000FF"/>
      <w:u w:val="single"/>
    </w:rPr>
  </w:style>
  <w:style w:type="character" w:customStyle="1" w:styleId="13">
    <w:name w:val="页眉 Char"/>
    <w:basedOn w:val="11"/>
    <w:link w:val="6"/>
    <w:qFormat/>
    <w:uiPriority w:val="99"/>
    <w:rPr>
      <w:sz w:val="18"/>
      <w:szCs w:val="18"/>
    </w:rPr>
  </w:style>
  <w:style w:type="character" w:customStyle="1" w:styleId="14">
    <w:name w:val="页脚 Char"/>
    <w:basedOn w:val="11"/>
    <w:link w:val="5"/>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4"/>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185e68-8f72-4632-81cc-dbae1ae58fc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446</Words>
  <Characters>452</Characters>
  <Lines>69</Lines>
  <Paragraphs>19</Paragraphs>
  <TotalTime>5</TotalTime>
  <ScaleCrop>false</ScaleCrop>
  <LinksUpToDate>false</LinksUpToDate>
  <CharactersWithSpaces>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福利院</cp:lastModifiedBy>
  <cp:lastPrinted>2026-09-18T02:44:00Z</cp:lastPrinted>
  <dcterms:modified xsi:type="dcterms:W3CDTF">2026-09-22T03:24:47Z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eyJoZGlkIjoiNWNmZDU1MmZiYmIyNTY3OGMxMWZkMjk1NjQ5YmRmODIiLCJ1c2VySWQiOiIzNzU2OTY4OTMifQ==</vt:lpwstr>
  </property>
</Properties>
</file>