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F82B9E">
      <w:pPr>
        <w:snapToGrid w:val="0"/>
        <w:spacing w:line="520" w:lineRule="exact"/>
        <w:ind w:firstLine="640" w:firstLineChars="200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</w:p>
    <w:p w14:paraId="7524628D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</w:p>
    <w:p w14:paraId="675334AC">
      <w:pPr>
        <w:snapToGrid w:val="0"/>
        <w:spacing w:line="520" w:lineRule="exact"/>
        <w:rPr>
          <w:rFonts w:ascii="方正小标宋_GBK" w:hAnsi="方正小标宋_GBK" w:eastAsia="方正小标宋_GBK" w:cs="方正小标宋_GBK"/>
          <w:color w:val="000000"/>
          <w:kern w:val="0"/>
          <w:sz w:val="24"/>
          <w:shd w:val="clear" w:color="auto" w:fill="FFFFFF"/>
        </w:rPr>
      </w:pPr>
      <w:r>
        <w:rPr>
          <w:rFonts w:ascii="方正小标宋_GBK" w:hAnsi="方正小标宋_GBK" w:eastAsia="方正小标宋_GBK" w:cs="方正小标宋_GBK"/>
          <w:color w:val="000000"/>
          <w:kern w:val="0"/>
          <w:sz w:val="24"/>
          <w:shd w:val="clear" w:color="auto" w:fill="FFFFFF"/>
        </w:rPr>
        <w:t>附件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24"/>
          <w:shd w:val="clear" w:color="auto" w:fill="FFFFFF"/>
        </w:rPr>
        <w:t>6</w:t>
      </w:r>
    </w:p>
    <w:p w14:paraId="0269AEB0">
      <w:pPr>
        <w:snapToGrid w:val="0"/>
        <w:spacing w:line="520" w:lineRule="exact"/>
        <w:ind w:left="2000" w:hanging="2000" w:hangingChars="500"/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怀化市殡葬事务中心2025年度</w:t>
      </w: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单位日常运行维护项目支出</w:t>
      </w:r>
      <w:r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绩效自评报告</w:t>
      </w:r>
    </w:p>
    <w:p w14:paraId="4C36A296">
      <w:pPr>
        <w:snapToGrid w:val="0"/>
        <w:spacing w:line="520" w:lineRule="exact"/>
        <w:ind w:firstLine="3200" w:firstLineChars="800"/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</w:pPr>
      <w:r>
        <w:rPr>
          <w:rFonts w:ascii="方正小标宋_GBK" w:hAnsi="方正小标宋_GBK" w:eastAsia="方正小标宋_GBK" w:cs="方正小标宋_GBK"/>
          <w:color w:val="000000"/>
          <w:kern w:val="0"/>
          <w:sz w:val="40"/>
          <w:szCs w:val="40"/>
          <w:shd w:val="clear" w:color="auto" w:fill="FFFFFF"/>
        </w:rPr>
        <w:t>(参考格式)</w:t>
      </w:r>
    </w:p>
    <w:p w14:paraId="576FCB3D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sz w:val="32"/>
          <w:szCs w:val="32"/>
        </w:rPr>
      </w:pPr>
    </w:p>
    <w:p w14:paraId="7C27D017">
      <w:pPr>
        <w:snapToGrid w:val="0"/>
        <w:spacing w:line="520" w:lineRule="exact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一、</w:t>
      </w:r>
      <w:r>
        <w:rPr>
          <w:rFonts w:ascii="方正黑体_GBK" w:hAnsi="方正黑体_GBK" w:eastAsia="方正黑体_GBK" w:cs="方正黑体_GBK"/>
          <w:b/>
          <w:bCs/>
          <w:sz w:val="32"/>
          <w:szCs w:val="32"/>
        </w:rPr>
        <w:t>项目概况</w:t>
      </w:r>
    </w:p>
    <w:p w14:paraId="20CA154C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项目基本情况</w:t>
      </w:r>
    </w:p>
    <w:p w14:paraId="3B58B247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1. 主管部门：怀化市民政局负责统筹监管与绩效督导。</w:t>
      </w:r>
    </w:p>
    <w:p w14:paraId="34612CEA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2. 实施单位：怀化市殡葬事务中心，负责日常运营、服务保障、设备维护、资金使用。</w:t>
      </w:r>
    </w:p>
    <w:p w14:paraId="48330BBF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3. 立项依据：保障殡葬服务体系运转，落实惠民政策，符合民政事业发展规划。</w:t>
      </w:r>
    </w:p>
    <w:p w14:paraId="6E1503DD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4. 资金来源：当年财政拨款，专款专用、规范管理。</w:t>
      </w:r>
    </w:p>
    <w:p w14:paraId="1EE1FBDD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5. 分配原则：优先保障火化、殡仪、安全运行等核心业务。</w:t>
      </w:r>
    </w:p>
    <w:p w14:paraId="66FF3A70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项目绩效目标</w:t>
      </w:r>
    </w:p>
    <w:p w14:paraId="0DD2B7FC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1. 主要内容：保障设施设备正常运转，提供遗体火化、殡仪服务、公墓维护等基本服务。</w:t>
      </w:r>
    </w:p>
    <w:p w14:paraId="5851D770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2. 绩效目标：年火化≥1300具，集中治丧≥630场次，提供4类基本服务，质量达标率≥95%，火化完成率≥95%，群众满意度≥90%，年底前完成年度任务。</w:t>
      </w:r>
    </w:p>
    <w:p w14:paraId="28CFA982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3. 目标合理性：贴合实际需求，量化清晰，可行可控。</w:t>
      </w:r>
    </w:p>
    <w:p w14:paraId="41F4832B">
      <w:pPr>
        <w:snapToGrid w:val="0"/>
        <w:spacing w:line="520" w:lineRule="exact"/>
        <w:ind w:firstLine="562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项目自评步骤及方法</w:t>
      </w:r>
    </w:p>
    <w:p w14:paraId="16FA7F0F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采用数据比对、台账核查、现场检查、满意度调查、效益分析相结合方式，逐项评价、量化打分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。</w:t>
      </w:r>
    </w:p>
    <w:p w14:paraId="278E877E">
      <w:pPr>
        <w:snapToGrid w:val="0"/>
        <w:spacing w:line="520" w:lineRule="exact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二、</w:t>
      </w:r>
      <w:r>
        <w:rPr>
          <w:rFonts w:ascii="方正黑体_GBK" w:hAnsi="方正黑体_GBK" w:eastAsia="方正黑体_GBK" w:cs="方正黑体_GBK"/>
          <w:b/>
          <w:bCs/>
          <w:sz w:val="32"/>
          <w:szCs w:val="32"/>
        </w:rPr>
        <w:t>项目资金申报及使用情况</w:t>
      </w:r>
    </w:p>
    <w:p w14:paraId="28DC3B1A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项目资金申报及批复情况</w:t>
      </w:r>
    </w:p>
    <w:p w14:paraId="7DEA8B67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项目年初预算497.90万元，全年预算497.90万元，均为财政拨款，程序规范、无调整。</w:t>
      </w:r>
    </w:p>
    <w:p w14:paraId="6669E1DF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资金计划、到位及使用情况(可用表格形式反映)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247"/>
        <w:gridCol w:w="1248"/>
        <w:gridCol w:w="1248"/>
        <w:gridCol w:w="1248"/>
        <w:gridCol w:w="1248"/>
        <w:gridCol w:w="1248"/>
        <w:gridCol w:w="1248"/>
      </w:tblGrid>
      <w:tr w14:paraId="77266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47" w:type="dxa"/>
          </w:tcPr>
          <w:p w14:paraId="0D2F07DF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项目</w:t>
            </w:r>
          </w:p>
        </w:tc>
        <w:tc>
          <w:tcPr>
            <w:tcW w:w="1248" w:type="dxa"/>
          </w:tcPr>
          <w:p w14:paraId="67159E0D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年初预算(万元)</w:t>
            </w:r>
          </w:p>
        </w:tc>
        <w:tc>
          <w:tcPr>
            <w:tcW w:w="1248" w:type="dxa"/>
          </w:tcPr>
          <w:p w14:paraId="2F3992BA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全年预算(万元)</w:t>
            </w:r>
          </w:p>
        </w:tc>
        <w:tc>
          <w:tcPr>
            <w:tcW w:w="1248" w:type="dxa"/>
          </w:tcPr>
          <w:p w14:paraId="470667DD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 xml:space="preserve">全年执行(万元) </w:t>
            </w:r>
          </w:p>
        </w:tc>
        <w:tc>
          <w:tcPr>
            <w:tcW w:w="1248" w:type="dxa"/>
          </w:tcPr>
          <w:p w14:paraId="29C46077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执行率</w:t>
            </w:r>
          </w:p>
        </w:tc>
        <w:tc>
          <w:tcPr>
            <w:tcW w:w="1248" w:type="dxa"/>
          </w:tcPr>
          <w:p w14:paraId="798632B5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分值</w:t>
            </w:r>
          </w:p>
        </w:tc>
        <w:tc>
          <w:tcPr>
            <w:tcW w:w="1248" w:type="dxa"/>
          </w:tcPr>
          <w:p w14:paraId="3380234E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得分</w:t>
            </w:r>
          </w:p>
        </w:tc>
      </w:tr>
      <w:tr w14:paraId="42BD7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1247" w:type="dxa"/>
          </w:tcPr>
          <w:p w14:paraId="53035AD3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日常运行维护</w:t>
            </w:r>
          </w:p>
        </w:tc>
        <w:tc>
          <w:tcPr>
            <w:tcW w:w="1248" w:type="dxa"/>
          </w:tcPr>
          <w:p w14:paraId="219461CC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497.90</w:t>
            </w: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248" w:type="dxa"/>
          </w:tcPr>
          <w:p w14:paraId="5D0EC76E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497.90</w:t>
            </w:r>
          </w:p>
        </w:tc>
        <w:tc>
          <w:tcPr>
            <w:tcW w:w="1248" w:type="dxa"/>
          </w:tcPr>
          <w:p w14:paraId="22AF0F10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197.70</w:t>
            </w:r>
          </w:p>
        </w:tc>
        <w:tc>
          <w:tcPr>
            <w:tcW w:w="1248" w:type="dxa"/>
          </w:tcPr>
          <w:p w14:paraId="6A1C8057">
            <w:pPr>
              <w:snapToGrid w:val="0"/>
              <w:spacing w:line="520" w:lineRule="exact"/>
              <w:rPr>
                <w:rFonts w:hint="eastAsia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39.71%</w:t>
            </w:r>
          </w:p>
        </w:tc>
        <w:tc>
          <w:tcPr>
            <w:tcW w:w="1248" w:type="dxa"/>
          </w:tcPr>
          <w:p w14:paraId="10D1E43B">
            <w:pPr>
              <w:snapToGrid w:val="0"/>
              <w:spacing w:line="520" w:lineRule="exact"/>
              <w:rPr>
                <w:rFonts w:hint="default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10</w:t>
            </w:r>
          </w:p>
        </w:tc>
        <w:tc>
          <w:tcPr>
            <w:tcW w:w="1248" w:type="dxa"/>
          </w:tcPr>
          <w:p w14:paraId="09F1F8C4">
            <w:pPr>
              <w:snapToGrid w:val="0"/>
              <w:spacing w:line="520" w:lineRule="exact"/>
              <w:rPr>
                <w:rFonts w:hint="default" w:ascii="Times New Roman Regular" w:hAnsi="Times New Roman Regular" w:eastAsia="仿宋_GB2312" w:cs="Times New Roman Regular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sz w:val="32"/>
                <w:szCs w:val="32"/>
              </w:rPr>
              <w:t>3.97</w:t>
            </w:r>
          </w:p>
        </w:tc>
      </w:tr>
    </w:tbl>
    <w:p w14:paraId="12A2CB11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b/>
          <w:bCs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资金全额到位，使用合规，主要用于运维、耗材、水电、服务保障；执行率偏低因支出节奏延后</w:t>
      </w:r>
      <w:bookmarkStart w:id="0" w:name="_GoBack"/>
      <w:bookmarkEnd w:id="0"/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。</w:t>
      </w:r>
    </w:p>
    <w:p w14:paraId="00F6ED44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项目财务管理情况</w:t>
      </w:r>
    </w:p>
    <w:p w14:paraId="0F353936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制度健全，核算规范，支付合规，无截留、挤占、挪用资金情况。</w:t>
      </w:r>
    </w:p>
    <w:p w14:paraId="7329949F">
      <w:pPr>
        <w:snapToGrid w:val="0"/>
        <w:spacing w:line="520" w:lineRule="exact"/>
        <w:ind w:firstLine="640" w:firstLineChars="200"/>
        <w:rPr>
          <w:rFonts w:ascii="方正黑体_GBK" w:hAnsi="方正黑体_GBK" w:eastAsia="方正黑体_GBK" w:cs="方正黑体_GBK"/>
          <w:b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/>
          <w:bCs/>
          <w:sz w:val="32"/>
          <w:szCs w:val="32"/>
        </w:rPr>
        <w:t>三、</w:t>
      </w:r>
      <w:r>
        <w:rPr>
          <w:rFonts w:ascii="方正黑体_GBK" w:hAnsi="方正黑体_GBK" w:eastAsia="方正黑体_GBK" w:cs="方正黑体_GBK"/>
          <w:b/>
          <w:bCs/>
          <w:sz w:val="32"/>
          <w:szCs w:val="32"/>
        </w:rPr>
        <w:t>项目实施及管理情况</w:t>
      </w:r>
    </w:p>
    <w:p w14:paraId="2E7AD81F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项目组织架构及实施流程</w:t>
      </w:r>
    </w:p>
    <w:p w14:paraId="00471095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组织架构：中心统一统筹，多部门协同实施，流程完整。</w:t>
      </w:r>
    </w:p>
    <w:p w14:paraId="68BC0B0A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项目管理情况</w:t>
      </w:r>
    </w:p>
    <w:p w14:paraId="4BD19A77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运营管理：严格执行服务规范、安全制度、采购规定，运营稳定。</w:t>
      </w:r>
    </w:p>
    <w:p w14:paraId="020F0CB5">
      <w:pPr>
        <w:snapToGrid w:val="0"/>
        <w:spacing w:line="520" w:lineRule="exact"/>
        <w:ind w:firstLine="562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项目监管情况</w:t>
      </w:r>
    </w:p>
    <w:p w14:paraId="6E981451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监管情况：民政局定期检查，单位内部日常巡查，监管到位。</w:t>
      </w:r>
    </w:p>
    <w:p w14:paraId="11C795FC">
      <w:pPr>
        <w:snapToGrid w:val="0"/>
        <w:spacing w:line="520" w:lineRule="exact"/>
        <w:ind w:firstLine="640" w:firstLineChars="200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四、项目绩效情况</w:t>
      </w:r>
    </w:p>
    <w:p w14:paraId="2D0842CA">
      <w:pPr>
        <w:snapToGrid w:val="0"/>
        <w:spacing w:line="520" w:lineRule="exact"/>
        <w:ind w:firstLine="562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项目完成情况</w:t>
      </w:r>
    </w:p>
    <w:p w14:paraId="52D95870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数量：火化1464具、治丧701场次，超额完成；质量：达标率95%、火化率95%；时效：按期完成；成本：197.70万元，合规可控。</w:t>
      </w:r>
    </w:p>
    <w:p w14:paraId="2EA4C9B1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项目效益情况</w:t>
      </w:r>
    </w:p>
    <w:p w14:paraId="69DDB575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社会效益：保障群众治丧需求；生态效益：绿色运营规范；可持续影响：夯实长效运营基础；满意度：90%，达标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。</w:t>
      </w:r>
    </w:p>
    <w:p w14:paraId="059FA6D2">
      <w:pPr>
        <w:snapToGrid w:val="0"/>
        <w:spacing w:line="520" w:lineRule="exact"/>
        <w:rPr>
          <w:rFonts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五、</w:t>
      </w:r>
      <w:r>
        <w:rPr>
          <w:rFonts w:ascii="方正黑体_GBK" w:hAnsi="方正黑体_GBK" w:eastAsia="方正黑体_GBK" w:cs="方正黑体_GBK"/>
          <w:sz w:val="32"/>
          <w:szCs w:val="32"/>
        </w:rPr>
        <w:t>评价结论及建议</w:t>
      </w:r>
    </w:p>
    <w:p w14:paraId="56E73709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（一）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评价结论</w:t>
      </w:r>
    </w:p>
    <w:p w14:paraId="754DE39D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项目自评得分93.97分，服务指标全面完成，质量与满意度高，管理规范；预算执行率偏低，需提升效率</w:t>
      </w:r>
      <w:r>
        <w:rPr>
          <w:rFonts w:ascii="Times New Roman Regular" w:hAnsi="Times New Roman Regular" w:eastAsia="仿宋_GB2312" w:cs="Times New Roman Regular"/>
          <w:sz w:val="32"/>
          <w:szCs w:val="32"/>
        </w:rPr>
        <w:t>。</w:t>
      </w:r>
    </w:p>
    <w:p w14:paraId="137B7F3C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（二）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存在的问题</w:t>
      </w:r>
    </w:p>
    <w:p w14:paraId="711B4B1F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1. 预算执行进度偏慢。</w:t>
      </w:r>
    </w:p>
    <w:p w14:paraId="48A0E0A3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2. 预算与实际支出节奏匹配不足。</w:t>
      </w:r>
    </w:p>
    <w:p w14:paraId="14748CAA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</w:rPr>
        <w:t>3. 资金精细化管理有待加强</w:t>
      </w:r>
      <w:r>
        <w:rPr>
          <w:rFonts w:hint="eastAsia" w:ascii="Times New Roman Regular" w:hAnsi="Times New Roman Regular" w:eastAsia="仿宋_GB2312" w:cs="Times New Roman Regular"/>
          <w:sz w:val="32"/>
          <w:szCs w:val="32"/>
          <w:lang w:val="en-US" w:eastAsia="zh-CN"/>
        </w:rPr>
        <w:t>。</w:t>
      </w:r>
    </w:p>
    <w:p w14:paraId="7FDBDB81">
      <w:pPr>
        <w:snapToGrid w:val="0"/>
        <w:spacing w:line="520" w:lineRule="exact"/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</w:pPr>
      <w:r>
        <w:rPr>
          <w:rFonts w:hint="eastAsia" w:ascii="Times New Roman Regular" w:hAnsi="Times New Roman Regular" w:eastAsia="仿宋_GB2312" w:cs="Times New Roman Regular"/>
          <w:b/>
          <w:bCs/>
          <w:sz w:val="28"/>
          <w:szCs w:val="28"/>
        </w:rPr>
        <w:t>（三）</w:t>
      </w:r>
      <w:r>
        <w:rPr>
          <w:rFonts w:ascii="Times New Roman Regular" w:hAnsi="Times New Roman Regular" w:eastAsia="仿宋_GB2312" w:cs="Times New Roman Regular"/>
          <w:b/>
          <w:bCs/>
          <w:sz w:val="28"/>
          <w:szCs w:val="28"/>
        </w:rPr>
        <w:t>相关建议</w:t>
      </w:r>
    </w:p>
    <w:p w14:paraId="392AC5E6">
      <w:pPr>
        <w:snapToGrid w:val="0"/>
        <w:spacing w:line="520" w:lineRule="exact"/>
        <w:ind w:firstLine="640" w:firstLineChars="200"/>
        <w:rPr>
          <w:rFonts w:hint="eastAsia" w:ascii="Times New Roman Regular" w:hAnsi="Times New Roman Regular" w:eastAsia="仿宋_GB2312" w:cs="Times New Roman Regular"/>
          <w:sz w:val="32"/>
          <w:szCs w:val="32"/>
          <w:lang w:eastAsia="zh-CN"/>
        </w:rPr>
      </w:pPr>
      <w:r>
        <w:rPr>
          <w:rFonts w:hint="eastAsia" w:ascii="Times New Roman Regular" w:hAnsi="Times New Roman Regular" w:eastAsia="仿宋_GB2312" w:cs="Times New Roman Regular"/>
          <w:sz w:val="32"/>
          <w:szCs w:val="32"/>
          <w:lang w:eastAsia="zh-CN"/>
        </w:rPr>
        <w:t>无。</w:t>
      </w:r>
    </w:p>
    <w:p w14:paraId="4DAD8589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</w:p>
    <w:p w14:paraId="79B84A48">
      <w:pPr>
        <w:snapToGrid w:val="0"/>
        <w:spacing w:line="520" w:lineRule="exact"/>
        <w:ind w:firstLine="640" w:firstLineChars="200"/>
        <w:rPr>
          <w:rFonts w:ascii="Times New Roman Regular" w:hAnsi="Times New Roman Regular" w:eastAsia="仿宋_GB2312" w:cs="Times New Roman Regular"/>
          <w:sz w:val="32"/>
          <w:szCs w:val="32"/>
        </w:rPr>
      </w:pPr>
    </w:p>
    <w:sectPr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1" w:fontKey="{926845FA-6CE7-4803-8E9F-0A1771418170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9" w:usb3="00000000" w:csb0="400001FF" w:csb1="FFFF0000"/>
    <w:embedRegular r:id="rId2" w:fontKey="{23CAFBC6-B8D2-4D24-AB75-0F45CB24A21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B3B73F9-E5DD-457A-97AF-517C3FBB955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5195BD1-6E8B-43C3-9857-227B7A77BD29}"/>
  </w:font>
  <w:font w:name="WPSEMBED3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 Math">
    <w:panose1 w:val="02040503050406030204"/>
    <w:charset w:val="01"/>
    <w:family w:val="auto"/>
    <w:pitch w:val="variable"/>
    <w:sig w:usb0="E00002FF" w:usb1="420024FF" w:usb2="00000000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MDA4YjljOWRkYTEwMzVhMGU0MTZkMjJmNzQ2MTZmMDEifQ=="/>
    <w:docVar w:name="KSO_WPS_MARK_KEY" w:val="9920a277-c0c3-43b4-93d3-1636fe398e0b"/>
  </w:docVars>
  <w:rsids>
    <w:rsidRoot w:val="753C4E9B"/>
    <w:rsid w:val="000C5735"/>
    <w:rsid w:val="004A6707"/>
    <w:rsid w:val="009A5CD8"/>
    <w:rsid w:val="00A25EC9"/>
    <w:rsid w:val="00B67ACC"/>
    <w:rsid w:val="00D962DA"/>
    <w:rsid w:val="05E95AA6"/>
    <w:rsid w:val="0C180A78"/>
    <w:rsid w:val="0D276746"/>
    <w:rsid w:val="0D464D9C"/>
    <w:rsid w:val="0DD52794"/>
    <w:rsid w:val="0E956870"/>
    <w:rsid w:val="10C666A5"/>
    <w:rsid w:val="1223366A"/>
    <w:rsid w:val="143877FD"/>
    <w:rsid w:val="14B80712"/>
    <w:rsid w:val="17FCFFF6"/>
    <w:rsid w:val="19E805B2"/>
    <w:rsid w:val="1CBF872E"/>
    <w:rsid w:val="22FE234B"/>
    <w:rsid w:val="23C036D6"/>
    <w:rsid w:val="277E6F02"/>
    <w:rsid w:val="29990575"/>
    <w:rsid w:val="29E844E5"/>
    <w:rsid w:val="2AF6742D"/>
    <w:rsid w:val="312A2265"/>
    <w:rsid w:val="333F3E43"/>
    <w:rsid w:val="36FC0F5D"/>
    <w:rsid w:val="375773F8"/>
    <w:rsid w:val="393E32BB"/>
    <w:rsid w:val="3AE53136"/>
    <w:rsid w:val="3EFDDE87"/>
    <w:rsid w:val="419B2857"/>
    <w:rsid w:val="41D71DA8"/>
    <w:rsid w:val="47CF654B"/>
    <w:rsid w:val="4C6611ED"/>
    <w:rsid w:val="4D5D3BD3"/>
    <w:rsid w:val="4EB7F892"/>
    <w:rsid w:val="552A0475"/>
    <w:rsid w:val="578D10CB"/>
    <w:rsid w:val="5A5915AC"/>
    <w:rsid w:val="5ABBC979"/>
    <w:rsid w:val="5BFC7B3B"/>
    <w:rsid w:val="5E77C7C6"/>
    <w:rsid w:val="5FFFAAE0"/>
    <w:rsid w:val="66347B2F"/>
    <w:rsid w:val="667FD72C"/>
    <w:rsid w:val="6A12486A"/>
    <w:rsid w:val="6ABE64BE"/>
    <w:rsid w:val="6B5F16C5"/>
    <w:rsid w:val="6CF3EA5A"/>
    <w:rsid w:val="717B27A9"/>
    <w:rsid w:val="753C4E9B"/>
    <w:rsid w:val="769B7804"/>
    <w:rsid w:val="779FCBF0"/>
    <w:rsid w:val="77F7E21B"/>
    <w:rsid w:val="781113A7"/>
    <w:rsid w:val="791E6510"/>
    <w:rsid w:val="79E2F975"/>
    <w:rsid w:val="7B3BDBF2"/>
    <w:rsid w:val="7C8D4A41"/>
    <w:rsid w:val="7EBDCBBF"/>
    <w:rsid w:val="7EC74CC1"/>
    <w:rsid w:val="7EE6408F"/>
    <w:rsid w:val="7F3EB32E"/>
    <w:rsid w:val="7F5F3F3B"/>
    <w:rsid w:val="7F5FE5E8"/>
    <w:rsid w:val="7F7FC8C5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HAnsi" w:hAnsiTheme="majorHAnsi" w:cstheme="majorBidi"/>
      <w:bCs/>
      <w:sz w:val="32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unhideWhenUsed/>
    <w:qFormat/>
    <w:uiPriority w:val="0"/>
    <w:pPr>
      <w:ind w:firstLine="640" w:firstLineChars="200"/>
    </w:pPr>
    <w:rPr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3"/>
    <w:autoRedefine/>
    <w:unhideWhenUsed/>
    <w:qFormat/>
    <w:uiPriority w:val="99"/>
    <w:pPr>
      <w:ind w:firstLine="42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标题1"/>
    <w:basedOn w:val="2"/>
    <w:autoRedefine/>
    <w:qFormat/>
    <w:uiPriority w:val="0"/>
    <w:rPr>
      <w:rFonts w:eastAsia="黑体"/>
    </w:rPr>
  </w:style>
  <w:style w:type="paragraph" w:customStyle="1" w:styleId="12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1241</Words>
  <Characters>1254</Characters>
  <Lines>9</Lines>
  <Paragraphs>2</Paragraphs>
  <TotalTime>12</TotalTime>
  <ScaleCrop>false</ScaleCrop>
  <LinksUpToDate>false</LinksUpToDate>
  <CharactersWithSpaces>1258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2024-02-23T10:03:00Z</dcterms:created>
  <dc:creator>1402836399</dc:creator>
  <cp:lastModifiedBy>佛系宅男</cp:lastModifiedBy>
  <cp:lastPrinted>2026-03-25T02:10:00Z</cp:lastPrinted>
  <dcterms:modified xsi:type="dcterms:W3CDTF">2026-05-21T01:18:21Z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EFC23DC2240549E095E339D148DF8166_13</vt:lpwstr>
  </property>
  <property fmtid="{D5CDD505-2E9C-101B-9397-08002B2CF9AE}" pid="4" name="KSOTemplateDocerSaveRecord">
    <vt:lpwstr>eyJoZGlkIjoiNDA5ZTYxNzYxOGIyMmI5M2I3Mzg2MzJmODAzMzVkNGMiLCJ1c2VySWQiOiI2NDE3NjU2MjkifQ==</vt:lpwstr>
  </property>
</Properties>
</file>