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附件5</w:t>
      </w: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132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2025年度怀化市民政局部门整体支出</w:t>
      </w: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308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308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绩效自评报告</w:t>
      </w: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308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83" w:firstLineChars="20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83" w:firstLineChars="20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83" w:firstLineChars="20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83" w:firstLineChars="20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83" w:firstLineChars="20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83" w:firstLineChars="20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883" w:firstLineChars="20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1600" w:firstLineChars="50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单位名称（盖章）：怀化市民政局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一、部门概况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（一）部门（单位）基本情况。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1.机构设置情况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根据《关于印发&lt;怀化市民政局职能配置、内设机构和人员编制规定&gt;的通知》（怀办〔2024〕35号），设正科级内设机构8个，办公室（政策法规科）、规划财务科、社会组织管理科（社会组织执法监督局、行政审批服务科）、社会救助科、区划地名和慈善事业促进科、社会事务科、老龄工作科、养老服务和儿童福利科，另设机关党委（人事科）。下设直属单位6个，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其中：财务不独立单位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2个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市民政事务中心、市特困家庭大病医疗慈善救助服务中心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财务独立二级部门预算单位3个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怀化市救助站、怀化市社会福利院、怀化市殡葬事务中心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；财务独立二级非部门预算单位1个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怀化市福利彩票发行中心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rPr>
          <w:rFonts w:hint="default"/>
          <w:b w:val="0"/>
          <w:bCs w:val="0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2.人员编制情况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市民政局及直属事业单位（不含市福利彩票发行中心）核定编制122名，其中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行政编制26名、机关工勤编制1名、参公编制26名、事业编制69名。实有在编人员115人，其中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行政24人、参公11人、机关工勤14人（局机关1人、市救助站13人）、事业单位66人。退休人员共95人。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3.主要职能职责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贯彻落实党中央关于民政工作的方针政策和决策部署，全面落实省委、市委关于民政工作的部署要求，把坚持和加强党对民政工作的全面领导落实到履行职责过程中。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（1）拟订全市民政事业发展政策、规划，制定标准并组织实施。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）拟订全市社会团体、社会服务机构等社会组织登记和监督管理办法并组织实施，依法对社会组织进行登记管理和执法监督。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）拟订全市社会救助政策、标准，统筹社会救助体系建设，负责城乡居民最低生活保障、最低生活保障边缘家庭救助、刚性支出困难家庭救助、特困人员救助供养、临时救助、生活无着流浪乞讨人员救助工作。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拟订全市行政区划、行政区域界线管理和地名管理政策、标准，组织研究提出全市行政区划规划思路建议，按照管理权限牵头负责行政区划设立、命名、变更和政府驻地迁移等审核工作。组织、指导全市行政区域界线的勘定和管理工作，负责全市地名工作的指导、监督和管理，负责市内重要的或跨县市区的自然地理实体的命名和更名审核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）拟订全市婚姻管理政策并组织实施，推进婚俗改革。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）拟订全市殡葬管理政策、服务规范并组织实施，推进殡葬改革。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）拟订全市残疾人权益保护政策，统筹推进残疾人福利制度建设和康复辅助器具产业发展。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承担市老龄工作委员会的具体工作。承担加强老年健康、养老服务、养老保险、养老产业等方面统筹协调工作。组织拟订并协调落实积极应对人口老龄化的政策措施。指导协调老年人权益保障工作。组织拟订老年人社会参与政策并组织实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）组织拟订并协调落实促进全市养老事业发展的政策措施。统筹推进、督促指导、监督管理养老服务工作，拟订全市养老服务体系建设规划、政策、标准并组织实施，承担老年人福利和特殊困难老年人救助工作。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）拟订全市儿童福利、孤弃儿童保障、儿童收养、儿童救助保护政策和标准，健全农村留守儿童关爱服务体系和困境儿童保障制度。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）组织拟订全市促进慈善事业发展政策，指导社会捐助工作，负责福利彩票管理工作。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依照有关法律法规，在职责范围内对民政行业、领域的安全生产工作实施监督管理。依据法律法规以及规定的职能职责，依法开展安全生产行政执法工作，严厉查处违法违规行为；与有关部门建立健全联合监管机制，共同做好相关安全生产工作；指导、督促、检查下级部门和所属单位落实安全生产管理责任，制定和落实安全防范措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（1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）完成市委、市政府交办的其他任务。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default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（二）部门（单位）整体支出规模、使用方向和主要内容、涉及范围等。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34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.202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年度财政年初预算数。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根据《怀化市财政局关于批复下达202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年市直部门预算的通知》（怀财预〔202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号），批复下达我部门3,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361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万元，较上年度减少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44.34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万元，降低1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.3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%。其中财政经费拨款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813.63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万元，占比8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3.7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%。具体情况如下：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960" w:firstLineChars="2900"/>
        <w:textAlignment w:val="auto"/>
        <w:rPr>
          <w:rFonts w:hint="default" w:ascii="Times New Roman" w:hAnsi="Times New Roman" w:eastAsia="方正仿宋_GBK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单位：万元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1582"/>
        <w:gridCol w:w="1583"/>
        <w:gridCol w:w="1582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年初预算项目</w:t>
            </w:r>
          </w:p>
        </w:tc>
        <w:tc>
          <w:tcPr>
            <w:tcW w:w="316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金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额</w:t>
            </w:r>
          </w:p>
        </w:tc>
        <w:tc>
          <w:tcPr>
            <w:tcW w:w="316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较上年增减变化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vertAlign w:val="baseline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金额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收入预算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3,405.94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361.6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44.34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.3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其中：财政经费拨款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2,776.04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813.63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37.59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财政专户管理资金收入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629.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547.97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81.93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14.9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上级补助收入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支出预算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3,405.94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361.6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44.34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1.3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其中：基本支出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158.69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408.9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250.21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10.4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项目支出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247.25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952.7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294.55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30.9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%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34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2.202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  <w:lang w:val="en"/>
        </w:rPr>
        <w:t>5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年度全年预算数。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全年预算数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13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60.37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万元，较上年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427.96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23.2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%。其中基本支出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074.17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30.4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%；项目支出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186.2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万元，占比7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%。具体情况如下：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7200" w:firstLineChars="3000"/>
        <w:textAlignment w:val="auto"/>
        <w:rPr>
          <w:rFonts w:hint="default" w:ascii="Times New Roman" w:hAnsi="Times New Roman" w:eastAsia="方正仿宋_GBK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单位：万元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3105"/>
        <w:gridCol w:w="1583"/>
        <w:gridCol w:w="1582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年度</w:t>
            </w:r>
          </w:p>
        </w:tc>
        <w:tc>
          <w:tcPr>
            <w:tcW w:w="31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预算项目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基本支出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项目支出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本年</w:t>
            </w:r>
          </w:p>
        </w:tc>
        <w:tc>
          <w:tcPr>
            <w:tcW w:w="31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本年预算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408.9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952.7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361.6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上级拨款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665.27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9226.43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9891.7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0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  <w:t>使用非财政拨款结余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7.07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7.07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本年可用指标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074.17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186.2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260.37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上年可用指标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较上年增减金额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3435.03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1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较上年增减比例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 w:eastAsia="zh-CN" w:bidi="ar-SA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34.9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%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34" w:firstLineChars="200"/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3.202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  <w:lang w:val="en"/>
        </w:rPr>
        <w:t>5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年度财政预算整体支出情况。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年初财政预算支出3,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361.6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万元，其中基本支出2,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408.9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71.7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%；项目支出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952.7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28.3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%。具体使用方向和内容如下：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60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单位：万元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                      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2102"/>
        <w:gridCol w:w="2102"/>
        <w:gridCol w:w="2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支出项目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基本支出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项目支出</w:t>
            </w:r>
          </w:p>
        </w:tc>
        <w:tc>
          <w:tcPr>
            <w:tcW w:w="21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工资福利支出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968.21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  <w:tc>
          <w:tcPr>
            <w:tcW w:w="21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968.21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商品和服务支出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252.81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0.05</w:t>
            </w:r>
          </w:p>
        </w:tc>
        <w:tc>
          <w:tcPr>
            <w:tcW w:w="21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252.86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对个人和家庭的补助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187.88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  <w:tc>
          <w:tcPr>
            <w:tcW w:w="21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187.88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运转其他类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  <w:tc>
          <w:tcPr>
            <w:tcW w:w="21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特定目标类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0.00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952.65</w:t>
            </w:r>
          </w:p>
        </w:tc>
        <w:tc>
          <w:tcPr>
            <w:tcW w:w="21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952.65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合计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408.9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952.7</w:t>
            </w:r>
          </w:p>
        </w:tc>
        <w:tc>
          <w:tcPr>
            <w:tcW w:w="21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3,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"/>
              </w:rPr>
              <w:t>361.6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34" w:firstLineChars="200"/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4.202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  <w:lang w:val="en"/>
        </w:rPr>
        <w:t>5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年度收入决算。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253.3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万元。其中，一般公共预算6,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857.3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万元，政府性基金拨款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693.78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万元，纳入专户管理的非税收入拨款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455.74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万元，其他收入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46.48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34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5.202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  <w:lang w:val="en"/>
        </w:rPr>
        <w:t>5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年度支出决算及结余。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全年支出9,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577.26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万元。按支出用途划分，基本支出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2919.4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30.4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%；项目支出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657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86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万元，占比7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7.6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（一）基本支出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用于保障机构正常运转、完成日常工作任务所发生的支出，包括人员经费和日常公用经费。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年基本支出预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074.17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万元，其中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年初预算2,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408.9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万元、上级拨款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665.27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2025年基本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支出决算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2919.4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万元，其中：人员经费决算支出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2,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499.5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万元，主要为工资薪金及社会保障缴费；公用经费决算支出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419.9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万元，主要用于办公费、水电费、物业费、差旅费等支出。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三公”经费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使用和管理情况：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我局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牢固树立“过紧日子”思想，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出台《进一步厉行节约习惯过紧日子的若干措施》，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从严从紧控制“三公”经费，确保只减不增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2025年“三公”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预算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58.1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bidi="ar"/>
        </w:rPr>
        <w:t>决算支出1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</w:rPr>
        <w:t>9.85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bidi="ar"/>
        </w:rPr>
        <w:t>万元，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"/>
        </w:rPr>
        <w:t>整体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节约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38.25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万元，节约率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"/>
        </w:rPr>
        <w:t>达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6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5.8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%。</w:t>
      </w:r>
      <w:bookmarkStart w:id="0" w:name="OLE_LINK1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其中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"/>
        </w:rPr>
        <w:t>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公务接待费较预算数减少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1.62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万元，全年公务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bidi="ar"/>
        </w:rPr>
        <w:t>接待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9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bidi="ar"/>
        </w:rPr>
        <w:t>批次，接待人次数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56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bidi="ar"/>
        </w:rPr>
        <w:t>人；公务用车运行维护费较预算减少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36.63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bidi="ar"/>
        </w:rPr>
        <w:t>万元，现有公务车辆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8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台。具体情况如下表：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60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单位：万元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                      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2102"/>
        <w:gridCol w:w="2102"/>
        <w:gridCol w:w="2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eastAsia="zh-CN"/>
              </w:rPr>
              <w:t>费用项目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eastAsia="zh-CN"/>
              </w:rPr>
              <w:t>本年预算</w:t>
            </w:r>
          </w:p>
        </w:tc>
        <w:tc>
          <w:tcPr>
            <w:tcW w:w="21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eastAsia="zh-CN"/>
              </w:rPr>
              <w:t>本年决算</w:t>
            </w:r>
          </w:p>
        </w:tc>
        <w:tc>
          <w:tcPr>
            <w:tcW w:w="21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  <w:lang w:eastAsia="zh-CN"/>
              </w:rPr>
              <w:t>节约金额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公务接待费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0.38</w:t>
            </w:r>
          </w:p>
        </w:tc>
        <w:tc>
          <w:tcPr>
            <w:tcW w:w="21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公车运行维护费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48.88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12.25</w:t>
            </w:r>
          </w:p>
        </w:tc>
        <w:tc>
          <w:tcPr>
            <w:tcW w:w="21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36.63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因公出国费用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7.22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7.22</w:t>
            </w:r>
          </w:p>
        </w:tc>
        <w:tc>
          <w:tcPr>
            <w:tcW w:w="21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35.7</w:t>
            </w:r>
          </w:p>
        </w:tc>
        <w:tc>
          <w:tcPr>
            <w:tcW w:w="2102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13.45</w:t>
            </w:r>
          </w:p>
        </w:tc>
        <w:tc>
          <w:tcPr>
            <w:tcW w:w="21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38.25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default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楷体_GBK" w:hAnsi="方正楷体_GBK" w:eastAsia="方正楷体_GBK" w:cs="方正楷体_GBK"/>
          <w:b/>
          <w:bCs/>
          <w:color w:val="auto"/>
          <w:sz w:val="32"/>
          <w:szCs w:val="32"/>
          <w:highlight w:val="none"/>
          <w:lang w:val="en-US" w:eastAsia="zh-CN"/>
        </w:rPr>
        <w:t>（二）项目支出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rPr>
          <w:rFonts w:hint="default" w:ascii="Times New Roman" w:hAnsi="Times New Roman" w:eastAsia="方正仿宋_GBK" w:cs="Times New Roman"/>
          <w:spacing w:val="-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1.专项资金。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立足在发展中保障和改善民生，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充分发挥民政部门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兜底保障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协调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服务、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基础支撑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和积极促进作用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统筹开展各类民政专项业务工作，完成市委市政府交办各项工作任务，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金来源主要为专项预算资金和上级拨款。具体用途为：（1）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一般公共服务支出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；（2）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文化旅游体育与传媒支出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；（3）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民政管理事务支出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；（4）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死亡抚恤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；（5）社会福利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；（6）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临时救助（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流浪乞讨人员救助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；（7）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社会保障和就业支出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；（8）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超长期特别国债安排的支出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；（9）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其他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地方自行试点项目收益专项债券收入安排的支出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；（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）彩票公益金安排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pacing w:val="-2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年项目支出预算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186.2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万元，其中，年初预算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952.7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万元、上级拨款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226.43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、使用非财政拨款结余（含专用结余）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7.07万元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。决算支出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657.86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万元，其中基本建设类项目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,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546.25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专项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资金使用情况。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本年项目总支出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657.86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万元，专项资金投入进度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65.4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其中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：一般公共服务支出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100.98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文化旅游体育与传媒支出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30.26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民政管理事务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77.14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死亡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抚恤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758.94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社会福利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570.76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临时救助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139.6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其他社会保障和就业支出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1149.25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超长期特别国债安排的支出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50万元、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其他地方自行试点项目收益专项债券收入安排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066.88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彩票公益金安排的支出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714.05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3.项目资金管理情况。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一是健全制度体系，筑牢管理根基。联合市财政部门出台《怀化市级福利彩票公益金使用管理办法（试行）》，从资金支持范围、分配与管理、绩效管理、监督检查等6个方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面作出系统性规范；出台《怀化市民政局内部控制制度（试行）》，对财务管理、预算业务、收支业务、政府采购业务、资产管理、建设项目、合同管理、内部审计监督等提出明确要求，构建起覆盖项目资金运行全过程的制度框架。二是严把资金拨付关口，确保规范有序。严格落实合同审批、报账审批等财务流程，按照项目实施进度有序拨付资金，坚决杜绝挤占、挪用、截留资金等违规行为。三是强化日常监管，提升资金效益。全面落实“事前预算评审、事中动态监管、事后绩效评价”的全过程绩效管理机制，常态化开展资金使用自查自纠、抽查督办和专项审计，确保项目资金规范使用、发挥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firstLine="641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kern w:val="2"/>
          <w:sz w:val="32"/>
          <w:szCs w:val="32"/>
          <w:shd w:val="clear" w:color="auto" w:fill="FFFFFF"/>
          <w:lang w:val="en-US" w:eastAsia="zh-CN"/>
        </w:rPr>
        <w:t>（一）项目组织情况分析。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项目采购严格遵循《中华人民共和国招标投标法》《中华人民共和国政府采购法》等相关法律法规要求，坚持公开透明、公平竞争原则，坚决杜绝项目拆分采购、化整为零规避公开招标等违规行为。</w:t>
      </w:r>
      <w:r>
        <w:rPr>
          <w:rFonts w:ascii="Times New Roman" w:hAnsi="Times New Roman" w:eastAsia="方正仿宋_GBK"/>
          <w:sz w:val="32"/>
          <w:szCs w:val="32"/>
        </w:rPr>
        <w:t>项目承办部门根据批准的概预算和设计方案，提出采购申请，按审批权限报批后，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依据项目性质和金额标准依法确定采购方式及</w:t>
      </w:r>
      <w:r>
        <w:rPr>
          <w:rFonts w:ascii="Times New Roman" w:hAnsi="Times New Roman" w:eastAsia="方正仿宋_GBK"/>
          <w:sz w:val="32"/>
          <w:szCs w:val="32"/>
        </w:rPr>
        <w:t>供应商，签订书面合同，明确项目范围、质量标准、工期、合同金额、付款方式、违约责任等条款。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项目建设严格按照经批准的设计文件和施工技术标准执行，确需变更的，严格遵循“先批准、后实施”的原则，由施工方或项目主管部门提出书面申请，说明变更原因、内容及预算增减，</w:t>
      </w:r>
      <w:r>
        <w:rPr>
          <w:rFonts w:ascii="Times New Roman" w:hAnsi="Times New Roman" w:eastAsia="方正仿宋_GBK"/>
          <w:sz w:val="32"/>
          <w:szCs w:val="32"/>
        </w:rPr>
        <w:t>按规定权限报批。建设项目竣工后，按照规定的时限及时办理竣工验收及决算审计工作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及时办理工程价款结算。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firstLine="644"/>
        <w:jc w:val="both"/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kern w:val="2"/>
          <w:sz w:val="32"/>
          <w:szCs w:val="32"/>
          <w:shd w:val="clear" w:color="auto" w:fill="FFFFFF"/>
          <w:lang w:val="en-US" w:eastAsia="zh-CN" w:bidi="ar-SA"/>
        </w:rPr>
        <w:t>（二）项目管理情况分析。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出台《怀化市民政局内部控制制度（试行）》，对建设项目管理作出明确规定，涵盖项目立项、规划、执行、监督、验收等各环节。项目承办部门负责对项目实施过程进行全程监督与管理，确保施工方按设计图纸、技术标准和合同要求进行作业，并对安全生产、工程质量、施工进度负责。业务主管部门加强监督指导，定期对项目实施进展、存在问题、改进措施等进行调度。财务部门严格执行财务制度，加强项目核算管理，综合考虑项目财政资金预算、建设进度等因素执行资金拨付，确保专款专用、不得挤占挪用，严控超支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出台《怀化市民政局内部控制制度（试行）》，对资产管理作出明确规定，规范采购入库、领用调拨、年度盘点、报废处置等全流程管理，</w:t>
      </w:r>
      <w:r>
        <w:rPr>
          <w:rFonts w:ascii="Times New Roman" w:hAnsi="Times New Roman" w:eastAsia="方正仿宋_GBK"/>
          <w:sz w:val="32"/>
          <w:szCs w:val="32"/>
        </w:rPr>
        <w:t>成立资产管理小组，由规划财务科、办公室（政策法规科）、民政事务中心和各科室组成。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依托预算一体化资产系统，对资产实行“一物一台卡”登记管理，实现涵盖资产配置、使用、处置的全生命周期跟踪管理。</w:t>
      </w:r>
      <w:r>
        <w:rPr>
          <w:rFonts w:ascii="Times New Roman" w:hAnsi="Times New Roman" w:eastAsia="方正仿宋_GBK"/>
          <w:sz w:val="32"/>
          <w:szCs w:val="32"/>
        </w:rPr>
        <w:t>定期开展资产核查，出现资产盘盈盘亏的，应当及时查明原因，做到账实相符和账账相符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严防国有资产流失，切实提升资产使用效率。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五、政府性基金预算支出情况</w:t>
      </w:r>
    </w:p>
    <w:p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0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  <w:t>年政府性基金预算收入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5693.78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  <w:t>万元，202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  <w:t>年政府性基金预算支出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,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830.92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  <w:t>万元，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eastAsia="zh-CN"/>
        </w:rPr>
        <w:t>资金投入进度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val="en-US" w:eastAsia="zh-CN"/>
        </w:rPr>
        <w:t>49.7%，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  <w:t>其中：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  <w:lang w:eastAsia="zh-CN"/>
        </w:rPr>
        <w:t>用于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超长期特别国债安排的支出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50万元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，用于其他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地方自行试点项目收益专项债券收入安排的支出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2066.88万元，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用于彩票公益金安排的支出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714.05万元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六、国有资本经营预算支出情况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2025年无国有资本经营预算支出。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七、社会保险基金预算支出情况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年无社会保险基金预算支出。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八、部门整体支出绩效情况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rPr>
          <w:rFonts w:hint="default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（一）综合评价结论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年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民政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eastAsia="zh-CN"/>
        </w:rPr>
        <w:t>部门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坚决贯彻落实市委、市政府决策部署，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</w:rPr>
        <w:t>紧扣保障和改善民生的根本任务，以“服务提升年”活动为抓手，高规格召开了第四次全市民政会议，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重点工作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次在全省民政领域作交流发言，圆满完成了全年各项目标任务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lang w:eastAsia="zh-CN"/>
        </w:rPr>
        <w:t>。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根据《整体支出绩效自评表》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lang w:eastAsia="zh-CN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9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分，财政支出绩效为“优”。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（二）评价指标分析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34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b/>
          <w:spacing w:val="-2"/>
          <w:sz w:val="32"/>
          <w:szCs w:val="32"/>
          <w:lang w:eastAsia="zh-CN"/>
        </w:rPr>
        <w:t>管理效率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年预算配置控制较好，预算项目资金全部投入项目之中，全年落实各类拨款到账，保证了局机关的正常运转和民政事业发展，局机关全年财务管理和收支目标得以实现。预算执行方面，严格贯彻落实例行节约反对浪费条例，采取一系列措施加强对经费支出的严格控制，费用支出做到事前申报，按流程审批、按标准开支，支出总额控制在预算总额以内，投入进度正常。公用经费预算与决算收支平衡，控制率达100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%。“三公经费”总体控制较好，节约率达到6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5.8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34" w:firstLineChars="200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2.</w:t>
      </w:r>
      <w:r>
        <w:rPr>
          <w:rFonts w:hint="eastAsia" w:ascii="Times New Roman" w:hAnsi="Times New Roman" w:eastAsia="方正仿宋_GBK" w:cs="Times New Roman"/>
          <w:b/>
          <w:spacing w:val="-2"/>
          <w:sz w:val="32"/>
          <w:szCs w:val="32"/>
          <w:lang w:eastAsia="zh-CN"/>
        </w:rPr>
        <w:t>履职效能</w:t>
      </w: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全年争取资金11.18亿元，销售福利彩票4.24亿元，统筹谋划城乡养老服务提质增效重点项目72个并推送至国家层面参与评审，全市5个民政项目获批地方政府专项债1.76亿元。完成主城区32条新建道路命名、1356块路牌提质增补以及1.2万块智慧门牌安装，新命名道路彰显陆港发展、东盟合作特色。全面完成5项重点民生实事，城乡低保、残疾人、孤儿及事实无人抚养儿童救助标准全面提标，建成老年助餐服务点56个、“时光守护”床位160张，累计发放各类救助资金10.16亿元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持续完善“1+N+X”县乡村三级养老服务网络，公办养老机构入住率突破70%，养老机构“开门办院”“庭院经济”新模式获《中国民政》等权威媒体关注报道。深化社会组织登记改革，平均审批时长提速70％，引导社会组织助力农副产品消费帮扶2.27亿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34" w:firstLineChars="200"/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pacing w:val="-2"/>
          <w:sz w:val="32"/>
          <w:szCs w:val="32"/>
        </w:rPr>
        <w:t>3.</w:t>
      </w:r>
      <w:r>
        <w:rPr>
          <w:rFonts w:hint="eastAsia" w:ascii="Times New Roman" w:hAnsi="Times New Roman" w:eastAsia="方正仿宋_GBK" w:cs="Times New Roman"/>
          <w:b/>
          <w:spacing w:val="-2"/>
          <w:sz w:val="32"/>
          <w:szCs w:val="32"/>
          <w:lang w:eastAsia="zh-CN"/>
        </w:rPr>
        <w:t>社会效益。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在全省率先成立市级老龄协会和社区老年大学，首届银发经济消费艺术周活动直接拉动银发消费超200万元，创建6家全国敬老文明号、6家全国示范性老年友好型社区。深化养老领域“数智赋能”，市域安联网实现省市县互联互通，发布养老服务“关爱地图”，打造“15分钟智慧养老服务圈”，“焕新惠老”惠及1900余户老年家庭，特殊困难老年人月探访率100%。在全国率先探索市未成年人保护中心常态化运营，服务儿童2.3万人次，为2.64万名农村留守儿童签订委托照护协议，对155名高风险困境儿童实现集中委托照护。市精神卫生康复福利中心投入使用并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eastAsia="zh-CN"/>
        </w:rPr>
        <w:t>收治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</w:rPr>
        <w:t>特困精神障碍患者190余名，全市救助管理机构及时救助流浪乞讨人员6342人次，让特殊困难群体感受到了党和政府的温暖。创新“福地怀化·慈爱盎然”社区慈善新模式，实施“走出大山看世界”等慈善项目30余个，帮扶困难群众10万余人次，“怀化扬州慈善励志班”项目入围第十三届“中华慈善奖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pacing w:val="0"/>
          <w:sz w:val="32"/>
          <w:szCs w:val="32"/>
          <w:lang w:val="en-US" w:eastAsia="zh-CN"/>
        </w:rPr>
        <w:t>一是绩效管理理念不够深入。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“花钱必问效、无效必问责”的意识尚未全面树立，部分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科室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仍存在重投入轻绩效、重分配轻管理的倾向，绩效目标编制质量不高。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pacing w:val="0"/>
          <w:sz w:val="32"/>
          <w:szCs w:val="32"/>
          <w:lang w:val="en-US" w:eastAsia="zh-CN"/>
        </w:rPr>
        <w:t>二是绩效结果运用刚性不强。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绩效评价结果与预算安排、项目调整之间的关联机制不够紧密，结果运用尚未完全落到实处，对优化资源配置的引导作用发挥不充分。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pacing w:val="0"/>
          <w:sz w:val="32"/>
          <w:szCs w:val="32"/>
          <w:lang w:val="en-US" w:eastAsia="zh-CN"/>
        </w:rPr>
        <w:t>三是专业能力支撑不足。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绩效管理人员专职率低，系统化培训机制不健全，数据采集分析能力薄弱</w:t>
      </w:r>
      <w:r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  <w:t>政策理解力和实操能力难以满足精细化管理要求。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十、</w:t>
      </w: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下一步改进措施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  <w:t>一是健全全过程绩效管理闭环机制。</w:t>
      </w:r>
      <w:r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加强绩效目标审核、运行监控和评价结果应用的有机衔接，对偏离目标的项目及时预警纠偏，形成“目标设定—过程监控—评价应用—整改反馈”的完整链条，确保各环节工作落到实处。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  <w:t>二是强化绩效结果与预算安排挂钩。</w:t>
      </w:r>
      <w:r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将绩效评价结果作为预算安排和资金分配的重要依据，对</w:t>
      </w:r>
      <w:r>
        <w:rPr>
          <w:rFonts w:hint="eastAsia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资金使用</w:t>
      </w:r>
      <w:r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绩效优秀的优先保障，推动评价结果真正落地生效。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  <w:t>三是提升绩效管理队伍专业能力。</w:t>
      </w:r>
      <w:r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常态化开展绩效管理业务培训，覆盖各业务科室和项目负责人，提升数据采集与分析能力，推动绩效管理提质增效。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建立科学合理的资金绩效评价指标体系，定期对项目资金的使用效益进行评价。评价内容包括资金使用效率、项目完成情况等。根据绩效评价结果，总结经验教训，改进资金管理工作，提高资金使用效益。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按照政府信息公开的相关要求，主动向社会公开重点项目绩效目标、绩效评价结果，接受社会监督。公开内容包括资金来源、金额、使用方向等信息，确保信息真实、准确、完整。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十二、其他需要说明的情况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无其他需要说明的情况。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bookmarkStart w:id="1" w:name="_GoBack"/>
      <w:bookmarkEnd w:id="1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jljOWRkYTEwMzVhMGU0MTZkMjJmNzQ2MTZmMDEifQ=="/>
    <w:docVar w:name="KSO_WPS_MARK_KEY" w:val="9920a277-c0c3-43b4-93d3-1636fe398e0b"/>
  </w:docVars>
  <w:rsids>
    <w:rsidRoot w:val="753C4E9B"/>
    <w:rsid w:val="012A081D"/>
    <w:rsid w:val="02D432A2"/>
    <w:rsid w:val="056E1312"/>
    <w:rsid w:val="05E95AA6"/>
    <w:rsid w:val="068A3836"/>
    <w:rsid w:val="069C40D7"/>
    <w:rsid w:val="07533584"/>
    <w:rsid w:val="0B071D3B"/>
    <w:rsid w:val="0C180A78"/>
    <w:rsid w:val="0D276746"/>
    <w:rsid w:val="0D464D9C"/>
    <w:rsid w:val="0DD52794"/>
    <w:rsid w:val="0E8658F0"/>
    <w:rsid w:val="0E956870"/>
    <w:rsid w:val="10606F0E"/>
    <w:rsid w:val="10C666A5"/>
    <w:rsid w:val="1223366A"/>
    <w:rsid w:val="143877FD"/>
    <w:rsid w:val="148263CE"/>
    <w:rsid w:val="14B80712"/>
    <w:rsid w:val="17FCFFF6"/>
    <w:rsid w:val="19E805B2"/>
    <w:rsid w:val="1BD47143"/>
    <w:rsid w:val="1CBF872E"/>
    <w:rsid w:val="1EB73A78"/>
    <w:rsid w:val="1FF80C7E"/>
    <w:rsid w:val="22FE234B"/>
    <w:rsid w:val="23927ED5"/>
    <w:rsid w:val="23C22795"/>
    <w:rsid w:val="277E6F02"/>
    <w:rsid w:val="28693089"/>
    <w:rsid w:val="29990575"/>
    <w:rsid w:val="2AF6742D"/>
    <w:rsid w:val="2AFE6E12"/>
    <w:rsid w:val="2B612949"/>
    <w:rsid w:val="2BA41F0E"/>
    <w:rsid w:val="2BFF2178"/>
    <w:rsid w:val="2CFA69F4"/>
    <w:rsid w:val="2D145EC5"/>
    <w:rsid w:val="2FD37061"/>
    <w:rsid w:val="312A2265"/>
    <w:rsid w:val="327BE4BA"/>
    <w:rsid w:val="33175E0B"/>
    <w:rsid w:val="333F3E43"/>
    <w:rsid w:val="35FE5DAD"/>
    <w:rsid w:val="361268B6"/>
    <w:rsid w:val="36D36DF1"/>
    <w:rsid w:val="36FC0F5D"/>
    <w:rsid w:val="375773F8"/>
    <w:rsid w:val="38C74734"/>
    <w:rsid w:val="393E32BB"/>
    <w:rsid w:val="3CEE3F7F"/>
    <w:rsid w:val="3D0F0464"/>
    <w:rsid w:val="3DE868EC"/>
    <w:rsid w:val="3EFDDE87"/>
    <w:rsid w:val="3FB98AB7"/>
    <w:rsid w:val="40D95004"/>
    <w:rsid w:val="419B2857"/>
    <w:rsid w:val="41D71DA8"/>
    <w:rsid w:val="42167560"/>
    <w:rsid w:val="49140071"/>
    <w:rsid w:val="49900B72"/>
    <w:rsid w:val="499C3399"/>
    <w:rsid w:val="4C6611ED"/>
    <w:rsid w:val="4C8C73CE"/>
    <w:rsid w:val="4D5D3BD3"/>
    <w:rsid w:val="4E5952F5"/>
    <w:rsid w:val="4E7B594C"/>
    <w:rsid w:val="4EB7F892"/>
    <w:rsid w:val="51714DE5"/>
    <w:rsid w:val="53B10062"/>
    <w:rsid w:val="552A0475"/>
    <w:rsid w:val="55570055"/>
    <w:rsid w:val="558F1B5C"/>
    <w:rsid w:val="578D10CB"/>
    <w:rsid w:val="593D6572"/>
    <w:rsid w:val="5A5915AC"/>
    <w:rsid w:val="5ABBC979"/>
    <w:rsid w:val="5B77749C"/>
    <w:rsid w:val="5BC625A2"/>
    <w:rsid w:val="5BFC7B3B"/>
    <w:rsid w:val="5C3F25AD"/>
    <w:rsid w:val="5DAA5787"/>
    <w:rsid w:val="5DD0767B"/>
    <w:rsid w:val="5E77C7C6"/>
    <w:rsid w:val="5EC840EB"/>
    <w:rsid w:val="5EDE082B"/>
    <w:rsid w:val="5F7B2E41"/>
    <w:rsid w:val="5FFD63CA"/>
    <w:rsid w:val="5FFFAAE0"/>
    <w:rsid w:val="66347B2F"/>
    <w:rsid w:val="667FD72C"/>
    <w:rsid w:val="676034DA"/>
    <w:rsid w:val="67C955A3"/>
    <w:rsid w:val="67EFDA66"/>
    <w:rsid w:val="6A12486A"/>
    <w:rsid w:val="6ABE64BE"/>
    <w:rsid w:val="6B5F16C5"/>
    <w:rsid w:val="6BCA297C"/>
    <w:rsid w:val="6CDB405E"/>
    <w:rsid w:val="6CEF7B3E"/>
    <w:rsid w:val="6CF3EA5A"/>
    <w:rsid w:val="6E61112C"/>
    <w:rsid w:val="6F67676F"/>
    <w:rsid w:val="6FB22D40"/>
    <w:rsid w:val="6FFEC52C"/>
    <w:rsid w:val="714A55A3"/>
    <w:rsid w:val="746D4AC7"/>
    <w:rsid w:val="753C4E9B"/>
    <w:rsid w:val="764402D6"/>
    <w:rsid w:val="769B7804"/>
    <w:rsid w:val="779416A9"/>
    <w:rsid w:val="779FCBF0"/>
    <w:rsid w:val="77F7E21B"/>
    <w:rsid w:val="781113A7"/>
    <w:rsid w:val="78ADB8F7"/>
    <w:rsid w:val="78F6CA64"/>
    <w:rsid w:val="791E6510"/>
    <w:rsid w:val="79BA15B3"/>
    <w:rsid w:val="79E2F975"/>
    <w:rsid w:val="7B3BDBF2"/>
    <w:rsid w:val="7BBD1F6F"/>
    <w:rsid w:val="7BF3E7EE"/>
    <w:rsid w:val="7C8D4A41"/>
    <w:rsid w:val="7CEB1414"/>
    <w:rsid w:val="7CFFDC51"/>
    <w:rsid w:val="7DDF29C0"/>
    <w:rsid w:val="7EBDCBBF"/>
    <w:rsid w:val="7EC74CC1"/>
    <w:rsid w:val="7EE014EF"/>
    <w:rsid w:val="7EE6408F"/>
    <w:rsid w:val="7F3EB32E"/>
    <w:rsid w:val="7F5F3F3B"/>
    <w:rsid w:val="7F5FE5E8"/>
    <w:rsid w:val="7F7FC8C5"/>
    <w:rsid w:val="7F9E13E6"/>
    <w:rsid w:val="7FFDE9AB"/>
    <w:rsid w:val="7FFEB77D"/>
    <w:rsid w:val="7FFFADA2"/>
    <w:rsid w:val="93FD79F4"/>
    <w:rsid w:val="9ED5792A"/>
    <w:rsid w:val="A71FA909"/>
    <w:rsid w:val="ABB6CCE3"/>
    <w:rsid w:val="AEFFB886"/>
    <w:rsid w:val="BA7B23C6"/>
    <w:rsid w:val="BEFF7926"/>
    <w:rsid w:val="BF774D64"/>
    <w:rsid w:val="CF12F568"/>
    <w:rsid w:val="DBBB2450"/>
    <w:rsid w:val="DEBF7731"/>
    <w:rsid w:val="E39F96A6"/>
    <w:rsid w:val="E6DFCF67"/>
    <w:rsid w:val="EB1F0568"/>
    <w:rsid w:val="EBB76B61"/>
    <w:rsid w:val="EE8FB32A"/>
    <w:rsid w:val="F6D78CAF"/>
    <w:rsid w:val="F7DA3342"/>
    <w:rsid w:val="FB7406AA"/>
    <w:rsid w:val="FBD266D3"/>
    <w:rsid w:val="FBFF7914"/>
    <w:rsid w:val="FD6EDF7E"/>
    <w:rsid w:val="FDBFA637"/>
    <w:rsid w:val="FDDB0D99"/>
    <w:rsid w:val="FE6B70D4"/>
    <w:rsid w:val="FF2C1D8F"/>
    <w:rsid w:val="FF7B52A9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标题 3"/>
    <w:basedOn w:val="3"/>
    <w:qFormat/>
    <w:uiPriority w:val="0"/>
  </w:style>
  <w:style w:type="paragraph" w:styleId="5">
    <w:name w:val="Body Text"/>
    <w:basedOn w:val="1"/>
    <w:next w:val="6"/>
    <w:qFormat/>
    <w:uiPriority w:val="0"/>
    <w:pPr>
      <w:spacing w:line="560" w:lineRule="exact"/>
      <w:ind w:firstLine="630" w:firstLineChars="200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</w:rPr>
  </w:style>
  <w:style w:type="paragraph" w:styleId="7">
    <w:name w:val="Body Text Indent"/>
    <w:basedOn w:val="1"/>
    <w:next w:val="8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8">
    <w:name w:val="Body Text First Indent 2"/>
    <w:basedOn w:val="7"/>
    <w:next w:val="1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basedOn w:val="1"/>
    <w:next w:val="8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标题1"/>
    <w:basedOn w:val="4"/>
    <w:qFormat/>
    <w:uiPriority w:val="0"/>
    <w:rPr>
      <w:rFonts w:eastAsia="黑体"/>
    </w:rPr>
  </w:style>
  <w:style w:type="paragraph" w:customStyle="1" w:styleId="18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paragraph" w:customStyle="1" w:styleId="19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1669</Words>
  <Characters>1824</Characters>
  <Lines>0</Lines>
  <Paragraphs>0</Paragraphs>
  <TotalTime>109</TotalTime>
  <ScaleCrop>false</ScaleCrop>
  <LinksUpToDate>false</LinksUpToDate>
  <CharactersWithSpaces>1826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2024-02-27T02:03:00Z</dcterms:created>
  <dc:creator>1402836399</dc:creator>
  <cp:lastModifiedBy>greatwall</cp:lastModifiedBy>
  <cp:lastPrinted>2026-07-23T10:59:37Z</cp:lastPrinted>
  <dcterms:modified xsi:type="dcterms:W3CDTF">2026-07-23T12:40:10Z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4D1ABF3372CD43F5AEAF14676E8895AE_13</vt:lpwstr>
  </property>
  <property fmtid="{D5CDD505-2E9C-101B-9397-08002B2CF9AE}" pid="4" name="KSOTemplateDocerSaveRecord">
    <vt:lpwstr>eyJoZGlkIjoiMGU2MDk3MjUwYTNkZGJjYmQ4MjQxZjVhOGYyNDdlZTQifQ==</vt:lpwstr>
  </property>
</Properties>
</file>