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keepNext w:val="0"/>
        <w:keepLines w:val="0"/>
        <w:pageBreakBefore w:val="0"/>
        <w:kinsoku/>
        <w:wordWrap/>
        <w:topLinePunct w:val="0"/>
        <w:bidi w:val="0"/>
        <w:spacing w:line="600" w:lineRule="exact"/>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5"/>
        <w:keepNext w:val="0"/>
        <w:keepLines w:val="0"/>
        <w:pageBreakBefore w:val="0"/>
        <w:kinsoku/>
        <w:wordWrap/>
        <w:topLinePunct w:val="0"/>
        <w:bidi w:val="0"/>
        <w:spacing w:line="600" w:lineRule="exact"/>
        <w:jc w:val="center"/>
        <w:rPr>
          <w:rFonts w:ascii="Times New Roman" w:hAnsi="Times New Roman" w:cs="Times New Roman"/>
          <w:sz w:val="56"/>
          <w:szCs w:val="56"/>
        </w:rPr>
      </w:pPr>
    </w:p>
    <w:p>
      <w:pPr>
        <w:pStyle w:val="15"/>
        <w:keepNext w:val="0"/>
        <w:keepLines w:val="0"/>
        <w:pageBreakBefore w:val="0"/>
        <w:kinsoku/>
        <w:wordWrap/>
        <w:topLinePunct w:val="0"/>
        <w:bidi w:val="0"/>
        <w:spacing w:line="600" w:lineRule="exact"/>
        <w:jc w:val="center"/>
        <w:rPr>
          <w:rFonts w:ascii="Times New Roman" w:hAnsi="Times New Roman" w:cs="Times New Roman"/>
          <w:sz w:val="84"/>
          <w:szCs w:val="84"/>
        </w:rPr>
      </w:pPr>
    </w:p>
    <w:p>
      <w:pPr>
        <w:pStyle w:val="15"/>
        <w:keepNext w:val="0"/>
        <w:keepLines w:val="0"/>
        <w:pageBreakBefore w:val="0"/>
        <w:widowControl w:val="0"/>
        <w:kinsoku/>
        <w:wordWrap/>
        <w:overflowPunct/>
        <w:topLinePunct w:val="0"/>
        <w:autoSpaceDE w:val="0"/>
        <w:autoSpaceDN w:val="0"/>
        <w:bidi w:val="0"/>
        <w:adjustRightInd w:val="0"/>
        <w:snapToGrid/>
        <w:spacing w:line="1000" w:lineRule="exact"/>
        <w:jc w:val="center"/>
        <w:textAlignment w:val="auto"/>
        <w:rPr>
          <w:rFonts w:ascii="Times New Roman" w:hAnsi="Times New Roman" w:cs="Times New Roman"/>
          <w:sz w:val="84"/>
          <w:szCs w:val="84"/>
        </w:rPr>
      </w:pPr>
    </w:p>
    <w:p>
      <w:pPr>
        <w:pStyle w:val="15"/>
        <w:keepNext w:val="0"/>
        <w:keepLines w:val="0"/>
        <w:pageBreakBefore w:val="0"/>
        <w:widowControl w:val="0"/>
        <w:kinsoku/>
        <w:wordWrap/>
        <w:overflowPunct/>
        <w:topLinePunct w:val="0"/>
        <w:autoSpaceDE w:val="0"/>
        <w:autoSpaceDN w:val="0"/>
        <w:bidi w:val="0"/>
        <w:adjustRightInd w:val="0"/>
        <w:snapToGrid/>
        <w:spacing w:line="1000" w:lineRule="exact"/>
        <w:jc w:val="center"/>
        <w:textAlignment w:val="auto"/>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5"/>
        <w:keepNext w:val="0"/>
        <w:keepLines w:val="0"/>
        <w:pageBreakBefore w:val="0"/>
        <w:widowControl w:val="0"/>
        <w:kinsoku/>
        <w:wordWrap/>
        <w:overflowPunct/>
        <w:topLinePunct w:val="0"/>
        <w:autoSpaceDE w:val="0"/>
        <w:autoSpaceDN w:val="0"/>
        <w:bidi w:val="0"/>
        <w:adjustRightInd w:val="0"/>
        <w:snapToGrid/>
        <w:spacing w:line="1000" w:lineRule="exact"/>
        <w:jc w:val="center"/>
        <w:textAlignment w:val="auto"/>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怀化市民政局</w:t>
      </w:r>
      <w:r>
        <w:rPr>
          <w:rFonts w:ascii="Times New Roman" w:hAnsi="Times New Roman" w:eastAsia="方正小标宋简体" w:cs="Times New Roman"/>
          <w:sz w:val="72"/>
          <w:szCs w:val="72"/>
        </w:rPr>
        <w:t>部门决算</w:t>
      </w:r>
    </w:p>
    <w:p>
      <w:pPr>
        <w:pStyle w:val="15"/>
        <w:keepNext w:val="0"/>
        <w:keepLines w:val="0"/>
        <w:pageBreakBefore w:val="0"/>
        <w:kinsoku/>
        <w:wordWrap/>
        <w:topLinePunct w:val="0"/>
        <w:bidi w:val="0"/>
        <w:spacing w:line="600" w:lineRule="exact"/>
        <w:jc w:val="center"/>
        <w:rPr>
          <w:rFonts w:ascii="Times New Roman" w:hAnsi="Times New Roman" w:eastAsia="方正小标宋_GBK" w:cs="Times New Roman"/>
          <w:sz w:val="56"/>
          <w:szCs w:val="56"/>
        </w:rPr>
      </w:pPr>
    </w:p>
    <w:p>
      <w:pPr>
        <w:pStyle w:val="15"/>
        <w:keepNext w:val="0"/>
        <w:keepLines w:val="0"/>
        <w:pageBreakBefore w:val="0"/>
        <w:kinsoku/>
        <w:wordWrap/>
        <w:topLinePunct w:val="0"/>
        <w:bidi w:val="0"/>
        <w:spacing w:line="600" w:lineRule="exact"/>
        <w:jc w:val="center"/>
        <w:rPr>
          <w:rFonts w:ascii="Times New Roman" w:hAnsi="Times New Roman" w:cs="Times New Roman"/>
          <w:sz w:val="56"/>
          <w:szCs w:val="56"/>
        </w:rPr>
      </w:pPr>
    </w:p>
    <w:p>
      <w:pPr>
        <w:pStyle w:val="15"/>
        <w:keepNext w:val="0"/>
        <w:keepLines w:val="0"/>
        <w:pageBreakBefore w:val="0"/>
        <w:kinsoku/>
        <w:wordWrap/>
        <w:topLinePunct w:val="0"/>
        <w:bidi w:val="0"/>
        <w:spacing w:line="600" w:lineRule="exact"/>
        <w:rPr>
          <w:rFonts w:ascii="Times New Roman" w:hAnsi="Times New Roman" w:cs="Times New Roman"/>
          <w:sz w:val="56"/>
          <w:szCs w:val="56"/>
        </w:rPr>
      </w:pPr>
    </w:p>
    <w:p>
      <w:pPr>
        <w:pStyle w:val="15"/>
        <w:keepNext w:val="0"/>
        <w:keepLines w:val="0"/>
        <w:pageBreakBefore w:val="0"/>
        <w:kinsoku/>
        <w:wordWrap/>
        <w:topLinePunct w:val="0"/>
        <w:bidi w:val="0"/>
        <w:spacing w:line="600" w:lineRule="exact"/>
        <w:jc w:val="center"/>
        <w:rPr>
          <w:rFonts w:ascii="Times New Roman" w:hAnsi="Times New Roman" w:cs="Times New Roman"/>
          <w:sz w:val="32"/>
          <w:szCs w:val="32"/>
        </w:rPr>
      </w:pPr>
    </w:p>
    <w:p>
      <w:pPr>
        <w:pStyle w:val="15"/>
        <w:keepNext w:val="0"/>
        <w:keepLines w:val="0"/>
        <w:pageBreakBefore w:val="0"/>
        <w:kinsoku/>
        <w:wordWrap/>
        <w:topLinePunct w:val="0"/>
        <w:bidi w:val="0"/>
        <w:spacing w:line="600" w:lineRule="exact"/>
        <w:jc w:val="center"/>
        <w:rPr>
          <w:rFonts w:ascii="Times New Roman" w:hAnsi="Times New Roman" w:cs="Times New Roman"/>
          <w:sz w:val="32"/>
          <w:szCs w:val="32"/>
        </w:rPr>
      </w:pPr>
    </w:p>
    <w:p>
      <w:pPr>
        <w:pStyle w:val="15"/>
        <w:keepNext w:val="0"/>
        <w:keepLines w:val="0"/>
        <w:pageBreakBefore w:val="0"/>
        <w:kinsoku/>
        <w:wordWrap/>
        <w:topLinePunct w:val="0"/>
        <w:bidi w:val="0"/>
        <w:spacing w:line="600" w:lineRule="exact"/>
        <w:jc w:val="center"/>
        <w:rPr>
          <w:rFonts w:ascii="Times New Roman" w:hAnsi="Times New Roman" w:cs="Times New Roman"/>
          <w:sz w:val="32"/>
          <w:szCs w:val="32"/>
        </w:rPr>
      </w:pPr>
    </w:p>
    <w:p>
      <w:pPr>
        <w:pStyle w:val="15"/>
        <w:keepNext w:val="0"/>
        <w:keepLines w:val="0"/>
        <w:pageBreakBefore w:val="0"/>
        <w:kinsoku/>
        <w:wordWrap/>
        <w:topLinePunct w:val="0"/>
        <w:bidi w:val="0"/>
        <w:spacing w:line="600" w:lineRule="exact"/>
        <w:jc w:val="center"/>
        <w:rPr>
          <w:rFonts w:ascii="Times New Roman" w:hAnsi="Times New Roman" w:cs="Times New Roman"/>
          <w:sz w:val="32"/>
          <w:szCs w:val="32"/>
        </w:rPr>
      </w:pPr>
    </w:p>
    <w:p>
      <w:pPr>
        <w:pStyle w:val="15"/>
        <w:keepNext w:val="0"/>
        <w:keepLines w:val="0"/>
        <w:pageBreakBefore w:val="0"/>
        <w:kinsoku/>
        <w:wordWrap/>
        <w:topLinePunct w:val="0"/>
        <w:bidi w:val="0"/>
        <w:spacing w:line="600" w:lineRule="exact"/>
        <w:jc w:val="center"/>
        <w:rPr>
          <w:rFonts w:ascii="Times New Roman" w:hAnsi="Times New Roman" w:cs="Times New Roman"/>
          <w:sz w:val="32"/>
          <w:szCs w:val="32"/>
        </w:rPr>
      </w:pPr>
    </w:p>
    <w:p>
      <w:pPr>
        <w:pStyle w:val="15"/>
        <w:keepNext w:val="0"/>
        <w:keepLines w:val="0"/>
        <w:pageBreakBefore w:val="0"/>
        <w:kinsoku/>
        <w:wordWrap/>
        <w:topLinePunct w:val="0"/>
        <w:bidi w:val="0"/>
        <w:spacing w:line="600" w:lineRule="exact"/>
        <w:jc w:val="center"/>
        <w:rPr>
          <w:rFonts w:ascii="Times New Roman" w:hAnsi="Times New Roman" w:cs="Times New Roman"/>
          <w:sz w:val="32"/>
          <w:szCs w:val="32"/>
        </w:rPr>
      </w:pPr>
    </w:p>
    <w:p>
      <w:pPr>
        <w:pStyle w:val="15"/>
        <w:keepNext w:val="0"/>
        <w:keepLines w:val="0"/>
        <w:pageBreakBefore w:val="0"/>
        <w:kinsoku/>
        <w:wordWrap/>
        <w:topLinePunct w:val="0"/>
        <w:bidi w:val="0"/>
        <w:spacing w:line="600" w:lineRule="exact"/>
        <w:jc w:val="center"/>
        <w:rPr>
          <w:rFonts w:ascii="Times New Roman" w:hAnsi="Times New Roman" w:cs="Times New Roman"/>
          <w:sz w:val="56"/>
          <w:szCs w:val="56"/>
        </w:rPr>
      </w:pPr>
    </w:p>
    <w:p>
      <w:pPr>
        <w:keepNext w:val="0"/>
        <w:keepLines w:val="0"/>
        <w:pageBreakBefore w:val="0"/>
        <w:kinsoku/>
        <w:wordWrap/>
        <w:topLinePunct w:val="0"/>
        <w:bidi w:val="0"/>
        <w:spacing w:line="600" w:lineRule="exact"/>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5"/>
        <w:keepNext w:val="0"/>
        <w:keepLines w:val="0"/>
        <w:pageBreakBefore w:val="0"/>
        <w:kinsoku/>
        <w:wordWrap/>
        <w:topLinePunct w:val="0"/>
        <w:bidi w:val="0"/>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5"/>
        <w:keepNext w:val="0"/>
        <w:keepLines w:val="0"/>
        <w:pageBreakBefore w:val="0"/>
        <w:kinsoku/>
        <w:wordWrap/>
        <w:topLinePunct w:val="0"/>
        <w:bidi w:val="0"/>
        <w:spacing w:line="600" w:lineRule="exact"/>
        <w:jc w:val="center"/>
        <w:rPr>
          <w:rFonts w:ascii="Times New Roman" w:hAnsi="Times New Roman" w:cs="Times New Roman"/>
          <w:b/>
          <w:sz w:val="36"/>
          <w:szCs w:val="28"/>
        </w:rPr>
      </w:pPr>
    </w:p>
    <w:p>
      <w:pPr>
        <w:pStyle w:val="15"/>
        <w:keepNext w:val="0"/>
        <w:keepLines w:val="0"/>
        <w:pageBreakBefore w:val="0"/>
        <w:kinsoku/>
        <w:wordWrap/>
        <w:topLinePunct w:val="0"/>
        <w:bidi w:val="0"/>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怀化市民政局</w:t>
      </w:r>
      <w:r>
        <w:rPr>
          <w:rFonts w:ascii="Times New Roman" w:hAnsi="Times New Roman" w:cs="Times New Roman"/>
          <w:bCs/>
          <w:sz w:val="32"/>
          <w:szCs w:val="32"/>
        </w:rPr>
        <w:t>概况</w:t>
      </w:r>
    </w:p>
    <w:p>
      <w:pPr>
        <w:pStyle w:val="15"/>
        <w:keepNext w:val="0"/>
        <w:keepLines w:val="0"/>
        <w:pageBreakBefore w:val="0"/>
        <w:kinsoku/>
        <w:wordWrap/>
        <w:topLinePunct w:val="0"/>
        <w:bidi w:val="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5"/>
        <w:keepNext w:val="0"/>
        <w:keepLines w:val="0"/>
        <w:pageBreakBefore w:val="0"/>
        <w:kinsoku/>
        <w:wordWrap/>
        <w:topLinePunct w:val="0"/>
        <w:bidi w:val="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5"/>
        <w:keepNext w:val="0"/>
        <w:keepLines w:val="0"/>
        <w:pageBreakBefore w:val="0"/>
        <w:kinsoku/>
        <w:wordWrap/>
        <w:topLinePunct w:val="0"/>
        <w:bidi w:val="0"/>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5"/>
        <w:keepNext w:val="0"/>
        <w:keepLines w:val="0"/>
        <w:pageBreakBefore w:val="0"/>
        <w:kinsoku/>
        <w:wordWrap/>
        <w:topLinePunct w:val="0"/>
        <w:bidi w:val="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5"/>
        <w:keepNext w:val="0"/>
        <w:keepLines w:val="0"/>
        <w:pageBreakBefore w:val="0"/>
        <w:kinsoku/>
        <w:wordWrap/>
        <w:topLinePunct w:val="0"/>
        <w:bidi w:val="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5"/>
        <w:keepNext w:val="0"/>
        <w:keepLines w:val="0"/>
        <w:pageBreakBefore w:val="0"/>
        <w:kinsoku/>
        <w:wordWrap/>
        <w:topLinePunct w:val="0"/>
        <w:bidi w:val="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5"/>
        <w:keepNext w:val="0"/>
        <w:keepLines w:val="0"/>
        <w:pageBreakBefore w:val="0"/>
        <w:kinsoku/>
        <w:wordWrap/>
        <w:topLinePunct w:val="0"/>
        <w:bidi w:val="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5"/>
        <w:keepNext w:val="0"/>
        <w:keepLines w:val="0"/>
        <w:pageBreakBefore w:val="0"/>
        <w:kinsoku/>
        <w:wordWrap/>
        <w:topLinePunct w:val="0"/>
        <w:bidi w:val="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5"/>
        <w:keepNext w:val="0"/>
        <w:keepLines w:val="0"/>
        <w:pageBreakBefore w:val="0"/>
        <w:kinsoku/>
        <w:wordWrap/>
        <w:topLinePunct w:val="0"/>
        <w:bidi w:val="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5"/>
        <w:keepNext w:val="0"/>
        <w:keepLines w:val="0"/>
        <w:pageBreakBefore w:val="0"/>
        <w:kinsoku/>
        <w:wordWrap/>
        <w:topLinePunct w:val="0"/>
        <w:bidi w:val="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5"/>
        <w:keepNext w:val="0"/>
        <w:keepLines w:val="0"/>
        <w:pageBreakBefore w:val="0"/>
        <w:kinsoku/>
        <w:wordWrap/>
        <w:topLinePunct w:val="0"/>
        <w:bidi w:val="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5"/>
        <w:keepNext w:val="0"/>
        <w:keepLines w:val="0"/>
        <w:pageBreakBefore w:val="0"/>
        <w:kinsoku/>
        <w:wordWrap/>
        <w:topLinePunct w:val="0"/>
        <w:bidi w:val="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5"/>
        <w:keepNext w:val="0"/>
        <w:keepLines w:val="0"/>
        <w:pageBreakBefore w:val="0"/>
        <w:kinsoku/>
        <w:wordWrap/>
        <w:topLinePunct w:val="0"/>
        <w:bidi w:val="0"/>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5"/>
        <w:keepNext w:val="0"/>
        <w:keepLines w:val="0"/>
        <w:pageBreakBefore w:val="0"/>
        <w:kinsoku/>
        <w:wordWrap/>
        <w:topLinePunct w:val="0"/>
        <w:bidi w:val="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keepNext w:val="0"/>
        <w:keepLines w:val="0"/>
        <w:pageBreakBefore w:val="0"/>
        <w:kinsoku/>
        <w:wordWrap/>
        <w:topLinePunct w:val="0"/>
        <w:bidi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keepNext w:val="0"/>
        <w:keepLines w:val="0"/>
        <w:pageBreakBefore w:val="0"/>
        <w:kinsoku/>
        <w:wordWrap/>
        <w:topLinePunct w:val="0"/>
        <w:autoSpaceDE w:val="0"/>
        <w:autoSpaceDN w:val="0"/>
        <w:bidi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keepNext w:val="0"/>
        <w:keepLines w:val="0"/>
        <w:pageBreakBefore w:val="0"/>
        <w:kinsoku/>
        <w:wordWrap/>
        <w:topLinePunct w:val="0"/>
        <w:autoSpaceDE w:val="0"/>
        <w:autoSpaceDN w:val="0"/>
        <w:bidi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keepNext w:val="0"/>
        <w:keepLines w:val="0"/>
        <w:pageBreakBefore w:val="0"/>
        <w:kinsoku/>
        <w:wordWrap/>
        <w:topLinePunct w:val="0"/>
        <w:autoSpaceDE w:val="0"/>
        <w:autoSpaceDN w:val="0"/>
        <w:bidi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keepNext w:val="0"/>
        <w:keepLines w:val="0"/>
        <w:pageBreakBefore w:val="0"/>
        <w:kinsoku/>
        <w:wordWrap/>
        <w:topLinePunct w:val="0"/>
        <w:autoSpaceDE w:val="0"/>
        <w:autoSpaceDN w:val="0"/>
        <w:bidi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keepNext w:val="0"/>
        <w:keepLines w:val="0"/>
        <w:pageBreakBefore w:val="0"/>
        <w:kinsoku/>
        <w:wordWrap/>
        <w:topLinePunct w:val="0"/>
        <w:autoSpaceDE w:val="0"/>
        <w:autoSpaceDN w:val="0"/>
        <w:bidi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keepNext w:val="0"/>
        <w:keepLines w:val="0"/>
        <w:pageBreakBefore w:val="0"/>
        <w:kinsoku/>
        <w:wordWrap/>
        <w:topLinePunct w:val="0"/>
        <w:autoSpaceDE w:val="0"/>
        <w:autoSpaceDN w:val="0"/>
        <w:bidi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keepNext w:val="0"/>
        <w:keepLines w:val="0"/>
        <w:pageBreakBefore w:val="0"/>
        <w:kinsoku/>
        <w:wordWrap/>
        <w:topLinePunct w:val="0"/>
        <w:autoSpaceDE w:val="0"/>
        <w:autoSpaceDN w:val="0"/>
        <w:bidi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keepNext w:val="0"/>
        <w:keepLines w:val="0"/>
        <w:pageBreakBefore w:val="0"/>
        <w:kinsoku/>
        <w:wordWrap/>
        <w:topLinePunct w:val="0"/>
        <w:autoSpaceDE w:val="0"/>
        <w:autoSpaceDN w:val="0"/>
        <w:bidi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w:t>
      </w:r>
      <w:r>
        <w:rPr>
          <w:rFonts w:ascii="Times New Roman" w:hAnsi="Times New Roman" w:eastAsia="仿宋_GB2312" w:cs="Times New Roman"/>
          <w:sz w:val="32"/>
          <w:szCs w:val="32"/>
        </w:rPr>
        <w:t>国有资本经营预算</w:t>
      </w:r>
      <w:r>
        <w:rPr>
          <w:rFonts w:hint="eastAsia" w:ascii="Times New Roman" w:hAnsi="Times New Roman" w:eastAsia="仿宋_GB2312" w:cs="Times New Roman"/>
          <w:sz w:val="32"/>
          <w:szCs w:val="32"/>
          <w:lang w:eastAsia="zh-CN"/>
        </w:rPr>
        <w:t>收入支出决算情况</w:t>
      </w:r>
    </w:p>
    <w:p>
      <w:pPr>
        <w:keepNext w:val="0"/>
        <w:keepLines w:val="0"/>
        <w:pageBreakBefore w:val="0"/>
        <w:kinsoku/>
        <w:wordWrap/>
        <w:topLinePunct w:val="0"/>
        <w:autoSpaceDE w:val="0"/>
        <w:autoSpaceDN w:val="0"/>
        <w:bidi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十、关于机关运行经费支出说明</w:t>
      </w:r>
    </w:p>
    <w:p>
      <w:pPr>
        <w:keepNext w:val="0"/>
        <w:keepLines w:val="0"/>
        <w:pageBreakBefore w:val="0"/>
        <w:kinsoku/>
        <w:wordWrap/>
        <w:topLinePunct w:val="0"/>
        <w:autoSpaceDE w:val="0"/>
        <w:autoSpaceDN w:val="0"/>
        <w:bidi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十一、一般性支出情况说明</w:t>
      </w:r>
    </w:p>
    <w:p>
      <w:pPr>
        <w:keepNext w:val="0"/>
        <w:keepLines w:val="0"/>
        <w:pageBreakBefore w:val="0"/>
        <w:kinsoku/>
        <w:wordWrap/>
        <w:topLinePunct w:val="0"/>
        <w:autoSpaceDE w:val="0"/>
        <w:autoSpaceDN w:val="0"/>
        <w:bidi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sz w:val="32"/>
          <w:szCs w:val="32"/>
        </w:rPr>
        <w:t>十二、</w:t>
      </w:r>
      <w:r>
        <w:rPr>
          <w:rFonts w:ascii="Times New Roman" w:hAnsi="Times New Roman" w:eastAsia="仿宋_GB2312" w:cs="Times New Roman"/>
          <w:color w:val="000000"/>
          <w:kern w:val="0"/>
          <w:sz w:val="32"/>
          <w:szCs w:val="32"/>
        </w:rPr>
        <w:t>关于政府采购支出说明</w:t>
      </w:r>
    </w:p>
    <w:p>
      <w:pPr>
        <w:pStyle w:val="15"/>
        <w:keepNext w:val="0"/>
        <w:keepLines w:val="0"/>
        <w:pageBreakBefore w:val="0"/>
        <w:kinsoku/>
        <w:wordWrap/>
        <w:topLinePunct w:val="0"/>
        <w:bidi w:val="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十三、关于国有资产占用情况说明</w:t>
      </w:r>
    </w:p>
    <w:p>
      <w:pPr>
        <w:pStyle w:val="15"/>
        <w:keepNext w:val="0"/>
        <w:keepLines w:val="0"/>
        <w:pageBreakBefore w:val="0"/>
        <w:kinsoku/>
        <w:wordWrap/>
        <w:topLinePunct w:val="0"/>
        <w:bidi w:val="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5"/>
        <w:keepNext w:val="0"/>
        <w:keepLines w:val="0"/>
        <w:pageBreakBefore w:val="0"/>
        <w:kinsoku/>
        <w:wordWrap/>
        <w:topLinePunct w:val="0"/>
        <w:bidi w:val="0"/>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5"/>
        <w:keepNext w:val="0"/>
        <w:keepLines w:val="0"/>
        <w:pageBreakBefore w:val="0"/>
        <w:kinsoku/>
        <w:wordWrap/>
        <w:topLinePunct w:val="0"/>
        <w:bidi w:val="0"/>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5"/>
        <w:keepNext w:val="0"/>
        <w:keepLines w:val="0"/>
        <w:pageBreakBefore w:val="0"/>
        <w:kinsoku/>
        <w:wordWrap/>
        <w:topLinePunct w:val="0"/>
        <w:bidi w:val="0"/>
        <w:spacing w:line="600" w:lineRule="exact"/>
        <w:rPr>
          <w:rFonts w:ascii="Times New Roman" w:hAnsi="Times New Roman" w:cs="Times New Roman"/>
          <w:bCs/>
          <w:sz w:val="28"/>
          <w:szCs w:val="28"/>
        </w:rPr>
      </w:pPr>
    </w:p>
    <w:p>
      <w:pPr>
        <w:keepNext w:val="0"/>
        <w:keepLines w:val="0"/>
        <w:pageBreakBefore w:val="0"/>
        <w:kinsoku/>
        <w:wordWrap/>
        <w:topLinePunct w:val="0"/>
        <w:bidi w:val="0"/>
        <w:spacing w:line="600" w:lineRule="exact"/>
        <w:jc w:val="center"/>
        <w:rPr>
          <w:rFonts w:ascii="Times New Roman" w:hAnsi="Times New Roman" w:cs="Times New Roman"/>
          <w:sz w:val="72"/>
          <w:szCs w:val="72"/>
        </w:rPr>
      </w:pPr>
    </w:p>
    <w:p>
      <w:pPr>
        <w:keepNext w:val="0"/>
        <w:keepLines w:val="0"/>
        <w:pageBreakBefore w:val="0"/>
        <w:kinsoku/>
        <w:wordWrap/>
        <w:topLinePunct w:val="0"/>
        <w:bidi w:val="0"/>
        <w:spacing w:line="600" w:lineRule="exact"/>
        <w:jc w:val="center"/>
        <w:rPr>
          <w:rFonts w:ascii="Times New Roman" w:hAnsi="Times New Roman" w:cs="Times New Roman"/>
          <w:sz w:val="72"/>
          <w:szCs w:val="72"/>
        </w:rPr>
      </w:pPr>
    </w:p>
    <w:p>
      <w:pPr>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2"/>
        <w:keepNext w:val="0"/>
        <w:keepLines w:val="0"/>
        <w:pageBreakBefore w:val="0"/>
        <w:kinsoku/>
        <w:wordWrap/>
        <w:topLinePunct w:val="0"/>
        <w:bidi w:val="0"/>
        <w:spacing w:line="600" w:lineRule="exact"/>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pStyle w:val="15"/>
        <w:keepNext w:val="0"/>
        <w:keepLines w:val="0"/>
        <w:pageBreakBefore w:val="0"/>
        <w:widowControl w:val="0"/>
        <w:kinsoku/>
        <w:wordWrap/>
        <w:overflowPunct/>
        <w:topLinePunct w:val="0"/>
        <w:autoSpaceDE w:val="0"/>
        <w:autoSpaceDN w:val="0"/>
        <w:bidi w:val="0"/>
        <w:adjustRightInd w:val="0"/>
        <w:snapToGrid/>
        <w:spacing w:line="700" w:lineRule="exact"/>
        <w:jc w:val="center"/>
        <w:textAlignment w:val="auto"/>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5"/>
        <w:keepNext w:val="0"/>
        <w:keepLines w:val="0"/>
        <w:pageBreakBefore w:val="0"/>
        <w:widowControl w:val="0"/>
        <w:kinsoku/>
        <w:wordWrap/>
        <w:overflowPunct/>
        <w:topLinePunct w:val="0"/>
        <w:autoSpaceDE w:val="0"/>
        <w:autoSpaceDN w:val="0"/>
        <w:bidi w:val="0"/>
        <w:adjustRightInd w:val="0"/>
        <w:snapToGrid/>
        <w:spacing w:line="700" w:lineRule="exact"/>
        <w:jc w:val="center"/>
        <w:textAlignment w:val="auto"/>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怀化市民政局</w:t>
      </w:r>
      <w:r>
        <w:rPr>
          <w:rFonts w:ascii="Times New Roman" w:hAnsi="Times New Roman" w:eastAsia="方正小标宋_GBK" w:cs="Times New Roman"/>
          <w:sz w:val="52"/>
          <w:szCs w:val="52"/>
        </w:rPr>
        <w:t>概况</w:t>
      </w:r>
    </w:p>
    <w:p>
      <w:pPr>
        <w:pStyle w:val="3"/>
        <w:keepNext w:val="0"/>
        <w:keepLines w:val="0"/>
        <w:pageBreakBefore w:val="0"/>
        <w:kinsoku/>
        <w:wordWrap/>
        <w:topLinePunct w:val="0"/>
        <w:bidi w:val="0"/>
        <w:spacing w:line="600" w:lineRule="exact"/>
        <w:ind w:left="0" w:leftChars="0" w:firstLine="0" w:firstLineChars="0"/>
        <w:rPr>
          <w:rFonts w:ascii="Times New Roman" w:hAnsi="Times New Roman" w:cs="Times New Roman"/>
        </w:rPr>
      </w:pPr>
    </w:p>
    <w:p>
      <w:pPr>
        <w:pStyle w:val="16"/>
        <w:keepNext w:val="0"/>
        <w:keepLines w:val="0"/>
        <w:pageBreakBefore w:val="0"/>
        <w:kinsoku/>
        <w:wordWrap/>
        <w:topLinePunct w:val="0"/>
        <w:bidi w:val="0"/>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eastAsia="仿宋_GB2312"/>
          <w:sz w:val="32"/>
          <w:szCs w:val="32"/>
        </w:rPr>
      </w:pPr>
      <w:r>
        <w:rPr>
          <w:rFonts w:hint="eastAsia" w:eastAsia="仿宋_GB2312"/>
          <w:sz w:val="32"/>
          <w:szCs w:val="32"/>
        </w:rPr>
        <w:t>（一）拟订全市民政事业发展政策、规划，制定标准并组织实施。</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eastAsia="仿宋_GB2312"/>
          <w:sz w:val="32"/>
          <w:szCs w:val="32"/>
        </w:rPr>
      </w:pPr>
      <w:r>
        <w:rPr>
          <w:rFonts w:hint="eastAsia" w:eastAsia="仿宋_GB2312"/>
          <w:sz w:val="32"/>
          <w:szCs w:val="32"/>
        </w:rPr>
        <w:t>（二）拟订全市社会团体、社会服务机构等社会组织登记和监督管理办法并组织实施，依法对社会组织进行登记管理和执法监督。</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eastAsia="仿宋_GB2312"/>
          <w:sz w:val="32"/>
          <w:szCs w:val="32"/>
        </w:rPr>
      </w:pPr>
      <w:r>
        <w:rPr>
          <w:rFonts w:hint="eastAsia" w:eastAsia="仿宋_GB2312"/>
          <w:sz w:val="32"/>
          <w:szCs w:val="32"/>
        </w:rPr>
        <w:t>（三）拟订全市社会救助政策、标准，统筹社会救助体系建设，负责城乡居民最低生活保障、最低生活保障边缘家庭救助、刚性支出困难家庭救助、特困人员救助供养、临时救助、生活无着流浪乞讨人员救助工作。</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eastAsia="仿宋_GB2312"/>
          <w:sz w:val="32"/>
          <w:szCs w:val="32"/>
        </w:rPr>
      </w:pPr>
      <w:r>
        <w:rPr>
          <w:rFonts w:hint="eastAsia" w:eastAsia="仿宋_GB2312"/>
          <w:sz w:val="32"/>
          <w:szCs w:val="32"/>
        </w:rPr>
        <w:t>（四）拟订全市行政区划、行政区域界线管理和地名管理政策、标准，组织研究提出全市行政区划规划思路建议，按照管理权限牵头负责行政区划设立、命名、变更和政府驻地迁移等审核工作。组织、指导全市行政区域界线的勘定和管理工作，负责全市地名工作的指导、监督和管理，负责市内重要的或跨县市区的自然地理实体的命名和更名审核工作。</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eastAsia="仿宋_GB2312"/>
          <w:sz w:val="32"/>
          <w:szCs w:val="32"/>
        </w:rPr>
      </w:pPr>
      <w:r>
        <w:rPr>
          <w:rFonts w:hint="eastAsia" w:eastAsia="仿宋_GB2312"/>
          <w:sz w:val="32"/>
          <w:szCs w:val="32"/>
        </w:rPr>
        <w:t>（五）拟订全市婚姻管理政策并组织实施，推进婚俗改革。</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eastAsia="仿宋_GB2312"/>
          <w:sz w:val="32"/>
          <w:szCs w:val="32"/>
        </w:rPr>
      </w:pPr>
      <w:r>
        <w:rPr>
          <w:rFonts w:hint="eastAsia" w:eastAsia="仿宋_GB2312"/>
          <w:sz w:val="32"/>
          <w:szCs w:val="32"/>
        </w:rPr>
        <w:t>（六）拟订全市殡葬管理政策、服务规范并组织实施，推进殡葬改革。</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eastAsia="仿宋_GB2312"/>
          <w:sz w:val="32"/>
          <w:szCs w:val="32"/>
        </w:rPr>
      </w:pPr>
      <w:r>
        <w:rPr>
          <w:rFonts w:hint="eastAsia" w:eastAsia="仿宋_GB2312"/>
          <w:sz w:val="32"/>
          <w:szCs w:val="32"/>
        </w:rPr>
        <w:t>（七）拟订全市残疾人权益保护政策，统筹推进残疾人福利制度建设和康复辅助器具产业发展。</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eastAsia="仿宋_GB2312"/>
          <w:sz w:val="32"/>
          <w:szCs w:val="32"/>
        </w:rPr>
      </w:pPr>
      <w:r>
        <w:rPr>
          <w:rFonts w:hint="eastAsia" w:eastAsia="仿宋_GB2312"/>
          <w:sz w:val="32"/>
          <w:szCs w:val="32"/>
        </w:rPr>
        <w:t>（八）承担市老龄工作委员会的具体工作。承担加强老年健康、养老服务、养老保险、养老产业等方面统筹协调工作。组织拟订并协调落实积极应对人口老龄化的政策措施。指导协调老年人权益保障工作。组织拟订老年人社会参与政策并组织实施。</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eastAsia="仿宋_GB2312"/>
          <w:sz w:val="32"/>
          <w:szCs w:val="32"/>
        </w:rPr>
      </w:pPr>
      <w:r>
        <w:rPr>
          <w:rFonts w:hint="eastAsia" w:eastAsia="仿宋_GB2312"/>
          <w:sz w:val="32"/>
          <w:szCs w:val="32"/>
        </w:rPr>
        <w:t>（九）组织拟订并协调落实促进全市养老事业发展的政策措施。统筹推进、督促指导、监督管理养老服务工作，拟订全市养老服务体系建设规划、政策、标准并组织实施，承担老年人福利和特殊困难老年人救助工作。</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eastAsia="仿宋_GB2312"/>
          <w:sz w:val="32"/>
          <w:szCs w:val="32"/>
        </w:rPr>
      </w:pPr>
      <w:r>
        <w:rPr>
          <w:rFonts w:hint="eastAsia" w:eastAsia="仿宋_GB2312"/>
          <w:sz w:val="32"/>
          <w:szCs w:val="32"/>
        </w:rPr>
        <w:t>（十）拟订全市儿童福利、孤弃儿童保障、儿童收养、儿童救助保护政策和标准，健全农村留守儿童关爱服务体系和困境儿童保障制度。</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eastAsia="仿宋_GB2312"/>
          <w:sz w:val="32"/>
          <w:szCs w:val="32"/>
        </w:rPr>
      </w:pPr>
      <w:r>
        <w:rPr>
          <w:rFonts w:hint="eastAsia" w:eastAsia="仿宋_GB2312"/>
          <w:sz w:val="32"/>
          <w:szCs w:val="32"/>
        </w:rPr>
        <w:t>（十一）组织拟订全市促进慈善事业发展政策，指导社会捐助工作，负责福利彩票管理工作。</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eastAsia="仿宋_GB2312"/>
          <w:sz w:val="32"/>
          <w:szCs w:val="32"/>
        </w:rPr>
      </w:pPr>
      <w:r>
        <w:rPr>
          <w:rFonts w:hint="eastAsia" w:eastAsia="仿宋_GB2312"/>
          <w:sz w:val="32"/>
          <w:szCs w:val="32"/>
        </w:rPr>
        <w:t>（十二）依照有关法律法规，在职责范围内对民政行业、领域的安全生产工作实施监督管理。依据法律法规以及规定的职能职责，依法开展安全生产行政执法工作，严厉查处违法违规行为；与有关部门建立健全联合监管机制，共同做好相关安全生产工作；指导、督促、检查下级部门和所属单位落实安全生产管理责任，制定和落实安全防范措施。</w:t>
      </w:r>
    </w:p>
    <w:p>
      <w:pPr>
        <w:keepNext w:val="0"/>
        <w:keepLines w:val="0"/>
        <w:pageBreakBefore w:val="0"/>
        <w:widowControl/>
        <w:kinsoku/>
        <w:wordWrap/>
        <w:topLinePunct w:val="0"/>
        <w:bidi w:val="0"/>
        <w:spacing w:line="600" w:lineRule="exact"/>
        <w:ind w:firstLine="640" w:firstLineChars="200"/>
        <w:rPr>
          <w:rFonts w:hint="eastAsia" w:eastAsia="仿宋_GB2312"/>
          <w:sz w:val="32"/>
          <w:szCs w:val="32"/>
        </w:rPr>
      </w:pPr>
      <w:r>
        <w:rPr>
          <w:rFonts w:hint="eastAsia" w:eastAsia="仿宋_GB2312"/>
          <w:sz w:val="32"/>
          <w:szCs w:val="32"/>
        </w:rPr>
        <w:t>（十三）完成市委、市政府交办的其他任务。</w:t>
      </w:r>
    </w:p>
    <w:p>
      <w:pPr>
        <w:keepNext w:val="0"/>
        <w:keepLines w:val="0"/>
        <w:pageBreakBefore w:val="0"/>
        <w:widowControl/>
        <w:kinsoku/>
        <w:wordWrap/>
        <w:topLinePunct w:val="0"/>
        <w:bidi w:val="0"/>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keepNext w:val="0"/>
        <w:keepLines w:val="0"/>
        <w:pageBreakBefore w:val="0"/>
        <w:widowControl/>
        <w:kinsoku/>
        <w:wordWrap/>
        <w:topLinePunct w:val="0"/>
        <w:bidi w:val="0"/>
        <w:spacing w:line="600" w:lineRule="exact"/>
        <w:ind w:firstLine="640" w:firstLineChars="200"/>
        <w:textAlignment w:val="auto"/>
        <w:rPr>
          <w:rFonts w:hint="eastAsia" w:ascii="仿宋_GB2312" w:hAnsi="仿宋_GB2312" w:eastAsia="仿宋_GB2312" w:cs="仿宋_GB2312"/>
          <w:bCs/>
          <w:kern w:val="0"/>
          <w:sz w:val="32"/>
          <w:szCs w:val="32"/>
          <w:lang w:eastAsia="zh-CN"/>
        </w:rPr>
      </w:pPr>
      <w:r>
        <w:rPr>
          <w:rFonts w:ascii="Times New Roman" w:hAnsi="Times New Roman" w:eastAsia="仿宋_GB2312" w:cs="Times New Roman"/>
          <w:bCs/>
          <w:kern w:val="0"/>
          <w:sz w:val="32"/>
          <w:szCs w:val="32"/>
        </w:rPr>
        <w:t>（一）内设机构设置。</w:t>
      </w:r>
      <w:r>
        <w:rPr>
          <w:rFonts w:hint="eastAsia" w:ascii="仿宋_GB2312" w:hAnsi="仿宋_GB2312" w:eastAsia="仿宋_GB2312" w:cs="仿宋_GB2312"/>
          <w:bCs/>
          <w:kern w:val="0"/>
          <w:sz w:val="32"/>
          <w:szCs w:val="32"/>
          <w:lang w:eastAsia="zh-CN"/>
        </w:rPr>
        <w:t>怀化市民政局内设机构包括：办公室（政策法规科）、规划财务科、社会组织管理科（社会组织执法监督局、行政审批服务科）、社会救助科、区划地名和慈善事业促进科、社会事务科、老龄工作科、养老服务和儿童福利科，机关党委（人事科）。直属二级单位</w:t>
      </w:r>
      <w:r>
        <w:rPr>
          <w:rFonts w:hint="default" w:ascii="仿宋_GB2312" w:hAnsi="仿宋_GB2312" w:eastAsia="仿宋_GB2312" w:cs="仿宋_GB2312"/>
          <w:bCs/>
          <w:kern w:val="0"/>
          <w:sz w:val="32"/>
          <w:szCs w:val="32"/>
          <w:lang w:val="en" w:eastAsia="zh-CN"/>
        </w:rPr>
        <w:t>6</w:t>
      </w:r>
      <w:r>
        <w:rPr>
          <w:rFonts w:hint="eastAsia" w:ascii="仿宋_GB2312" w:hAnsi="仿宋_GB2312" w:eastAsia="仿宋_GB2312" w:cs="仿宋_GB2312"/>
          <w:bCs/>
          <w:kern w:val="0"/>
          <w:sz w:val="32"/>
          <w:szCs w:val="32"/>
          <w:lang w:eastAsia="zh-CN"/>
        </w:rPr>
        <w:t>个，</w:t>
      </w:r>
      <w:r>
        <w:rPr>
          <w:rFonts w:hint="eastAsia" w:ascii="Times New Roman Regular" w:hAnsi="Times New Roman Regular" w:eastAsia="仿宋_GB2312" w:cs="Times New Roman Regular"/>
          <w:sz w:val="32"/>
          <w:szCs w:val="32"/>
        </w:rPr>
        <w:t>市民政事务中心</w:t>
      </w:r>
      <w:r>
        <w:rPr>
          <w:rFonts w:hint="eastAsia" w:ascii="Times New Roman Regular" w:hAnsi="Times New Roman Regular" w:eastAsia="仿宋_GB2312" w:cs="Times New Roman Regular"/>
          <w:sz w:val="32"/>
          <w:szCs w:val="32"/>
          <w:lang w:eastAsia="zh-CN"/>
        </w:rPr>
        <w:t>（财务不独立）</w:t>
      </w:r>
      <w:r>
        <w:rPr>
          <w:rFonts w:hint="eastAsia" w:ascii="Times New Roman Regular" w:hAnsi="Times New Roman Regular" w:eastAsia="仿宋_GB2312" w:cs="Times New Roman Regular"/>
          <w:sz w:val="32"/>
          <w:szCs w:val="32"/>
        </w:rPr>
        <w:t>、市殡葬事务中心、市救助站、市社会福利院、市特困家庭大病医疗慈善救助服务中心</w:t>
      </w:r>
      <w:r>
        <w:rPr>
          <w:rFonts w:hint="eastAsia" w:ascii="Times New Roman Regular" w:hAnsi="Times New Roman Regular" w:eastAsia="仿宋_GB2312" w:cs="Times New Roman Regular"/>
          <w:sz w:val="32"/>
          <w:szCs w:val="32"/>
          <w:lang w:eastAsia="zh-CN"/>
        </w:rPr>
        <w:t>（财务不独立）</w:t>
      </w:r>
      <w:r>
        <w:rPr>
          <w:rFonts w:hint="eastAsia" w:ascii="Times New Roman Regular" w:hAnsi="Times New Roman Regular" w:eastAsia="仿宋_GB2312" w:cs="Times New Roman Regular"/>
          <w:sz w:val="32"/>
          <w:szCs w:val="32"/>
        </w:rPr>
        <w:t>、市福利彩票发行中心</w:t>
      </w:r>
      <w:r>
        <w:rPr>
          <w:rFonts w:hint="eastAsia" w:ascii="Times New Roman Regular" w:hAnsi="Times New Roman Regular" w:eastAsia="仿宋_GB2312" w:cs="Times New Roman Regular"/>
          <w:sz w:val="32"/>
          <w:szCs w:val="32"/>
          <w:lang w:eastAsia="zh-CN"/>
        </w:rPr>
        <w:t>（财务独立的非部门预算单位）</w:t>
      </w:r>
      <w:r>
        <w:rPr>
          <w:rFonts w:hint="eastAsia" w:ascii="Times New Roman Regular" w:hAnsi="Times New Roman Regular" w:eastAsia="仿宋_GB2312" w:cs="Times New Roman Regular"/>
          <w:sz w:val="32"/>
          <w:szCs w:val="32"/>
        </w:rPr>
        <w:t>。</w:t>
      </w:r>
    </w:p>
    <w:p>
      <w:pPr>
        <w:keepNext w:val="0"/>
        <w:keepLines w:val="0"/>
        <w:pageBreakBefore w:val="0"/>
        <w:widowControl/>
        <w:kinsoku/>
        <w:wordWrap/>
        <w:topLinePunct w:val="0"/>
        <w:bidi w:val="0"/>
        <w:spacing w:line="600" w:lineRule="exact"/>
        <w:ind w:firstLine="640" w:firstLineChars="200"/>
        <w:textAlignment w:val="auto"/>
        <w:rPr>
          <w:rFonts w:hint="eastAsia" w:ascii="仿宋_GB2312" w:hAnsi="仿宋_GB2312" w:eastAsia="仿宋_GB2312" w:cs="仿宋_GB2312"/>
        </w:rPr>
        <w:sectPr>
          <w:footerReference r:id="rId5" w:type="default"/>
          <w:pgSz w:w="11906" w:h="16838"/>
          <w:pgMar w:top="1417" w:right="1588" w:bottom="1417" w:left="1588" w:header="851" w:footer="992" w:gutter="0"/>
          <w:pgNumType w:start="1"/>
          <w:cols w:space="425" w:num="1"/>
          <w:docGrid w:type="lines" w:linePitch="312" w:charSpace="0"/>
        </w:sect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怀化市民政局</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怀化市民政局</w:t>
      </w:r>
      <w:r>
        <w:rPr>
          <w:rFonts w:ascii="Times New Roman" w:hAnsi="Times New Roman" w:eastAsia="仿宋_GB2312" w:cs="Times New Roman"/>
          <w:bCs/>
          <w:kern w:val="0"/>
          <w:sz w:val="32"/>
          <w:szCs w:val="32"/>
        </w:rPr>
        <w:t>本级以及</w:t>
      </w:r>
      <w:r>
        <w:rPr>
          <w:rFonts w:hint="eastAsia" w:ascii="仿宋_GB2312" w:hAnsi="仿宋_GB2312" w:eastAsia="仿宋_GB2312" w:cs="仿宋_GB2312"/>
          <w:sz w:val="32"/>
          <w:szCs w:val="32"/>
        </w:rPr>
        <w:t>市救助站、市社会福利院、市殡葬事务中心。</w:t>
      </w:r>
    </w:p>
    <w:p>
      <w:pPr>
        <w:keepNext w:val="0"/>
        <w:keepLines w:val="0"/>
        <w:pageBreakBefore w:val="0"/>
        <w:kinsoku/>
        <w:wordWrap/>
        <w:topLinePunct w:val="0"/>
        <w:bidi w:val="0"/>
        <w:spacing w:line="600" w:lineRule="exact"/>
        <w:jc w:val="both"/>
        <w:rPr>
          <w:rFonts w:ascii="Times New Roman" w:hAnsi="Times New Roman" w:eastAsia="黑体" w:cs="Times New Roman"/>
          <w:sz w:val="28"/>
          <w:szCs w:val="28"/>
        </w:rPr>
      </w:pPr>
    </w:p>
    <w:p>
      <w:pPr>
        <w:pStyle w:val="15"/>
        <w:keepNext w:val="0"/>
        <w:keepLines w:val="0"/>
        <w:pageBreakBefore w:val="0"/>
        <w:kinsoku/>
        <w:wordWrap/>
        <w:topLinePunct w:val="0"/>
        <w:bidi w:val="0"/>
        <w:spacing w:line="600" w:lineRule="exact"/>
        <w:jc w:val="both"/>
        <w:rPr>
          <w:rFonts w:ascii="Times New Roman" w:hAnsi="Times New Roman" w:eastAsia="方正小标宋_GBK" w:cs="Times New Roman"/>
          <w:sz w:val="52"/>
          <w:szCs w:val="52"/>
        </w:rPr>
      </w:pPr>
    </w:p>
    <w:p>
      <w:pPr>
        <w:pStyle w:val="15"/>
        <w:keepNext w:val="0"/>
        <w:keepLines w:val="0"/>
        <w:pageBreakBefore w:val="0"/>
        <w:kinsoku/>
        <w:wordWrap/>
        <w:topLinePunct w:val="0"/>
        <w:bidi w:val="0"/>
        <w:spacing w:line="600" w:lineRule="exact"/>
        <w:jc w:val="center"/>
        <w:rPr>
          <w:rFonts w:ascii="Times New Roman" w:hAnsi="Times New Roman" w:eastAsia="方正小标宋_GBK" w:cs="Times New Roman"/>
          <w:sz w:val="52"/>
          <w:szCs w:val="52"/>
        </w:rPr>
      </w:pPr>
    </w:p>
    <w:p>
      <w:pPr>
        <w:pStyle w:val="15"/>
        <w:keepNext w:val="0"/>
        <w:keepLines w:val="0"/>
        <w:pageBreakBefore w:val="0"/>
        <w:kinsoku/>
        <w:wordWrap/>
        <w:overflowPunct/>
        <w:topLinePunct w:val="0"/>
        <w:bidi w:val="0"/>
        <w:snapToGrid/>
        <w:spacing w:line="700" w:lineRule="exact"/>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w:t>
      </w:r>
    </w:p>
    <w:p>
      <w:pPr>
        <w:pStyle w:val="15"/>
        <w:keepNext w:val="0"/>
        <w:keepLines w:val="0"/>
        <w:pageBreakBefore w:val="0"/>
        <w:kinsoku/>
        <w:wordWrap/>
        <w:overflowPunct/>
        <w:topLinePunct w:val="0"/>
        <w:bidi w:val="0"/>
        <w:snapToGrid/>
        <w:spacing w:line="700" w:lineRule="exact"/>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部门决算表</w:t>
      </w:r>
    </w:p>
    <w:p>
      <w:pPr>
        <w:keepNext w:val="0"/>
        <w:keepLines w:val="0"/>
        <w:pageBreakBefore w:val="0"/>
        <w:kinsoku/>
        <w:wordWrap/>
        <w:overflowPunct/>
        <w:topLinePunct w:val="0"/>
        <w:bidi w:val="0"/>
        <w:snapToGrid/>
        <w:spacing w:line="700" w:lineRule="exact"/>
        <w:jc w:val="center"/>
        <w:rPr>
          <w:rFonts w:ascii="Times New Roman" w:hAnsi="Times New Roman" w:cs="Times New Roman"/>
          <w:sz w:val="48"/>
          <w:szCs w:val="48"/>
          <w:lang w:val="en"/>
        </w:rPr>
      </w:pPr>
    </w:p>
    <w:p>
      <w:pPr>
        <w:keepNext w:val="0"/>
        <w:keepLines w:val="0"/>
        <w:pageBreakBefore w:val="0"/>
        <w:kinsoku/>
        <w:wordWrap/>
        <w:overflowPunct/>
        <w:topLinePunct w:val="0"/>
        <w:bidi w:val="0"/>
        <w:snapToGrid/>
        <w:spacing w:line="700" w:lineRule="exact"/>
        <w:jc w:val="center"/>
        <w:rPr>
          <w:rFonts w:ascii="Times New Roman" w:hAnsi="Times New Roman" w:eastAsia="华文中宋" w:cs="Times New Roman"/>
          <w:color w:val="000000"/>
          <w:sz w:val="32"/>
          <w:szCs w:val="32"/>
        </w:rPr>
      </w:pPr>
      <w:r>
        <w:rPr>
          <w:rFonts w:ascii="Times New Roman" w:hAnsi="Times New Roman" w:cs="Times New Roman"/>
          <w:sz w:val="48"/>
          <w:szCs w:val="48"/>
          <w:lang w:val="en"/>
        </w:rPr>
        <w:t>（公开表附后）</w:t>
      </w:r>
    </w:p>
    <w:p>
      <w:pPr>
        <w:keepNext w:val="0"/>
        <w:keepLines w:val="0"/>
        <w:pageBreakBefore w:val="0"/>
        <w:widowControl/>
        <w:kinsoku/>
        <w:wordWrap/>
        <w:overflowPunct/>
        <w:topLinePunct w:val="0"/>
        <w:bidi w:val="0"/>
        <w:snapToGrid/>
        <w:spacing w:line="700" w:lineRule="exact"/>
        <w:jc w:val="center"/>
        <w:textAlignment w:val="center"/>
        <w:rPr>
          <w:rFonts w:ascii="Times New Roman" w:hAnsi="Times New Roman" w:eastAsia="黑体" w:cs="Times New Roman"/>
          <w:color w:val="000000"/>
          <w:kern w:val="0"/>
          <w:sz w:val="32"/>
          <w:szCs w:val="32"/>
          <w:lang w:bidi="ar"/>
        </w:rPr>
      </w:pPr>
    </w:p>
    <w:p>
      <w:pPr>
        <w:pStyle w:val="15"/>
        <w:keepNext w:val="0"/>
        <w:keepLines w:val="0"/>
        <w:pageBreakBefore w:val="0"/>
        <w:kinsoku/>
        <w:wordWrap/>
        <w:overflowPunct/>
        <w:topLinePunct w:val="0"/>
        <w:bidi w:val="0"/>
        <w:snapToGrid/>
        <w:spacing w:line="700" w:lineRule="exact"/>
        <w:rPr>
          <w:rFonts w:ascii="Times New Roman" w:hAnsi="Times New Roman" w:cs="Times New Roman"/>
          <w:sz w:val="72"/>
          <w:szCs w:val="72"/>
        </w:rPr>
      </w:pPr>
    </w:p>
    <w:p>
      <w:pPr>
        <w:pStyle w:val="15"/>
        <w:keepNext w:val="0"/>
        <w:keepLines w:val="0"/>
        <w:pageBreakBefore w:val="0"/>
        <w:kinsoku/>
        <w:wordWrap/>
        <w:overflowPunct/>
        <w:topLinePunct w:val="0"/>
        <w:bidi w:val="0"/>
        <w:snapToGrid/>
        <w:spacing w:line="700" w:lineRule="exact"/>
        <w:rPr>
          <w:rFonts w:ascii="Times New Roman" w:hAnsi="Times New Roman" w:cs="Times New Roman"/>
          <w:sz w:val="72"/>
          <w:szCs w:val="72"/>
        </w:rPr>
      </w:pPr>
    </w:p>
    <w:p>
      <w:pPr>
        <w:pStyle w:val="15"/>
        <w:keepNext w:val="0"/>
        <w:keepLines w:val="0"/>
        <w:pageBreakBefore w:val="0"/>
        <w:kinsoku/>
        <w:wordWrap/>
        <w:overflowPunct/>
        <w:topLinePunct w:val="0"/>
        <w:bidi w:val="0"/>
        <w:snapToGrid/>
        <w:spacing w:line="700" w:lineRule="exact"/>
        <w:rPr>
          <w:rFonts w:ascii="Times New Roman" w:hAnsi="Times New Roman" w:cs="Times New Roman"/>
          <w:sz w:val="72"/>
          <w:szCs w:val="72"/>
        </w:rPr>
      </w:pPr>
    </w:p>
    <w:p>
      <w:pPr>
        <w:pStyle w:val="15"/>
        <w:keepNext w:val="0"/>
        <w:keepLines w:val="0"/>
        <w:pageBreakBefore w:val="0"/>
        <w:kinsoku/>
        <w:wordWrap/>
        <w:overflowPunct/>
        <w:topLinePunct w:val="0"/>
        <w:bidi w:val="0"/>
        <w:snapToGrid/>
        <w:spacing w:line="700" w:lineRule="exact"/>
        <w:jc w:val="center"/>
        <w:rPr>
          <w:rFonts w:ascii="Times New Roman" w:hAnsi="Times New Roman" w:cs="Times New Roman"/>
          <w:sz w:val="72"/>
          <w:szCs w:val="72"/>
        </w:rPr>
      </w:pPr>
    </w:p>
    <w:p>
      <w:pPr>
        <w:pStyle w:val="15"/>
        <w:keepNext w:val="0"/>
        <w:keepLines w:val="0"/>
        <w:pageBreakBefore w:val="0"/>
        <w:kinsoku/>
        <w:wordWrap/>
        <w:overflowPunct/>
        <w:topLinePunct w:val="0"/>
        <w:bidi w:val="0"/>
        <w:snapToGrid/>
        <w:spacing w:line="700" w:lineRule="exact"/>
        <w:jc w:val="center"/>
        <w:rPr>
          <w:rFonts w:ascii="Times New Roman" w:hAnsi="Times New Roman" w:eastAsia="方正小标宋_GBK" w:cs="Times New Roman"/>
          <w:sz w:val="72"/>
          <w:szCs w:val="72"/>
        </w:rPr>
      </w:pPr>
    </w:p>
    <w:p>
      <w:pPr>
        <w:pStyle w:val="15"/>
        <w:keepNext w:val="0"/>
        <w:keepLines w:val="0"/>
        <w:pageBreakBefore w:val="0"/>
        <w:kinsoku/>
        <w:wordWrap/>
        <w:overflowPunct/>
        <w:topLinePunct w:val="0"/>
        <w:bidi w:val="0"/>
        <w:snapToGrid/>
        <w:spacing w:line="700" w:lineRule="exact"/>
        <w:jc w:val="center"/>
        <w:rPr>
          <w:rFonts w:ascii="Times New Roman" w:hAnsi="Times New Roman" w:eastAsia="方正小标宋_GBK" w:cs="Times New Roman"/>
          <w:sz w:val="72"/>
          <w:szCs w:val="72"/>
        </w:rPr>
      </w:pPr>
    </w:p>
    <w:p>
      <w:pPr>
        <w:pStyle w:val="15"/>
        <w:keepNext w:val="0"/>
        <w:keepLines w:val="0"/>
        <w:pageBreakBefore w:val="0"/>
        <w:kinsoku/>
        <w:wordWrap/>
        <w:overflowPunct/>
        <w:topLinePunct w:val="0"/>
        <w:bidi w:val="0"/>
        <w:snapToGrid/>
        <w:spacing w:line="700" w:lineRule="exact"/>
        <w:jc w:val="center"/>
        <w:rPr>
          <w:rFonts w:ascii="Times New Roman" w:hAnsi="Times New Roman" w:eastAsia="方正小标宋_GBK" w:cs="Times New Roman"/>
          <w:sz w:val="72"/>
          <w:szCs w:val="72"/>
        </w:rPr>
      </w:pPr>
    </w:p>
    <w:p>
      <w:pPr>
        <w:pStyle w:val="15"/>
        <w:keepNext w:val="0"/>
        <w:keepLines w:val="0"/>
        <w:pageBreakBefore w:val="0"/>
        <w:kinsoku/>
        <w:wordWrap/>
        <w:overflowPunct/>
        <w:topLinePunct w:val="0"/>
        <w:bidi w:val="0"/>
        <w:snapToGrid/>
        <w:spacing w:line="700" w:lineRule="exact"/>
        <w:jc w:val="center"/>
        <w:rPr>
          <w:rFonts w:ascii="Times New Roman" w:hAnsi="Times New Roman" w:eastAsia="方正小标宋_GBK" w:cs="Times New Roman"/>
          <w:sz w:val="72"/>
          <w:szCs w:val="72"/>
        </w:rPr>
      </w:pPr>
    </w:p>
    <w:p>
      <w:pPr>
        <w:pStyle w:val="15"/>
        <w:keepNext w:val="0"/>
        <w:keepLines w:val="0"/>
        <w:pageBreakBefore w:val="0"/>
        <w:kinsoku/>
        <w:wordWrap/>
        <w:overflowPunct/>
        <w:topLinePunct w:val="0"/>
        <w:bidi w:val="0"/>
        <w:snapToGrid/>
        <w:spacing w:line="700" w:lineRule="exact"/>
        <w:jc w:val="center"/>
        <w:rPr>
          <w:rFonts w:ascii="Times New Roman" w:hAnsi="Times New Roman" w:eastAsia="方正小标宋_GBK" w:cs="Times New Roman"/>
          <w:sz w:val="72"/>
          <w:szCs w:val="72"/>
        </w:rPr>
      </w:pPr>
    </w:p>
    <w:p>
      <w:pPr>
        <w:pStyle w:val="15"/>
        <w:keepNext w:val="0"/>
        <w:keepLines w:val="0"/>
        <w:pageBreakBefore w:val="0"/>
        <w:kinsoku/>
        <w:wordWrap/>
        <w:overflowPunct/>
        <w:topLinePunct w:val="0"/>
        <w:bidi w:val="0"/>
        <w:snapToGrid/>
        <w:spacing w:line="700" w:lineRule="exact"/>
        <w:jc w:val="center"/>
        <w:rPr>
          <w:rFonts w:ascii="Times New Roman" w:hAnsi="Times New Roman" w:eastAsia="方正小标宋_GBK" w:cs="Times New Roman"/>
          <w:sz w:val="72"/>
          <w:szCs w:val="72"/>
        </w:rPr>
      </w:pPr>
    </w:p>
    <w:p>
      <w:pPr>
        <w:pStyle w:val="15"/>
        <w:keepNext w:val="0"/>
        <w:keepLines w:val="0"/>
        <w:pageBreakBefore w:val="0"/>
        <w:kinsoku/>
        <w:wordWrap/>
        <w:overflowPunct/>
        <w:topLinePunct w:val="0"/>
        <w:bidi w:val="0"/>
        <w:snapToGrid/>
        <w:spacing w:line="700" w:lineRule="exact"/>
        <w:jc w:val="center"/>
        <w:rPr>
          <w:rFonts w:ascii="Times New Roman" w:hAnsi="Times New Roman" w:eastAsia="方正小标宋_GBK" w:cs="Times New Roman"/>
          <w:sz w:val="72"/>
          <w:szCs w:val="72"/>
        </w:rPr>
      </w:pPr>
    </w:p>
    <w:p>
      <w:pPr>
        <w:pStyle w:val="15"/>
        <w:keepNext w:val="0"/>
        <w:keepLines w:val="0"/>
        <w:pageBreakBefore w:val="0"/>
        <w:kinsoku/>
        <w:wordWrap/>
        <w:overflowPunct/>
        <w:topLinePunct w:val="0"/>
        <w:bidi w:val="0"/>
        <w:snapToGrid/>
        <w:spacing w:line="700" w:lineRule="exact"/>
        <w:jc w:val="center"/>
        <w:rPr>
          <w:rFonts w:ascii="Times New Roman" w:hAnsi="Times New Roman" w:eastAsia="方正小标宋_GBK" w:cs="Times New Roman"/>
          <w:sz w:val="52"/>
          <w:szCs w:val="52"/>
        </w:rPr>
      </w:pPr>
    </w:p>
    <w:p>
      <w:pPr>
        <w:pStyle w:val="15"/>
        <w:keepNext w:val="0"/>
        <w:keepLines w:val="0"/>
        <w:pageBreakBefore w:val="0"/>
        <w:kinsoku/>
        <w:wordWrap/>
        <w:overflowPunct/>
        <w:topLinePunct w:val="0"/>
        <w:bidi w:val="0"/>
        <w:snapToGrid/>
        <w:spacing w:line="700" w:lineRule="exact"/>
        <w:jc w:val="both"/>
        <w:rPr>
          <w:rFonts w:ascii="Times New Roman" w:hAnsi="Times New Roman" w:eastAsia="方正小标宋_GBK" w:cs="Times New Roman"/>
          <w:sz w:val="52"/>
          <w:szCs w:val="52"/>
        </w:rPr>
      </w:pPr>
    </w:p>
    <w:p>
      <w:pPr>
        <w:pStyle w:val="15"/>
        <w:keepNext w:val="0"/>
        <w:keepLines w:val="0"/>
        <w:pageBreakBefore w:val="0"/>
        <w:kinsoku/>
        <w:wordWrap/>
        <w:overflowPunct/>
        <w:topLinePunct w:val="0"/>
        <w:bidi w:val="0"/>
        <w:snapToGrid/>
        <w:spacing w:line="700" w:lineRule="exact"/>
        <w:jc w:val="both"/>
        <w:rPr>
          <w:rFonts w:ascii="Times New Roman" w:hAnsi="Times New Roman" w:eastAsia="方正小标宋_GBK" w:cs="Times New Roman"/>
          <w:sz w:val="52"/>
          <w:szCs w:val="52"/>
        </w:rPr>
      </w:pPr>
    </w:p>
    <w:p>
      <w:pPr>
        <w:pStyle w:val="15"/>
        <w:keepNext w:val="0"/>
        <w:keepLines w:val="0"/>
        <w:pageBreakBefore w:val="0"/>
        <w:kinsoku/>
        <w:wordWrap/>
        <w:overflowPunct/>
        <w:topLinePunct w:val="0"/>
        <w:bidi w:val="0"/>
        <w:snapToGrid/>
        <w:spacing w:line="700" w:lineRule="exact"/>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5"/>
        <w:keepNext w:val="0"/>
        <w:keepLines w:val="0"/>
        <w:pageBreakBefore w:val="0"/>
        <w:kinsoku/>
        <w:wordWrap/>
        <w:overflowPunct/>
        <w:topLinePunct w:val="0"/>
        <w:bidi w:val="0"/>
        <w:snapToGrid/>
        <w:spacing w:line="700" w:lineRule="exact"/>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keepNext w:val="0"/>
        <w:keepLines w:val="0"/>
        <w:pageBreakBefore w:val="0"/>
        <w:widowControl/>
        <w:kinsoku/>
        <w:wordWrap/>
        <w:overflowPunct/>
        <w:topLinePunct w:val="0"/>
        <w:bidi w:val="0"/>
        <w:snapToGrid/>
        <w:spacing w:line="700" w:lineRule="exact"/>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9586.37</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242.58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%，主要是因为</w:t>
      </w:r>
      <w:r>
        <w:rPr>
          <w:rFonts w:hint="eastAsia" w:ascii="仿宋_GB2312" w:hAnsi="仿宋_GB2312" w:eastAsia="仿宋_GB2312" w:cs="仿宋_GB2312"/>
          <w:sz w:val="32"/>
          <w:szCs w:val="32"/>
          <w:lang w:eastAsia="zh-CN"/>
        </w:rPr>
        <w:t>认真</w:t>
      </w:r>
      <w:r>
        <w:rPr>
          <w:rFonts w:hint="eastAsia" w:ascii="仿宋_GB2312" w:hAnsi="仿宋_GB2312" w:eastAsia="仿宋_GB2312" w:cs="仿宋_GB2312"/>
          <w:sz w:val="32"/>
          <w:szCs w:val="32"/>
        </w:rPr>
        <w:t>落实厉行节约</w:t>
      </w:r>
      <w:r>
        <w:rPr>
          <w:rFonts w:hint="eastAsia" w:ascii="仿宋_GB2312" w:hAnsi="仿宋_GB2312" w:eastAsia="仿宋_GB2312" w:cs="仿宋_GB2312"/>
          <w:sz w:val="32"/>
          <w:szCs w:val="32"/>
          <w:lang w:eastAsia="zh-CN"/>
        </w:rPr>
        <w:t>和“过紧日子”</w:t>
      </w:r>
      <w:r>
        <w:rPr>
          <w:rFonts w:hint="eastAsia" w:ascii="仿宋_GB2312" w:hAnsi="仿宋_GB2312" w:eastAsia="仿宋_GB2312" w:cs="仿宋_GB2312"/>
          <w:sz w:val="32"/>
          <w:szCs w:val="32"/>
        </w:rPr>
        <w:t>的要求，进一步从严控制</w:t>
      </w:r>
      <w:r>
        <w:rPr>
          <w:rFonts w:hint="eastAsia" w:ascii="仿宋_GB2312" w:hAnsi="仿宋_GB2312" w:eastAsia="仿宋_GB2312" w:cs="仿宋_GB2312"/>
          <w:sz w:val="32"/>
          <w:szCs w:val="32"/>
          <w:lang w:eastAsia="zh-CN"/>
        </w:rPr>
        <w:t>各项经费开支。</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一般公共服务、社会保障和就业、其他等重点支出，体现在有关支出科目中。</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9579.31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8910.61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93</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454.59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4.7</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214.11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2.3</w:t>
      </w:r>
      <w:r>
        <w:rPr>
          <w:rFonts w:ascii="Times New Roman" w:hAnsi="Times New Roman" w:eastAsia="仿宋_GB2312" w:cs="Times New Roman"/>
          <w:sz w:val="32"/>
          <w:szCs w:val="32"/>
        </w:rPr>
        <w:t>%。</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9577.27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2919.41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30.5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6657.86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69.5</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8910.61</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1616.9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22.1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一是人员工资及社保缴费基数正常调标，人员经费刚性增长；二是增加上级下达资金，用于落实重点民生保障任务。</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6079.68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68.2</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347.26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降低</w:t>
      </w:r>
      <w:r>
        <w:rPr>
          <w:rFonts w:hint="eastAsia" w:ascii="Times New Roman" w:hAnsi="Times New Roman" w:eastAsia="仿宋_GB2312" w:cs="Times New Roman"/>
          <w:sz w:val="32"/>
          <w:szCs w:val="32"/>
          <w:lang w:val="en-US" w:eastAsia="zh-CN"/>
        </w:rPr>
        <w:t>5.4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深化零基预算改革，认真</w:t>
      </w:r>
      <w:r>
        <w:rPr>
          <w:rFonts w:hint="eastAsia" w:ascii="仿宋_GB2312" w:hAnsi="仿宋_GB2312" w:eastAsia="仿宋_GB2312" w:cs="仿宋_GB2312"/>
          <w:sz w:val="32"/>
          <w:szCs w:val="32"/>
        </w:rPr>
        <w:t>落实厉行节约</w:t>
      </w:r>
      <w:r>
        <w:rPr>
          <w:rFonts w:hint="eastAsia" w:ascii="仿宋_GB2312" w:hAnsi="仿宋_GB2312" w:eastAsia="仿宋_GB2312" w:cs="仿宋_GB2312"/>
          <w:sz w:val="32"/>
          <w:szCs w:val="32"/>
          <w:lang w:eastAsia="zh-CN"/>
        </w:rPr>
        <w:t>和“过紧日子”</w:t>
      </w:r>
      <w:r>
        <w:rPr>
          <w:rFonts w:hint="eastAsia" w:ascii="仿宋_GB2312" w:hAnsi="仿宋_GB2312" w:eastAsia="仿宋_GB2312" w:cs="仿宋_GB2312"/>
          <w:sz w:val="32"/>
          <w:szCs w:val="32"/>
        </w:rPr>
        <w:t>的要求，进一步</w:t>
      </w:r>
      <w:r>
        <w:rPr>
          <w:rFonts w:hint="eastAsia" w:ascii="仿宋_GB2312" w:hAnsi="仿宋_GB2312" w:eastAsia="仿宋_GB2312" w:cs="仿宋_GB2312"/>
          <w:sz w:val="32"/>
          <w:szCs w:val="32"/>
          <w:lang w:eastAsia="zh-CN"/>
        </w:rPr>
        <w:t>压缩公用经费、非急需非刚性支出。</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2025年</w:t>
      </w:r>
      <w:r>
        <w:rPr>
          <w:rFonts w:ascii="Times New Roman" w:hAnsi="Times New Roman" w:eastAsia="仿宋_GB2312" w:cs="Times New Roman"/>
          <w:color w:val="auto"/>
          <w:sz w:val="32"/>
          <w:szCs w:val="32"/>
        </w:rPr>
        <w:t>度财政拨款支出</w:t>
      </w:r>
      <w:r>
        <w:rPr>
          <w:rFonts w:hint="eastAsia" w:ascii="Times New Roman" w:hAnsi="Times New Roman" w:eastAsia="仿宋_GB2312" w:cs="Times New Roman"/>
          <w:color w:val="auto"/>
          <w:sz w:val="32"/>
          <w:szCs w:val="32"/>
          <w:lang w:val="en-US" w:eastAsia="zh-CN"/>
        </w:rPr>
        <w:t>6079.68</w:t>
      </w:r>
      <w:r>
        <w:rPr>
          <w:rFonts w:ascii="Times New Roman" w:hAnsi="Times New Roman" w:eastAsia="仿宋_GB2312" w:cs="Times New Roman"/>
          <w:color w:val="auto"/>
          <w:sz w:val="32"/>
          <w:szCs w:val="32"/>
        </w:rPr>
        <w:t>万元，主要用于以下方面：一般公共服务（类）支出</w:t>
      </w:r>
      <w:r>
        <w:rPr>
          <w:rFonts w:hint="eastAsia" w:ascii="Times New Roman" w:hAnsi="Times New Roman" w:eastAsia="仿宋_GB2312" w:cs="Times New Roman"/>
          <w:color w:val="auto"/>
          <w:sz w:val="32"/>
          <w:szCs w:val="32"/>
          <w:lang w:val="en-US" w:eastAsia="zh-CN"/>
        </w:rPr>
        <w:t>230</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3.78</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文化旅游体育与传媒</w:t>
      </w:r>
      <w:r>
        <w:rPr>
          <w:rFonts w:ascii="Times New Roman" w:hAnsi="Times New Roman" w:eastAsia="仿宋_GB2312" w:cs="Times New Roman"/>
          <w:color w:val="auto"/>
          <w:sz w:val="32"/>
          <w:szCs w:val="32"/>
        </w:rPr>
        <w:t>（类）支出</w:t>
      </w:r>
      <w:r>
        <w:rPr>
          <w:rFonts w:hint="eastAsia" w:ascii="Times New Roman" w:hAnsi="Times New Roman" w:eastAsia="仿宋_GB2312" w:cs="Times New Roman"/>
          <w:color w:val="auto"/>
          <w:sz w:val="32"/>
          <w:szCs w:val="32"/>
          <w:lang w:val="en-US" w:eastAsia="zh-CN"/>
        </w:rPr>
        <w:t>30.26</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0.5</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社会保障和就业</w:t>
      </w:r>
      <w:r>
        <w:rPr>
          <w:rFonts w:ascii="Times New Roman" w:hAnsi="Times New Roman" w:eastAsia="仿宋_GB2312" w:cs="Times New Roman"/>
          <w:color w:val="auto"/>
          <w:sz w:val="32"/>
          <w:szCs w:val="32"/>
        </w:rPr>
        <w:t>（类）支出</w:t>
      </w:r>
      <w:r>
        <w:rPr>
          <w:rFonts w:hint="eastAsia" w:ascii="Times New Roman" w:hAnsi="Times New Roman" w:eastAsia="仿宋_GB2312" w:cs="Times New Roman"/>
          <w:color w:val="auto"/>
          <w:sz w:val="32"/>
          <w:szCs w:val="32"/>
          <w:lang w:val="en-US" w:eastAsia="zh-CN"/>
        </w:rPr>
        <w:t>5749.01</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94.56</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卫生健康</w:t>
      </w:r>
      <w:r>
        <w:rPr>
          <w:rFonts w:ascii="Times New Roman" w:hAnsi="Times New Roman" w:eastAsia="仿宋_GB2312" w:cs="Times New Roman"/>
          <w:color w:val="auto"/>
          <w:sz w:val="32"/>
          <w:szCs w:val="32"/>
        </w:rPr>
        <w:t>（类）支出</w:t>
      </w:r>
      <w:r>
        <w:rPr>
          <w:rFonts w:hint="eastAsia" w:ascii="Times New Roman" w:hAnsi="Times New Roman" w:eastAsia="仿宋_GB2312" w:cs="Times New Roman"/>
          <w:color w:val="auto"/>
          <w:sz w:val="32"/>
          <w:szCs w:val="32"/>
          <w:lang w:val="en-US" w:eastAsia="zh-CN"/>
        </w:rPr>
        <w:t>20.38</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0.34</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住房保障</w:t>
      </w:r>
      <w:r>
        <w:rPr>
          <w:rFonts w:ascii="Times New Roman" w:hAnsi="Times New Roman" w:eastAsia="仿宋_GB2312" w:cs="Times New Roman"/>
          <w:color w:val="auto"/>
          <w:sz w:val="32"/>
          <w:szCs w:val="32"/>
        </w:rPr>
        <w:t>（类）支出</w:t>
      </w:r>
      <w:r>
        <w:rPr>
          <w:rFonts w:hint="eastAsia" w:ascii="Times New Roman" w:hAnsi="Times New Roman" w:eastAsia="仿宋_GB2312" w:cs="Times New Roman"/>
          <w:color w:val="auto"/>
          <w:sz w:val="32"/>
          <w:szCs w:val="32"/>
          <w:lang w:val="en-US" w:eastAsia="zh-CN"/>
        </w:rPr>
        <w:t>50.03</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0.82</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（三）一般公共预算财政拨款支出决算具体情况</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default" w:ascii="Times New Roman" w:hAnsi="Times New Roman" w:eastAsia="仿宋_GB2312" w:cs="Times New Roman"/>
          <w:sz w:val="32"/>
          <w:szCs w:val="32"/>
          <w:lang w:val="en" w:eastAsia="zh-CN"/>
        </w:rPr>
        <w:t>2745.09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6079.68</w:t>
      </w:r>
      <w:r>
        <w:rPr>
          <w:rFonts w:ascii="Times New Roman" w:hAnsi="Times New Roman" w:eastAsia="仿宋_GB2312" w:cs="Times New Roman"/>
          <w:sz w:val="32"/>
          <w:szCs w:val="32"/>
        </w:rPr>
        <w:t>万元，完成年初预算的</w:t>
      </w:r>
      <w:r>
        <w:rPr>
          <w:rFonts w:hint="default" w:ascii="Times New Roman" w:hAnsi="Times New Roman" w:eastAsia="仿宋_GB2312" w:cs="Times New Roman"/>
          <w:sz w:val="32"/>
          <w:szCs w:val="32"/>
          <w:lang w:val="en" w:eastAsia="zh-CN"/>
        </w:rPr>
        <w:t>451.5</w:t>
      </w:r>
      <w:r>
        <w:rPr>
          <w:rFonts w:ascii="Times New Roman" w:hAnsi="Times New Roman" w:eastAsia="仿宋_GB2312" w:cs="Times New Roman"/>
          <w:sz w:val="32"/>
          <w:szCs w:val="32"/>
        </w:rPr>
        <w:t>%，其中：</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其他</w:t>
      </w:r>
      <w:r>
        <w:rPr>
          <w:rFonts w:ascii="Times New Roman" w:hAnsi="Times New Roman" w:eastAsia="仿宋_GB2312" w:cs="Times New Roman"/>
          <w:sz w:val="32"/>
          <w:szCs w:val="32"/>
        </w:rPr>
        <w:t>一般公共服务（款）</w:t>
      </w:r>
      <w:r>
        <w:rPr>
          <w:rFonts w:hint="eastAsia" w:ascii="Times New Roman" w:hAnsi="Times New Roman" w:eastAsia="仿宋_GB2312" w:cs="Times New Roman"/>
          <w:sz w:val="32"/>
          <w:szCs w:val="32"/>
          <w:lang w:eastAsia="zh-CN"/>
        </w:rPr>
        <w:t>其他</w:t>
      </w:r>
      <w:r>
        <w:rPr>
          <w:rFonts w:ascii="Times New Roman" w:hAnsi="Times New Roman" w:eastAsia="仿宋_GB2312" w:cs="Times New Roman"/>
          <w:sz w:val="32"/>
          <w:szCs w:val="32"/>
        </w:rPr>
        <w:t>一般公共服务（项）。</w:t>
      </w:r>
    </w:p>
    <w:p>
      <w:pPr>
        <w:keepNext w:val="0"/>
        <w:keepLines w:val="0"/>
        <w:pageBreakBefore w:val="0"/>
        <w:kinsoku/>
        <w:wordWrap/>
        <w:topLinePunct w:val="0"/>
        <w:bidi w:val="0"/>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
        </w:rPr>
        <w:t>48.2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230</w:t>
      </w:r>
      <w:r>
        <w:rPr>
          <w:rFonts w:ascii="Times New Roman" w:hAnsi="Times New Roman" w:eastAsia="仿宋_GB2312" w:cs="Times New Roman"/>
          <w:sz w:val="32"/>
          <w:szCs w:val="32"/>
        </w:rPr>
        <w:t>万元，完成年初预算的</w:t>
      </w:r>
      <w:r>
        <w:rPr>
          <w:rFonts w:hint="default" w:ascii="Times New Roman" w:hAnsi="Times New Roman" w:eastAsia="仿宋_GB2312" w:cs="Times New Roman"/>
          <w:sz w:val="32"/>
          <w:szCs w:val="32"/>
          <w:lang w:val="en"/>
        </w:rPr>
        <w:t>477.2</w:t>
      </w:r>
      <w:r>
        <w:rPr>
          <w:rFonts w:ascii="Times New Roman" w:hAnsi="Times New Roman" w:eastAsia="仿宋_GB2312" w:cs="Times New Roman"/>
          <w:sz w:val="32"/>
          <w:szCs w:val="32"/>
        </w:rPr>
        <w:t>%，决算数大于年初预算数的主要原因是：</w:t>
      </w:r>
      <w:r>
        <w:rPr>
          <w:rFonts w:hint="eastAsia" w:ascii="仿宋_GB2312" w:hAnsi="仿宋_GB2312" w:eastAsia="仿宋_GB2312" w:cs="仿宋_GB2312"/>
          <w:sz w:val="32"/>
          <w:szCs w:val="32"/>
        </w:rPr>
        <w:t>根据工作要求，年中追加相关业务经费支出。</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color w:val="auto"/>
          <w:sz w:val="32"/>
          <w:szCs w:val="32"/>
          <w:lang w:eastAsia="zh-CN"/>
        </w:rPr>
        <w:t>文化旅游体育与传媒</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w:t>
      </w:r>
      <w:r>
        <w:rPr>
          <w:rFonts w:hint="eastAsia" w:ascii="Times New Roman" w:hAnsi="Times New Roman" w:eastAsia="仿宋_GB2312" w:cs="Times New Roman"/>
          <w:color w:val="auto"/>
          <w:sz w:val="32"/>
          <w:szCs w:val="32"/>
          <w:lang w:eastAsia="zh-CN"/>
        </w:rPr>
        <w:t>文化旅游体育与传媒</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w:t>
      </w:r>
      <w:r>
        <w:rPr>
          <w:rFonts w:hint="eastAsia" w:ascii="Times New Roman" w:hAnsi="Times New Roman" w:eastAsia="仿宋_GB2312" w:cs="Times New Roman"/>
          <w:color w:val="auto"/>
          <w:sz w:val="32"/>
          <w:szCs w:val="32"/>
          <w:lang w:eastAsia="zh-CN"/>
        </w:rPr>
        <w:t>文化旅游体育与传媒</w:t>
      </w:r>
      <w:r>
        <w:rPr>
          <w:rFonts w:ascii="Times New Roman" w:hAnsi="Times New Roman" w:eastAsia="仿宋_GB2312" w:cs="Times New Roman"/>
          <w:sz w:val="32"/>
          <w:szCs w:val="32"/>
        </w:rPr>
        <w:t>（项）。</w:t>
      </w:r>
    </w:p>
    <w:p>
      <w:pPr>
        <w:keepNext w:val="0"/>
        <w:keepLines w:val="0"/>
        <w:pageBreakBefore w:val="0"/>
        <w:kinsoku/>
        <w:wordWrap/>
        <w:topLinePunct w:val="0"/>
        <w:bidi w:val="0"/>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30.26</w:t>
      </w:r>
      <w:r>
        <w:rPr>
          <w:rFonts w:ascii="Times New Roman" w:hAnsi="Times New Roman" w:eastAsia="仿宋_GB2312" w:cs="Times New Roman"/>
          <w:sz w:val="32"/>
          <w:szCs w:val="32"/>
        </w:rPr>
        <w:t>万元，完成年初预算的</w:t>
      </w:r>
      <w:r>
        <w:rPr>
          <w:rFonts w:hint="default" w:ascii="Times New Roman" w:hAnsi="Times New Roman" w:eastAsia="仿宋_GB2312" w:cs="Times New Roman"/>
          <w:sz w:val="32"/>
          <w:szCs w:val="32"/>
          <w:lang w:val="en"/>
        </w:rPr>
        <w:t>0</w:t>
      </w:r>
      <w:r>
        <w:rPr>
          <w:rFonts w:ascii="Times New Roman" w:hAnsi="Times New Roman" w:eastAsia="仿宋_GB2312" w:cs="Times New Roman"/>
          <w:sz w:val="32"/>
          <w:szCs w:val="32"/>
        </w:rPr>
        <w:t>%，决算数大于年初预算数的主要原因是：</w:t>
      </w:r>
      <w:r>
        <w:rPr>
          <w:rFonts w:hint="eastAsia" w:ascii="仿宋_GB2312" w:hAnsi="仿宋_GB2312" w:eastAsia="仿宋_GB2312" w:cs="仿宋_GB2312"/>
          <w:sz w:val="32"/>
          <w:szCs w:val="32"/>
        </w:rPr>
        <w:t>根据工作要求，年中追加相关业务经费支出。</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lang w:val="en-US"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民政管理事务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
        </w:rPr>
        <w:t>1640.06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1327.58</w:t>
      </w:r>
      <w:r>
        <w:rPr>
          <w:rFonts w:ascii="Times New Roman" w:hAnsi="Times New Roman" w:eastAsia="仿宋_GB2312" w:cs="Times New Roman"/>
          <w:sz w:val="32"/>
          <w:szCs w:val="32"/>
        </w:rPr>
        <w:t>万元，完成年初预算的</w:t>
      </w:r>
      <w:r>
        <w:rPr>
          <w:rFonts w:hint="default" w:ascii="Times New Roman" w:hAnsi="Times New Roman" w:eastAsia="仿宋_GB2312" w:cs="Times New Roman"/>
          <w:sz w:val="32"/>
          <w:szCs w:val="32"/>
          <w:lang w:val="en"/>
        </w:rPr>
        <w:t>80.95</w:t>
      </w:r>
      <w:r>
        <w:rPr>
          <w:rFonts w:ascii="Times New Roman" w:hAnsi="Times New Roman" w:eastAsia="仿宋_GB2312" w:cs="Times New Roman"/>
          <w:sz w:val="32"/>
          <w:szCs w:val="32"/>
        </w:rPr>
        <w:t>%，决算数小于年初预算数的主要原因是：</w:t>
      </w:r>
      <w:r>
        <w:rPr>
          <w:rFonts w:hint="eastAsia" w:ascii="仿宋_GB2312" w:hAnsi="仿宋_GB2312" w:eastAsia="仿宋_GB2312" w:cs="仿宋_GB2312"/>
          <w:sz w:val="32"/>
          <w:szCs w:val="32"/>
        </w:rPr>
        <w:t>根据工作要求，年中</w:t>
      </w:r>
      <w:r>
        <w:rPr>
          <w:rFonts w:hint="eastAsia" w:ascii="仿宋_GB2312" w:hAnsi="仿宋_GB2312" w:eastAsia="仿宋_GB2312" w:cs="仿宋_GB2312"/>
          <w:sz w:val="32"/>
          <w:szCs w:val="32"/>
          <w:lang w:eastAsia="zh-CN"/>
        </w:rPr>
        <w:t>缩减</w:t>
      </w:r>
      <w:r>
        <w:rPr>
          <w:rFonts w:hint="eastAsia" w:ascii="仿宋_GB2312" w:hAnsi="仿宋_GB2312" w:eastAsia="仿宋_GB2312" w:cs="仿宋_GB2312"/>
          <w:sz w:val="32"/>
          <w:szCs w:val="32"/>
        </w:rPr>
        <w:t>相关业务经费支出。</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lang w:val="en-US"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民政管理事务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其他民政管理事务</w:t>
      </w:r>
      <w:r>
        <w:rPr>
          <w:rFonts w:ascii="Times New Roman" w:hAnsi="Times New Roman" w:eastAsia="仿宋_GB2312" w:cs="Times New Roman"/>
          <w:sz w:val="32"/>
          <w:szCs w:val="32"/>
        </w:rPr>
        <w:t>（项）。</w:t>
      </w:r>
    </w:p>
    <w:p>
      <w:pPr>
        <w:keepNext w:val="0"/>
        <w:keepLines w:val="0"/>
        <w:pageBreakBefore w:val="0"/>
        <w:kinsoku/>
        <w:wordWrap/>
        <w:topLinePunct w:val="0"/>
        <w:bidi w:val="0"/>
        <w:spacing w:line="60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251.49</w:t>
      </w:r>
      <w:r>
        <w:rPr>
          <w:rFonts w:ascii="Times New Roman" w:hAnsi="Times New Roman" w:eastAsia="仿宋_GB2312" w:cs="Times New Roman"/>
          <w:sz w:val="32"/>
          <w:szCs w:val="32"/>
        </w:rPr>
        <w:t>万元，完成年初预算的</w:t>
      </w:r>
      <w:r>
        <w:rPr>
          <w:rFonts w:hint="default" w:ascii="Times New Roman" w:hAnsi="Times New Roman" w:eastAsia="仿宋_GB2312" w:cs="Times New Roman"/>
          <w:sz w:val="32"/>
          <w:szCs w:val="32"/>
          <w:lang w:val="en"/>
        </w:rPr>
        <w:t>1257.5</w:t>
      </w:r>
      <w:r>
        <w:rPr>
          <w:rFonts w:ascii="Times New Roman" w:hAnsi="Times New Roman" w:eastAsia="仿宋_GB2312" w:cs="Times New Roman"/>
          <w:sz w:val="32"/>
          <w:szCs w:val="32"/>
        </w:rPr>
        <w:t>%，决算数大于年初预算数的主要原因是：</w:t>
      </w:r>
      <w:r>
        <w:rPr>
          <w:rFonts w:hint="eastAsia" w:ascii="仿宋_GB2312" w:hAnsi="仿宋_GB2312" w:eastAsia="仿宋_GB2312" w:cs="仿宋_GB2312"/>
          <w:sz w:val="32"/>
          <w:szCs w:val="32"/>
        </w:rPr>
        <w:t>根据工作要求，年中追加相关业务经费支出。</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lang w:val="en-US"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行政单位离退休</w:t>
      </w:r>
      <w:r>
        <w:rPr>
          <w:rFonts w:ascii="Times New Roman" w:hAnsi="Times New Roman" w:eastAsia="仿宋_GB2312" w:cs="Times New Roman"/>
          <w:sz w:val="32"/>
          <w:szCs w:val="32"/>
        </w:rPr>
        <w:t>（项）。</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
        </w:rPr>
        <w:t>29.43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28.69</w:t>
      </w:r>
      <w:r>
        <w:rPr>
          <w:rFonts w:ascii="Times New Roman" w:hAnsi="Times New Roman" w:eastAsia="仿宋_GB2312" w:cs="Times New Roman"/>
          <w:sz w:val="32"/>
          <w:szCs w:val="32"/>
        </w:rPr>
        <w:t>万元，完成年初预算的</w:t>
      </w:r>
      <w:r>
        <w:rPr>
          <w:rFonts w:hint="default" w:ascii="Times New Roman" w:hAnsi="Times New Roman" w:eastAsia="仿宋_GB2312" w:cs="Times New Roman"/>
          <w:sz w:val="32"/>
          <w:szCs w:val="32"/>
          <w:lang w:val="en"/>
        </w:rPr>
        <w:t>97.5</w:t>
      </w:r>
      <w:r>
        <w:rPr>
          <w:rFonts w:ascii="Times New Roman" w:hAnsi="Times New Roman" w:eastAsia="仿宋_GB2312" w:cs="Times New Roman"/>
          <w:sz w:val="32"/>
          <w:szCs w:val="32"/>
        </w:rPr>
        <w:t>%，决算数小于年初预算数的主要原因是：</w:t>
      </w:r>
      <w:r>
        <w:rPr>
          <w:rFonts w:hint="eastAsia" w:ascii="仿宋_GB2312" w:hAnsi="仿宋_GB2312" w:eastAsia="仿宋_GB2312" w:cs="仿宋_GB2312"/>
          <w:sz w:val="32"/>
          <w:szCs w:val="32"/>
          <w:u w:val="none"/>
          <w:lang w:eastAsia="zh-CN"/>
        </w:rPr>
        <w:t>因单位人员异动</w:t>
      </w:r>
      <w:r>
        <w:rPr>
          <w:rFonts w:hint="default" w:ascii="仿宋_GB2312" w:hAnsi="仿宋_GB2312" w:eastAsia="仿宋_GB2312" w:cs="仿宋_GB2312"/>
          <w:sz w:val="32"/>
          <w:szCs w:val="32"/>
          <w:u w:val="none"/>
          <w:lang w:val="en" w:eastAsia="zh-CN"/>
        </w:rPr>
        <w:t>,</w:t>
      </w:r>
      <w:r>
        <w:rPr>
          <w:rFonts w:hint="eastAsia" w:ascii="仿宋_GB2312" w:hAnsi="仿宋_GB2312" w:eastAsia="仿宋_GB2312" w:cs="仿宋_GB2312"/>
          <w:sz w:val="32"/>
          <w:szCs w:val="32"/>
          <w:u w:val="none"/>
          <w:lang w:eastAsia="zh-CN"/>
        </w:rPr>
        <w:t>实际支出金额小于预算数</w:t>
      </w:r>
      <w:r>
        <w:rPr>
          <w:rFonts w:hint="eastAsia" w:ascii="仿宋_GB2312" w:hAnsi="仿宋_GB2312" w:eastAsia="仿宋_GB2312" w:cs="仿宋_GB2312"/>
          <w:sz w:val="32"/>
          <w:szCs w:val="32"/>
          <w:u w:val="none"/>
        </w:rPr>
        <w:t>。</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lang w:val="en-US"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机关事业单位基本养老保险缴费</w:t>
      </w:r>
      <w:r>
        <w:rPr>
          <w:rFonts w:ascii="Times New Roman" w:hAnsi="Times New Roman" w:eastAsia="仿宋_GB2312" w:cs="Times New Roman"/>
          <w:sz w:val="32"/>
          <w:szCs w:val="32"/>
        </w:rPr>
        <w:t>（项）。</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hint="eastAsia" w:ascii="仿宋_GB2312" w:hAnsi="仿宋_GB2312" w:eastAsia="仿宋_GB2312" w:cs="仿宋_GB2312"/>
          <w:sz w:val="32"/>
          <w:szCs w:val="32"/>
          <w:u w:val="none"/>
        </w:rPr>
      </w:pPr>
      <w:r>
        <w:rPr>
          <w:rFonts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
        </w:rPr>
        <w:t>50.65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48.76</w:t>
      </w:r>
      <w:r>
        <w:rPr>
          <w:rFonts w:ascii="Times New Roman" w:hAnsi="Times New Roman" w:eastAsia="仿宋_GB2312" w:cs="Times New Roman"/>
          <w:sz w:val="32"/>
          <w:szCs w:val="32"/>
        </w:rPr>
        <w:t>万元，完成年初预算的</w:t>
      </w:r>
      <w:r>
        <w:rPr>
          <w:rFonts w:hint="default" w:ascii="Times New Roman" w:hAnsi="Times New Roman" w:eastAsia="仿宋_GB2312" w:cs="Times New Roman"/>
          <w:sz w:val="32"/>
          <w:szCs w:val="32"/>
          <w:lang w:val="en"/>
        </w:rPr>
        <w:t>96.3</w:t>
      </w:r>
      <w:r>
        <w:rPr>
          <w:rFonts w:ascii="Times New Roman" w:hAnsi="Times New Roman" w:eastAsia="仿宋_GB2312" w:cs="Times New Roman"/>
          <w:sz w:val="32"/>
          <w:szCs w:val="32"/>
        </w:rPr>
        <w:t>%，决算数小于年初预算数的主要原因是：</w:t>
      </w:r>
      <w:r>
        <w:rPr>
          <w:rFonts w:hint="eastAsia" w:ascii="仿宋_GB2312" w:hAnsi="仿宋_GB2312" w:eastAsia="仿宋_GB2312" w:cs="仿宋_GB2312"/>
          <w:sz w:val="32"/>
          <w:szCs w:val="32"/>
          <w:u w:val="none"/>
          <w:lang w:eastAsia="zh-CN"/>
        </w:rPr>
        <w:t>因单位人员异动</w:t>
      </w:r>
      <w:r>
        <w:rPr>
          <w:rFonts w:hint="default" w:ascii="仿宋_GB2312" w:hAnsi="仿宋_GB2312" w:eastAsia="仿宋_GB2312" w:cs="仿宋_GB2312"/>
          <w:sz w:val="32"/>
          <w:szCs w:val="32"/>
          <w:u w:val="none"/>
          <w:lang w:val="en" w:eastAsia="zh-CN"/>
        </w:rPr>
        <w:t>,</w:t>
      </w:r>
      <w:r>
        <w:rPr>
          <w:rFonts w:hint="eastAsia" w:ascii="仿宋_GB2312" w:hAnsi="仿宋_GB2312" w:eastAsia="仿宋_GB2312" w:cs="仿宋_GB2312"/>
          <w:sz w:val="32"/>
          <w:szCs w:val="32"/>
          <w:u w:val="none"/>
          <w:lang w:eastAsia="zh-CN"/>
        </w:rPr>
        <w:t>实际支出金额小于预算数</w:t>
      </w:r>
      <w:r>
        <w:rPr>
          <w:rFonts w:hint="eastAsia" w:ascii="仿宋_GB2312" w:hAnsi="仿宋_GB2312" w:eastAsia="仿宋_GB2312" w:cs="仿宋_GB2312"/>
          <w:sz w:val="32"/>
          <w:szCs w:val="32"/>
          <w:u w:val="none"/>
        </w:rPr>
        <w:t>。</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lang w:val="en-US"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死亡抚恤</w:t>
      </w:r>
      <w:r>
        <w:rPr>
          <w:rFonts w:ascii="Times New Roman" w:hAnsi="Times New Roman" w:eastAsia="仿宋_GB2312" w:cs="Times New Roman"/>
          <w:sz w:val="32"/>
          <w:szCs w:val="32"/>
        </w:rPr>
        <w:t>（项）。</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1758.94</w:t>
      </w:r>
      <w:r>
        <w:rPr>
          <w:rFonts w:ascii="Times New Roman" w:hAnsi="Times New Roman" w:eastAsia="仿宋_GB2312" w:cs="Times New Roman"/>
          <w:sz w:val="32"/>
          <w:szCs w:val="32"/>
        </w:rPr>
        <w:t>万元，完成年初预算的</w:t>
      </w:r>
      <w:r>
        <w:rPr>
          <w:rFonts w:hint="default" w:ascii="Times New Roman" w:hAnsi="Times New Roman" w:eastAsia="仿宋_GB2312" w:cs="Times New Roman"/>
          <w:sz w:val="32"/>
          <w:szCs w:val="32"/>
          <w:lang w:val="en"/>
        </w:rPr>
        <w:t>0</w:t>
      </w:r>
      <w:r>
        <w:rPr>
          <w:rFonts w:ascii="Times New Roman" w:hAnsi="Times New Roman" w:eastAsia="仿宋_GB2312" w:cs="Times New Roman"/>
          <w:sz w:val="32"/>
          <w:szCs w:val="32"/>
        </w:rPr>
        <w:t>%，决算数大于年初预算数的主要原因是：</w:t>
      </w:r>
      <w:r>
        <w:rPr>
          <w:rFonts w:hint="eastAsia" w:ascii="仿宋_GB2312" w:hAnsi="仿宋_GB2312" w:eastAsia="仿宋_GB2312" w:cs="仿宋_GB2312"/>
          <w:sz w:val="32"/>
          <w:szCs w:val="32"/>
        </w:rPr>
        <w:t>此项支出用于发放一次性抚恤费，财政部门根据</w:t>
      </w:r>
      <w:r>
        <w:rPr>
          <w:rFonts w:hint="eastAsia" w:ascii="仿宋_GB2312" w:hAnsi="仿宋_GB2312" w:eastAsia="仿宋_GB2312" w:cs="仿宋_GB2312"/>
          <w:sz w:val="32"/>
          <w:szCs w:val="32"/>
          <w:lang w:eastAsia="zh-CN"/>
        </w:rPr>
        <w:t>当年</w:t>
      </w:r>
      <w:r>
        <w:rPr>
          <w:rFonts w:hint="eastAsia" w:ascii="仿宋_GB2312" w:hAnsi="仿宋_GB2312" w:eastAsia="仿宋_GB2312" w:cs="仿宋_GB2312"/>
          <w:sz w:val="32"/>
          <w:szCs w:val="32"/>
        </w:rPr>
        <w:t>抚恤费实际审批情况按进度予以拨付。</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lang w:val="en-US"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社会福利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儿童福利</w:t>
      </w:r>
      <w:r>
        <w:rPr>
          <w:rFonts w:ascii="Times New Roman" w:hAnsi="Times New Roman" w:eastAsia="仿宋_GB2312" w:cs="Times New Roman"/>
          <w:sz w:val="32"/>
          <w:szCs w:val="32"/>
        </w:rPr>
        <w:t>（项）。</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262.36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524.7</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lang w:val="en-US" w:eastAsia="zh-CN"/>
        </w:rPr>
        <w:t>5</w:t>
      </w:r>
      <w:r>
        <w:rPr>
          <w:rFonts w:hint="eastAsia" w:ascii="仿宋_GB2312" w:hAnsi="仿宋_GB2312" w:eastAsia="仿宋_GB2312" w:cs="仿宋_GB2312"/>
          <w:sz w:val="32"/>
          <w:szCs w:val="32"/>
        </w:rPr>
        <w:t>万为市本级财政预算，其余为中央省级下拨资金，未列入市本级年初预算。</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lang w:val="en-US"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社会福利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殡葬</w:t>
      </w:r>
      <w:r>
        <w:rPr>
          <w:rFonts w:ascii="Times New Roman" w:hAnsi="Times New Roman" w:eastAsia="仿宋_GB2312" w:cs="Times New Roman"/>
          <w:sz w:val="32"/>
          <w:szCs w:val="32"/>
        </w:rPr>
        <w:t>（项）。</w:t>
      </w:r>
    </w:p>
    <w:p>
      <w:pPr>
        <w:keepNext w:val="0"/>
        <w:keepLines w:val="0"/>
        <w:pageBreakBefore w:val="0"/>
        <w:kinsoku/>
        <w:wordWrap/>
        <w:topLinePunct w:val="0"/>
        <w:bidi w:val="0"/>
        <w:spacing w:line="60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
        </w:rPr>
        <w:t>774.22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691.52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89.3</w:t>
      </w:r>
      <w:r>
        <w:rPr>
          <w:rFonts w:ascii="Times New Roman" w:hAnsi="Times New Roman" w:eastAsia="仿宋_GB2312" w:cs="Times New Roman"/>
          <w:sz w:val="32"/>
          <w:szCs w:val="32"/>
        </w:rPr>
        <w:t>%，决算数小于年初预算数的主要原因是：</w:t>
      </w:r>
      <w:r>
        <w:rPr>
          <w:rFonts w:hint="eastAsia" w:ascii="仿宋_GB2312" w:hAnsi="仿宋_GB2312" w:eastAsia="仿宋_GB2312" w:cs="仿宋_GB2312"/>
          <w:sz w:val="32"/>
          <w:szCs w:val="32"/>
        </w:rPr>
        <w:t>根据工作要求，年中</w:t>
      </w:r>
      <w:r>
        <w:rPr>
          <w:rFonts w:hint="eastAsia" w:ascii="仿宋_GB2312" w:hAnsi="仿宋_GB2312" w:eastAsia="仿宋_GB2312" w:cs="仿宋_GB2312"/>
          <w:sz w:val="32"/>
          <w:szCs w:val="32"/>
          <w:lang w:eastAsia="zh-CN"/>
        </w:rPr>
        <w:t>缩减</w:t>
      </w:r>
      <w:r>
        <w:rPr>
          <w:rFonts w:hint="eastAsia" w:ascii="仿宋_GB2312" w:hAnsi="仿宋_GB2312" w:eastAsia="仿宋_GB2312" w:cs="仿宋_GB2312"/>
          <w:sz w:val="32"/>
          <w:szCs w:val="32"/>
        </w:rPr>
        <w:t>相关业务经费支出。</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lang w:val="en-US"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社会福利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社会福利事业单位</w:t>
      </w:r>
      <w:r>
        <w:rPr>
          <w:rFonts w:ascii="Times New Roman" w:hAnsi="Times New Roman" w:eastAsia="仿宋_GB2312" w:cs="Times New Roman"/>
          <w:sz w:val="32"/>
          <w:szCs w:val="32"/>
        </w:rPr>
        <w:t>（项）。</w:t>
      </w:r>
    </w:p>
    <w:p>
      <w:pPr>
        <w:keepNext w:val="0"/>
        <w:keepLines w:val="0"/>
        <w:pageBreakBefore w:val="0"/>
        <w:kinsoku/>
        <w:wordWrap/>
        <w:topLinePunct w:val="0"/>
        <w:bidi w:val="0"/>
        <w:spacing w:line="60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
        </w:rPr>
        <w:t>100.16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78.63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78.5</w:t>
      </w:r>
      <w:r>
        <w:rPr>
          <w:rFonts w:ascii="Times New Roman" w:hAnsi="Times New Roman" w:eastAsia="仿宋_GB2312" w:cs="Times New Roman"/>
          <w:sz w:val="32"/>
          <w:szCs w:val="32"/>
        </w:rPr>
        <w:t>%，决算数小于年初预算数的主要原因是：</w:t>
      </w:r>
      <w:r>
        <w:rPr>
          <w:rFonts w:hint="eastAsia" w:ascii="仿宋_GB2312" w:hAnsi="仿宋_GB2312" w:eastAsia="仿宋_GB2312" w:cs="仿宋_GB2312"/>
          <w:sz w:val="32"/>
          <w:szCs w:val="32"/>
        </w:rPr>
        <w:t>根据工作要求，年中</w:t>
      </w:r>
      <w:r>
        <w:rPr>
          <w:rFonts w:hint="eastAsia" w:ascii="仿宋_GB2312" w:hAnsi="仿宋_GB2312" w:eastAsia="仿宋_GB2312" w:cs="仿宋_GB2312"/>
          <w:sz w:val="32"/>
          <w:szCs w:val="32"/>
          <w:lang w:eastAsia="zh-CN"/>
        </w:rPr>
        <w:t>缩减</w:t>
      </w:r>
      <w:r>
        <w:rPr>
          <w:rFonts w:hint="eastAsia" w:ascii="仿宋_GB2312" w:hAnsi="仿宋_GB2312" w:eastAsia="仿宋_GB2312" w:cs="仿宋_GB2312"/>
          <w:sz w:val="32"/>
          <w:szCs w:val="32"/>
        </w:rPr>
        <w:t>相关业务经费支出。</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lang w:val="en-US"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临时救助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流浪乞讨人员救助</w:t>
      </w:r>
      <w:r>
        <w:rPr>
          <w:rFonts w:ascii="Times New Roman" w:hAnsi="Times New Roman" w:eastAsia="仿宋_GB2312" w:cs="Times New Roman"/>
          <w:sz w:val="32"/>
          <w:szCs w:val="32"/>
        </w:rPr>
        <w:t>（项）。</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139.6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仿宋_GB2312" w:hAnsi="仿宋_GB2312" w:eastAsia="仿宋_GB2312" w:cs="仿宋_GB2312"/>
          <w:sz w:val="32"/>
          <w:szCs w:val="32"/>
        </w:rPr>
        <w:t>根据工作要求，年中追加相关业务经费支出。</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lang w:val="en-US"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其他社会保障和就业</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其他社会保障和就业</w:t>
      </w:r>
      <w:r>
        <w:rPr>
          <w:rFonts w:ascii="Times New Roman" w:hAnsi="Times New Roman" w:eastAsia="仿宋_GB2312" w:cs="Times New Roman"/>
          <w:sz w:val="32"/>
          <w:szCs w:val="32"/>
        </w:rPr>
        <w:t>（项）。</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1161.44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仿宋_GB2312" w:hAnsi="仿宋_GB2312" w:eastAsia="仿宋_GB2312" w:cs="仿宋_GB2312"/>
          <w:sz w:val="32"/>
          <w:szCs w:val="32"/>
        </w:rPr>
        <w:t>根据工作要求，年中追加相关业务经费支出。</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lang w:val="en-US" w:eastAsia="zh-CN"/>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行政单位医疗</w:t>
      </w:r>
      <w:r>
        <w:rPr>
          <w:rFonts w:ascii="Times New Roman" w:hAnsi="Times New Roman" w:eastAsia="仿宋_GB2312" w:cs="Times New Roman"/>
          <w:sz w:val="32"/>
          <w:szCs w:val="32"/>
        </w:rPr>
        <w:t>（项）。</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
        </w:rPr>
        <w:t>15.53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99.8</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基本持平。</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lang w:val="en-US" w:eastAsia="zh-CN"/>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事业单位医疗</w:t>
      </w:r>
      <w:r>
        <w:rPr>
          <w:rFonts w:ascii="Times New Roman" w:hAnsi="Times New Roman" w:eastAsia="仿宋_GB2312" w:cs="Times New Roman"/>
          <w:sz w:val="32"/>
          <w:szCs w:val="32"/>
        </w:rPr>
        <w:t>（项）。</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
        </w:rPr>
        <w:t>19.67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24.8</w:t>
      </w:r>
      <w:r>
        <w:rPr>
          <w:rFonts w:ascii="Times New Roman" w:hAnsi="Times New Roman" w:eastAsia="仿宋_GB2312" w:cs="Times New Roman"/>
          <w:sz w:val="32"/>
          <w:szCs w:val="32"/>
        </w:rPr>
        <w:t>%，决算数小于年初预算数的主要原因是：</w:t>
      </w:r>
      <w:r>
        <w:rPr>
          <w:rFonts w:hint="eastAsia" w:ascii="仿宋_GB2312" w:hAnsi="仿宋_GB2312" w:eastAsia="仿宋_GB2312" w:cs="仿宋_GB2312"/>
          <w:sz w:val="32"/>
          <w:szCs w:val="32"/>
          <w:u w:val="none"/>
          <w:lang w:eastAsia="zh-CN"/>
        </w:rPr>
        <w:t>年初根据人员数进行测算，上报财政后拨付额度</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eastAsia="zh-CN"/>
        </w:rPr>
        <w:t>因单位人员异动实际支出金额小于预算数</w:t>
      </w:r>
      <w:r>
        <w:rPr>
          <w:rFonts w:hint="eastAsia" w:ascii="仿宋_GB2312" w:hAnsi="仿宋_GB2312" w:eastAsia="仿宋_GB2312" w:cs="仿宋_GB2312"/>
          <w:sz w:val="32"/>
          <w:szCs w:val="32"/>
          <w:u w:val="none"/>
        </w:rPr>
        <w:t>。</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lang w:val="en-US" w:eastAsia="zh-CN"/>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住房公积金</w:t>
      </w:r>
      <w:r>
        <w:rPr>
          <w:rFonts w:ascii="Times New Roman" w:hAnsi="Times New Roman" w:eastAsia="仿宋_GB2312" w:cs="Times New Roman"/>
          <w:sz w:val="32"/>
          <w:szCs w:val="32"/>
        </w:rPr>
        <w:t>（项）。</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
        </w:rPr>
        <w:t>42.17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50.03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118.6</w:t>
      </w:r>
      <w:r>
        <w:rPr>
          <w:rFonts w:ascii="Times New Roman" w:hAnsi="Times New Roman" w:eastAsia="仿宋_GB2312" w:cs="Times New Roman"/>
          <w:sz w:val="32"/>
          <w:szCs w:val="32"/>
        </w:rPr>
        <w:t>%，决算数大于年初预算数的主要原因是：</w:t>
      </w:r>
      <w:r>
        <w:rPr>
          <w:rFonts w:hint="eastAsia" w:ascii="仿宋_GB2312" w:hAnsi="仿宋_GB2312" w:eastAsia="仿宋_GB2312" w:cs="仿宋_GB2312"/>
          <w:sz w:val="32"/>
          <w:szCs w:val="32"/>
          <w:u w:val="none"/>
          <w:lang w:eastAsia="zh-CN"/>
        </w:rPr>
        <w:t>年初根据人员数进行测算，上报财政后拨付额度</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eastAsia="zh-CN"/>
        </w:rPr>
        <w:t>因单位人员异动实际支出金额大于预算数</w:t>
      </w:r>
      <w:r>
        <w:rPr>
          <w:rFonts w:hint="eastAsia" w:ascii="仿宋_GB2312" w:hAnsi="仿宋_GB2312" w:eastAsia="仿宋_GB2312" w:cs="仿宋_GB2312"/>
          <w:sz w:val="32"/>
          <w:szCs w:val="32"/>
          <w:u w:val="none"/>
        </w:rPr>
        <w:t>。</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hint="eastAsia" w:ascii="Times New Roman" w:hAnsi="Times New Roman" w:eastAsia="仿宋_GB2312" w:cs="Times New Roman"/>
          <w:b w:val="0"/>
          <w:bCs w:val="0"/>
          <w:i w:val="0"/>
          <w:iCs/>
          <w:sz w:val="32"/>
          <w:szCs w:val="32"/>
          <w:lang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社会保障和就业</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eastAsia="zh-CN"/>
        </w:rPr>
        <w:t>死亡抚恤</w:t>
      </w:r>
      <w:r>
        <w:rPr>
          <w:rFonts w:hint="eastAsia" w:ascii="Times New Roman" w:hAnsi="Times New Roman" w:eastAsia="仿宋_GB2312" w:cs="Times New Roman"/>
          <w:sz w:val="32"/>
          <w:szCs w:val="32"/>
        </w:rPr>
        <w:t>（科目名称），2025年度决算数为</w:t>
      </w:r>
      <w:r>
        <w:rPr>
          <w:rFonts w:hint="eastAsia" w:ascii="Times New Roman" w:hAnsi="Times New Roman" w:eastAsia="仿宋_GB2312" w:cs="Times New Roman"/>
          <w:sz w:val="32"/>
          <w:szCs w:val="32"/>
          <w:lang w:val="en-US" w:eastAsia="zh-CN"/>
        </w:rPr>
        <w:t>1758.94</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20</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发放全市行政事业单位死亡人员的一次性抚恤费和安葬费</w:t>
      </w:r>
      <w:r>
        <w:rPr>
          <w:rFonts w:hint="eastAsia" w:ascii="Times New Roman" w:hAnsi="Times New Roman" w:eastAsia="楷体_GB2312" w:cs="Times New Roman"/>
          <w:b w:val="0"/>
          <w:bCs w:val="0"/>
          <w:i w:val="0"/>
          <w:iCs/>
          <w:color w:val="auto"/>
          <w:sz w:val="32"/>
          <w:szCs w:val="32"/>
          <w:lang w:eastAsia="zh-CN"/>
        </w:rPr>
        <w:t>。</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2349.75</w:t>
      </w:r>
      <w:r>
        <w:rPr>
          <w:rFonts w:ascii="Times New Roman" w:hAnsi="Times New Roman" w:eastAsia="仿宋_GB2312" w:cs="Times New Roman"/>
          <w:sz w:val="32"/>
          <w:szCs w:val="32"/>
        </w:rPr>
        <w:t>万元，其中：</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2080.47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88.5</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、机关事业单位基本养老保险缴费、职业年金缴费、职工医疗保险缴费、其他社会保障缴费、住房公积金、生活补助等。</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269.28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11.5</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水费、电费、邮电费、物业管理费、差旅费、租赁费、会议费、培训费、委托业务费、工会经费、福利费、公务用车运行维护费、其他交通费用、其他商品服务支出等</w:t>
      </w:r>
      <w:r>
        <w:rPr>
          <w:rFonts w:ascii="Times New Roman" w:hAnsi="Times New Roman" w:eastAsia="仿宋_GB2312" w:cs="Times New Roman"/>
          <w:sz w:val="32"/>
          <w:szCs w:val="32"/>
        </w:rPr>
        <w:t>。</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54.27</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lang w:val="en"/>
        </w:rPr>
        <w:t>19.85</w:t>
      </w:r>
      <w:r>
        <w:rPr>
          <w:rFonts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lang w:val="en"/>
        </w:rPr>
        <w:t>3</w:t>
      </w:r>
      <w:r>
        <w:rPr>
          <w:rFonts w:hint="eastAsia" w:ascii="Times New Roman" w:hAnsi="Times New Roman" w:eastAsia="仿宋_GB2312" w:cs="Times New Roman"/>
          <w:sz w:val="32"/>
          <w:szCs w:val="32"/>
          <w:lang w:val="en-US" w:eastAsia="zh-CN"/>
        </w:rPr>
        <w:t>6.6</w:t>
      </w:r>
      <w:r>
        <w:rPr>
          <w:rFonts w:ascii="Times New Roman" w:hAnsi="Times New Roman" w:eastAsia="仿宋_GB2312" w:cs="Times New Roman"/>
          <w:sz w:val="32"/>
          <w:szCs w:val="32"/>
        </w:rPr>
        <w:t>%；与上年相比增加</w:t>
      </w:r>
      <w:r>
        <w:rPr>
          <w:rFonts w:hint="default" w:ascii="Times New Roman" w:hAnsi="Times New Roman" w:eastAsia="仿宋_GB2312" w:cs="Times New Roman"/>
          <w:sz w:val="32"/>
          <w:szCs w:val="32"/>
          <w:lang w:val="en"/>
        </w:rPr>
        <w:t>6.4</w:t>
      </w:r>
      <w:r>
        <w:rPr>
          <w:rFonts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
        </w:rPr>
        <w:t>47.6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深化零基预算改革，认真</w:t>
      </w:r>
      <w:r>
        <w:rPr>
          <w:rFonts w:hint="eastAsia" w:ascii="仿宋_GB2312" w:hAnsi="仿宋_GB2312" w:eastAsia="仿宋_GB2312" w:cs="仿宋_GB2312"/>
          <w:sz w:val="32"/>
          <w:szCs w:val="32"/>
        </w:rPr>
        <w:t>落实厉行节约</w:t>
      </w:r>
      <w:r>
        <w:rPr>
          <w:rFonts w:hint="eastAsia" w:ascii="仿宋_GB2312" w:hAnsi="仿宋_GB2312" w:eastAsia="仿宋_GB2312" w:cs="仿宋_GB2312"/>
          <w:sz w:val="32"/>
          <w:szCs w:val="32"/>
          <w:lang w:eastAsia="zh-CN"/>
        </w:rPr>
        <w:t>和“过紧日子”</w:t>
      </w:r>
      <w:r>
        <w:rPr>
          <w:rFonts w:hint="eastAsia" w:ascii="仿宋_GB2312" w:hAnsi="仿宋_GB2312" w:eastAsia="仿宋_GB2312" w:cs="仿宋_GB2312"/>
          <w:sz w:val="32"/>
          <w:szCs w:val="32"/>
        </w:rPr>
        <w:t>的要求，进一步</w:t>
      </w:r>
      <w:r>
        <w:rPr>
          <w:rFonts w:hint="eastAsia" w:ascii="仿宋_GB2312" w:hAnsi="仿宋_GB2312" w:eastAsia="仿宋_GB2312" w:cs="仿宋_GB2312"/>
          <w:sz w:val="32"/>
          <w:szCs w:val="32"/>
          <w:lang w:eastAsia="zh-CN"/>
        </w:rPr>
        <w:t>控制“三公”经费支出。</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eastAsia="zh-CN"/>
        </w:rPr>
        <w:t>全年各项督查任务增多，公务用车频次增加；公务用车老化，维护保养费用上涨</w:t>
      </w:r>
      <w:r>
        <w:rPr>
          <w:rFonts w:ascii="Times New Roman" w:hAnsi="Times New Roman" w:eastAsia="仿宋_GB2312" w:cs="Times New Roman"/>
          <w:sz w:val="32"/>
          <w:szCs w:val="32"/>
        </w:rPr>
        <w:t>。</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7.22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7.22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7.22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严格按照因公出国（境）经费管理标准执行，坚持厉行节约。</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eastAsia="zh-CN"/>
        </w:rPr>
        <w:t>收到上级临时通知，按规定履行出国（境）及预算追加审批手续，增加因公出国（境）费支出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default" w:ascii="Times New Roman" w:hAnsi="Times New Roman" w:eastAsia="仿宋_GB2312" w:cs="Times New Roman"/>
          <w:sz w:val="32"/>
          <w:szCs w:val="32"/>
          <w:lang w:val="en"/>
        </w:rPr>
        <w:t>1</w:t>
      </w:r>
      <w:r>
        <w:rPr>
          <w:rFonts w:ascii="Times New Roman" w:hAnsi="Times New Roman" w:eastAsia="仿宋_GB2312" w:cs="Times New Roman"/>
          <w:sz w:val="32"/>
          <w:szCs w:val="32"/>
        </w:rPr>
        <w:t>个，累计</w:t>
      </w:r>
      <w:r>
        <w:rPr>
          <w:rFonts w:hint="default" w:ascii="Times New Roman" w:hAnsi="Times New Roman" w:eastAsia="仿宋_GB2312" w:cs="Times New Roman"/>
          <w:sz w:val="32"/>
          <w:szCs w:val="32"/>
          <w:lang w:val="en"/>
        </w:rPr>
        <w:t>1</w:t>
      </w:r>
      <w:r>
        <w:rPr>
          <w:rFonts w:ascii="Times New Roman" w:hAnsi="Times New Roman" w:eastAsia="仿宋_GB2312" w:cs="Times New Roman"/>
          <w:sz w:val="32"/>
          <w:szCs w:val="32"/>
        </w:rPr>
        <w:t>人次</w:t>
      </w:r>
      <w:r>
        <w:rPr>
          <w:rFonts w:ascii="Times New Roman" w:hAnsi="Times New Roman" w:eastAsia="楷体" w:cs="Times New Roman"/>
          <w:b/>
          <w:bCs/>
          <w:i/>
          <w:color w:val="auto"/>
          <w:sz w:val="32"/>
          <w:szCs w:val="32"/>
        </w:rPr>
        <w:t>,</w:t>
      </w:r>
      <w:r>
        <w:rPr>
          <w:rFonts w:ascii="Times New Roman" w:hAnsi="Times New Roman" w:eastAsia="仿宋_GB2312" w:cs="Times New Roman"/>
          <w:sz w:val="32"/>
          <w:szCs w:val="32"/>
        </w:rPr>
        <w:t>主要包括：</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hint="eastAsia" w:ascii="Times New Roman" w:hAnsi="Times New Roman" w:eastAsia="仿宋_GB2312" w:cs="Times New Roman"/>
          <w:sz w:val="32"/>
          <w:szCs w:val="32"/>
          <w:lang w:eastAsia="zh-CN"/>
        </w:rPr>
        <w:t>参加湖南省民政厅统一组织的团组出国考察</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7.22</w:t>
      </w:r>
      <w:r>
        <w:rPr>
          <w:rFonts w:ascii="Times New Roman" w:hAnsi="Times New Roman" w:eastAsia="仿宋_GB2312" w:cs="Times New Roman"/>
          <w:sz w:val="32"/>
          <w:szCs w:val="32"/>
        </w:rPr>
        <w:t>万元，主要用于</w:t>
      </w:r>
      <w:r>
        <w:rPr>
          <w:rFonts w:hint="eastAsia" w:ascii="Times New Roman" w:hAnsi="Times New Roman" w:eastAsia="仿宋_GB2312" w:cs="Times New Roman"/>
          <w:sz w:val="32"/>
          <w:szCs w:val="32"/>
          <w:lang w:eastAsia="zh-CN"/>
        </w:rPr>
        <w:t>考察国外在社会救助、养老服务、儿童福利、公益慈善、社会事务管理等领域的体系建设和创新服务经验，推进我省民政事业高质量发展。</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45.31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12.25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27</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1.55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14.5</w:t>
      </w:r>
      <w:r>
        <w:rPr>
          <w:rFonts w:ascii="Times New Roman" w:hAnsi="Times New Roman" w:eastAsia="仿宋_GB2312" w:cs="Times New Roman"/>
          <w:sz w:val="32"/>
          <w:szCs w:val="32"/>
        </w:rPr>
        <w:t>%。其中：</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。决算数小于预算数的主要原因是</w:t>
      </w:r>
      <w:r>
        <w:rPr>
          <w:rFonts w:hint="eastAsia" w:ascii="仿宋_GB2312" w:hAnsi="仿宋_GB2312" w:eastAsia="仿宋_GB2312" w:cs="仿宋_GB2312"/>
          <w:color w:val="000000"/>
          <w:sz w:val="32"/>
          <w:szCs w:val="32"/>
          <w:lang w:eastAsia="zh-CN"/>
        </w:rPr>
        <w:t>年初安排公务用车购置计划，通过年中综合研判后，推迟车辆购置计划，本年度未实施采购。</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的主要原因是</w:t>
      </w:r>
      <w:r>
        <w:rPr>
          <w:rFonts w:hint="eastAsia" w:ascii="仿宋_GB2312" w:hAnsi="仿宋_GB2312" w:eastAsia="仿宋_GB2312" w:cs="仿宋_GB2312"/>
          <w:color w:val="000000"/>
          <w:sz w:val="32"/>
          <w:szCs w:val="32"/>
        </w:rPr>
        <w:t>本年度未</w:t>
      </w:r>
      <w:r>
        <w:rPr>
          <w:rFonts w:hint="eastAsia" w:ascii="仿宋_GB2312" w:hAnsi="仿宋_GB2312" w:eastAsia="仿宋_GB2312" w:cs="仿宋_GB2312"/>
          <w:color w:val="000000"/>
          <w:sz w:val="32"/>
          <w:szCs w:val="32"/>
          <w:lang w:eastAsia="zh-CN"/>
        </w:rPr>
        <w:t>实施采购公务用车</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怀化市民政局</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45.31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12.25</w:t>
      </w:r>
      <w:r>
        <w:rPr>
          <w:rFonts w:ascii="Times New Roman" w:hAnsi="Times New Roman" w:eastAsia="仿宋_GB2312" w:cs="Times New Roman"/>
          <w:sz w:val="32"/>
          <w:szCs w:val="32"/>
        </w:rPr>
        <w:t>万元，</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车辆燃油费、车辆维修费等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27</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1.55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14.5</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深化零基预算改革，认真</w:t>
      </w:r>
      <w:r>
        <w:rPr>
          <w:rFonts w:hint="eastAsia" w:ascii="仿宋_GB2312" w:hAnsi="仿宋_GB2312" w:eastAsia="仿宋_GB2312" w:cs="仿宋_GB2312"/>
          <w:sz w:val="32"/>
          <w:szCs w:val="32"/>
        </w:rPr>
        <w:t>落实厉行节约</w:t>
      </w:r>
      <w:r>
        <w:rPr>
          <w:rFonts w:hint="eastAsia" w:ascii="仿宋_GB2312" w:hAnsi="仿宋_GB2312" w:eastAsia="仿宋_GB2312" w:cs="仿宋_GB2312"/>
          <w:sz w:val="32"/>
          <w:szCs w:val="32"/>
          <w:lang w:eastAsia="zh-CN"/>
        </w:rPr>
        <w:t>和“过紧日子”</w:t>
      </w:r>
      <w:r>
        <w:rPr>
          <w:rFonts w:hint="eastAsia" w:ascii="仿宋_GB2312" w:hAnsi="仿宋_GB2312" w:eastAsia="仿宋_GB2312" w:cs="仿宋_GB2312"/>
          <w:sz w:val="32"/>
          <w:szCs w:val="32"/>
        </w:rPr>
        <w:t>的要求，进一步</w:t>
      </w:r>
      <w:r>
        <w:rPr>
          <w:rFonts w:hint="eastAsia" w:ascii="仿宋_GB2312" w:hAnsi="仿宋_GB2312" w:eastAsia="仿宋_GB2312" w:cs="仿宋_GB2312"/>
          <w:sz w:val="32"/>
          <w:szCs w:val="32"/>
          <w:lang w:eastAsia="zh-CN"/>
        </w:rPr>
        <w:t>控制公务用车运行维护费支出。</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eastAsia="zh-CN"/>
        </w:rPr>
        <w:t>全年各项督查任务增多，公务用车频次增加；公务用车老化，维护保养费用上涨</w:t>
      </w:r>
      <w:r>
        <w:rPr>
          <w:rFonts w:ascii="Times New Roman" w:hAnsi="Times New Roman" w:eastAsia="仿宋_GB2312" w:cs="Times New Roman"/>
          <w:sz w:val="32"/>
          <w:szCs w:val="32"/>
        </w:rPr>
        <w:t>。</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辆。</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1.74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0.39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22.4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2.36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85.8</w:t>
      </w:r>
      <w:r>
        <w:rPr>
          <w:rFonts w:ascii="Times New Roman" w:hAnsi="Times New Roman" w:eastAsia="仿宋_GB2312" w:cs="Times New Roman"/>
          <w:sz w:val="32"/>
          <w:szCs w:val="32"/>
        </w:rPr>
        <w:t>%。决算数小于预算数的主要原因是</w:t>
      </w:r>
      <w:r>
        <w:rPr>
          <w:rFonts w:hint="eastAsia" w:ascii="仿宋_GB2312" w:hAnsi="仿宋_GB2312" w:eastAsia="仿宋_GB2312" w:cs="仿宋_GB2312"/>
          <w:sz w:val="32"/>
          <w:szCs w:val="32"/>
        </w:rPr>
        <w:t>认真落实中央八项规定和厉行节约的各项要求，进一步从严控制</w:t>
      </w:r>
      <w:r>
        <w:rPr>
          <w:rFonts w:hint="eastAsia" w:ascii="仿宋_GB2312" w:hAnsi="仿宋_GB2312" w:eastAsia="仿宋_GB2312" w:cs="仿宋_GB2312"/>
          <w:sz w:val="32"/>
          <w:szCs w:val="32"/>
          <w:lang w:eastAsia="zh-CN"/>
        </w:rPr>
        <w:t>公务接待</w:t>
      </w:r>
      <w:r>
        <w:rPr>
          <w:rFonts w:hint="eastAsia" w:ascii="仿宋_GB2312" w:hAnsi="仿宋_GB2312" w:eastAsia="仿宋_GB2312" w:cs="仿宋_GB2312"/>
          <w:sz w:val="32"/>
          <w:szCs w:val="32"/>
        </w:rPr>
        <w:t>费开支</w:t>
      </w:r>
      <w:r>
        <w:rPr>
          <w:rFonts w:ascii="Times New Roman" w:hAnsi="Times New Roman" w:eastAsia="仿宋_GB2312" w:cs="Times New Roman"/>
          <w:sz w:val="32"/>
          <w:szCs w:val="32"/>
        </w:rPr>
        <w:t>。决算数小于上年数的主要原因是</w:t>
      </w:r>
      <w:r>
        <w:rPr>
          <w:rFonts w:hint="eastAsia" w:ascii="仿宋_GB2312" w:hAnsi="仿宋_GB2312" w:eastAsia="仿宋_GB2312" w:cs="仿宋_GB2312"/>
          <w:sz w:val="32"/>
          <w:szCs w:val="32"/>
        </w:rPr>
        <w:t>认真落实中央八项规定和厉行节约的各项要求，进一步从严控制</w:t>
      </w:r>
      <w:r>
        <w:rPr>
          <w:rFonts w:hint="eastAsia" w:ascii="仿宋_GB2312" w:hAnsi="仿宋_GB2312" w:eastAsia="仿宋_GB2312" w:cs="仿宋_GB2312"/>
          <w:sz w:val="32"/>
          <w:szCs w:val="32"/>
          <w:lang w:eastAsia="zh-CN"/>
        </w:rPr>
        <w:t>公务接待</w:t>
      </w:r>
      <w:r>
        <w:rPr>
          <w:rFonts w:hint="eastAsia" w:ascii="仿宋_GB2312" w:hAnsi="仿宋_GB2312" w:eastAsia="仿宋_GB2312" w:cs="仿宋_GB2312"/>
          <w:sz w:val="32"/>
          <w:szCs w:val="32"/>
        </w:rPr>
        <w:t>费开支</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56</w:t>
      </w:r>
      <w:r>
        <w:rPr>
          <w:rFonts w:ascii="Times New Roman" w:hAnsi="Times New Roman" w:eastAsia="仿宋_GB2312" w:cs="Times New Roman"/>
          <w:sz w:val="32"/>
          <w:szCs w:val="32"/>
        </w:rPr>
        <w:t>人次，主要是</w:t>
      </w:r>
      <w:r>
        <w:rPr>
          <w:rFonts w:hint="eastAsia" w:ascii="仿宋_GB2312" w:hAnsi="仿宋_GB2312" w:eastAsia="仿宋_GB2312" w:cs="仿宋_GB2312"/>
          <w:sz w:val="32"/>
          <w:szCs w:val="32"/>
        </w:rPr>
        <w:t>上级部门调研、</w:t>
      </w:r>
      <w:r>
        <w:rPr>
          <w:rFonts w:hint="eastAsia" w:ascii="仿宋_GB2312" w:hAnsi="仿宋_GB2312" w:eastAsia="仿宋_GB2312" w:cs="仿宋_GB2312"/>
          <w:sz w:val="32"/>
          <w:szCs w:val="32"/>
          <w:lang w:eastAsia="zh-CN"/>
        </w:rPr>
        <w:t>督查等</w:t>
      </w:r>
      <w:r>
        <w:rPr>
          <w:rFonts w:hint="eastAsia" w:ascii="仿宋_GB2312" w:hAnsi="仿宋_GB2312" w:eastAsia="仿宋_GB2312" w:cs="仿宋_GB2312"/>
          <w:sz w:val="32"/>
          <w:szCs w:val="32"/>
        </w:rPr>
        <w:t>工作发生的接待支出</w:t>
      </w:r>
      <w:r>
        <w:rPr>
          <w:rFonts w:ascii="Times New Roman" w:hAnsi="Times New Roman" w:eastAsia="仿宋_GB2312" w:cs="Times New Roman"/>
          <w:sz w:val="32"/>
          <w:szCs w:val="32"/>
        </w:rPr>
        <w:t>。</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2830.93</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2830.93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2830.93</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资源勘探工业信息等</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超长期特别国债安排</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制造业</w:t>
      </w:r>
      <w:r>
        <w:rPr>
          <w:rFonts w:ascii="Times New Roman" w:hAnsi="Times New Roman" w:eastAsia="仿宋_GB2312" w:cs="Times New Roman"/>
          <w:sz w:val="32"/>
          <w:szCs w:val="32"/>
        </w:rPr>
        <w:t>（项）。</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仿宋_GB2312" w:hAnsi="仿宋_GB2312" w:eastAsia="仿宋_GB2312" w:cs="仿宋_GB2312"/>
          <w:sz w:val="32"/>
          <w:szCs w:val="32"/>
        </w:rPr>
        <w:t>此项为中央省级下拨资金，未列入市本级年初预算。</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其他</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其他政府性基金及对应专项债务收入安排</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其他地方自行试点项目收益专项债券收入安排</w:t>
      </w:r>
      <w:r>
        <w:rPr>
          <w:rFonts w:ascii="Times New Roman" w:hAnsi="Times New Roman" w:eastAsia="仿宋_GB2312" w:cs="Times New Roman"/>
          <w:sz w:val="32"/>
          <w:szCs w:val="32"/>
        </w:rPr>
        <w:t>（项）。</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2066.87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仿宋_GB2312" w:hAnsi="仿宋_GB2312" w:eastAsia="仿宋_GB2312" w:cs="仿宋_GB2312"/>
          <w:sz w:val="32"/>
          <w:szCs w:val="32"/>
        </w:rPr>
        <w:t>此项为中央省级下拨资金，未列入市本级年初预算。</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其他</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彩票公益金安排</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用于社会福利的彩票公益金</w:t>
      </w:r>
      <w:r>
        <w:rPr>
          <w:rFonts w:ascii="Times New Roman" w:hAnsi="Times New Roman" w:eastAsia="仿宋_GB2312" w:cs="Times New Roman"/>
          <w:sz w:val="32"/>
          <w:szCs w:val="32"/>
        </w:rPr>
        <w:t>（项）。</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714.06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仿宋_GB2312" w:hAnsi="仿宋_GB2312" w:eastAsia="仿宋_GB2312" w:cs="仿宋_GB2312"/>
          <w:sz w:val="32"/>
          <w:szCs w:val="32"/>
        </w:rPr>
        <w:t>此项为中央省级下拨资金，未列入市本级年初预算。</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hint="eastAsia" w:ascii="Times New Roman" w:hAnsi="Times New Roman" w:cs="Times New Roman"/>
          <w:bCs/>
          <w:sz w:val="32"/>
          <w:szCs w:val="32"/>
          <w:lang w:eastAsia="zh-CN"/>
        </w:rPr>
      </w:pPr>
      <w:r>
        <w:rPr>
          <w:rFonts w:hint="eastAsia" w:ascii="Times New Roman" w:hAnsi="Times New Roman" w:cs="Times New Roman"/>
          <w:bCs/>
          <w:sz w:val="32"/>
          <w:szCs w:val="32"/>
          <w:lang w:eastAsia="zh-CN"/>
        </w:rPr>
        <w:t>九、国有资本经营预算收入支出决算情况</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cs="Times New Roman"/>
          <w:bCs/>
          <w:sz w:val="32"/>
          <w:szCs w:val="32"/>
        </w:rPr>
      </w:pPr>
      <w:r>
        <w:rPr>
          <w:rFonts w:hint="eastAsia" w:ascii="Times New Roman" w:hAnsi="Times New Roman" w:eastAsia="仿宋_GB2312"/>
          <w:b w:val="0"/>
          <w:bCs/>
          <w:sz w:val="32"/>
          <w:szCs w:val="32"/>
          <w:lang w:eastAsia="zh-CN"/>
        </w:rPr>
        <w:t>本单位无国有资本经营预算财政拨款收入支出。</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258.98</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，比上年决算数减少</w:t>
      </w:r>
      <w:r>
        <w:rPr>
          <w:rFonts w:hint="eastAsia" w:ascii="Times New Roman" w:hAnsi="Times New Roman" w:eastAsia="仿宋_GB2312" w:cs="Times New Roman"/>
          <w:sz w:val="32"/>
          <w:szCs w:val="32"/>
          <w:lang w:val="en-US" w:eastAsia="zh-CN"/>
        </w:rPr>
        <w:t>38.7</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sz w:val="32"/>
          <w:szCs w:val="32"/>
          <w:lang w:eastAsia="zh-CN"/>
        </w:rPr>
        <w:t>行政运行</w:t>
      </w:r>
      <w:r>
        <w:rPr>
          <w:rFonts w:hint="eastAsia" w:ascii="Times New Roman" w:hAnsi="Times New Roman" w:eastAsia="仿宋_GB2312" w:cs="Times New Roman"/>
          <w:sz w:val="32"/>
          <w:szCs w:val="32"/>
        </w:rPr>
        <w:t>支出</w:t>
      </w:r>
      <w:r>
        <w:rPr>
          <w:rFonts w:ascii="Times New Roman" w:hAnsi="Times New Roman" w:eastAsia="楷体_GB2312" w:cs="Times New Roman"/>
          <w:b/>
          <w:bCs/>
          <w:i/>
          <w:color w:val="auto"/>
          <w:sz w:val="32"/>
          <w:szCs w:val="32"/>
        </w:rPr>
        <w:t>（具体增减原因由部门根据实际情况填列，</w:t>
      </w:r>
      <w:r>
        <w:rPr>
          <w:rFonts w:hint="eastAsia" w:ascii="Times New Roman" w:hAnsi="Times New Roman" w:eastAsia="楷体_GB2312" w:cs="Times New Roman"/>
          <w:b/>
          <w:bCs/>
          <w:i/>
          <w:color w:val="auto"/>
          <w:sz w:val="32"/>
          <w:szCs w:val="32"/>
        </w:rPr>
        <w:t>机关运行经费支出应与部门决算中行政单位和参照公务员法管理事业单位财政拨款基本支出中公用经费之和一致，并在专业名词解释中说明支出口径</w:t>
      </w:r>
      <w:r>
        <w:rPr>
          <w:rFonts w:ascii="Times New Roman" w:hAnsi="Times New Roman" w:eastAsia="楷体_GB2312" w:cs="Times New Roman"/>
          <w:b/>
          <w:bCs/>
          <w:i/>
          <w:color w:val="auto"/>
          <w:sz w:val="32"/>
          <w:szCs w:val="32"/>
        </w:rPr>
        <w:t>）</w:t>
      </w:r>
      <w:r>
        <w:rPr>
          <w:rFonts w:ascii="Times New Roman" w:hAnsi="Times New Roman" w:eastAsia="仿宋_GB2312" w:cs="Times New Roman"/>
          <w:sz w:val="32"/>
          <w:szCs w:val="32"/>
        </w:rPr>
        <w:t>。</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一</w:t>
      </w:r>
      <w:r>
        <w:rPr>
          <w:rFonts w:ascii="Times New Roman" w:hAnsi="Times New Roman" w:cs="Times New Roman"/>
          <w:bCs/>
          <w:color w:val="auto"/>
          <w:sz w:val="32"/>
          <w:szCs w:val="32"/>
        </w:rPr>
        <w:t>、一般性支出情况说明</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1.77</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2025年度</w:t>
      </w:r>
      <w:r>
        <w:rPr>
          <w:rFonts w:hint="eastAsia" w:ascii="Times New Roman" w:hAnsi="Times New Roman" w:eastAsia="仿宋_GB2312" w:cs="Times New Roman"/>
          <w:sz w:val="32"/>
          <w:szCs w:val="32"/>
          <w:lang w:eastAsia="zh-CN"/>
        </w:rPr>
        <w:t>全市民政工作</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57</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总结</w:t>
      </w:r>
      <w:r>
        <w:rPr>
          <w:rFonts w:hint="eastAsia" w:ascii="Times New Roman" w:hAnsi="Times New Roman" w:eastAsia="仿宋_GB2312" w:cs="Times New Roman"/>
          <w:sz w:val="32"/>
          <w:szCs w:val="32"/>
          <w:lang w:val="en-US" w:eastAsia="zh-CN"/>
        </w:rPr>
        <w:t>2024年全市民政工作，部署2025年度民政工作任务，党风廉政建设方面工作</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0.25</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事业单位工作人员</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怀化市社会福利院</w:t>
      </w:r>
      <w:r>
        <w:rPr>
          <w:rFonts w:hint="eastAsia" w:ascii="Times New Roman" w:hAnsi="Times New Roman" w:eastAsia="仿宋_GB2312" w:cs="Times New Roman"/>
          <w:sz w:val="32"/>
          <w:szCs w:val="32"/>
          <w:lang w:val="en-US" w:eastAsia="zh-CN"/>
        </w:rPr>
        <w:t>2025年度在职人员继续教育培训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未</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1427</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238.4</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521.6</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667</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773.9</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54.2</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721.6</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93.2</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80.3</w:t>
      </w:r>
      <w:r>
        <w:rPr>
          <w:rFonts w:ascii="Times New Roman" w:hAnsi="Times New Roman" w:eastAsia="仿宋_GB2312" w:cs="Times New Roman"/>
          <w:color w:val="auto"/>
          <w:sz w:val="32"/>
          <w:szCs w:val="32"/>
        </w:rPr>
        <w:t>%。</w:t>
      </w:r>
      <w:r>
        <w:rPr>
          <w:rFonts w:ascii="Times New Roman" w:hAnsi="Times New Roman" w:eastAsia="楷体_GB2312" w:cs="Times New Roman"/>
          <w:b/>
          <w:bCs/>
          <w:i/>
          <w:color w:val="auto"/>
          <w:sz w:val="32"/>
          <w:szCs w:val="32"/>
        </w:rPr>
        <w:t>（政府采购金额的计算口径为：本部门纳入202</w:t>
      </w:r>
      <w:r>
        <w:rPr>
          <w:rFonts w:hint="eastAsia" w:ascii="Times New Roman" w:hAnsi="Times New Roman" w:eastAsia="楷体_GB2312" w:cs="Times New Roman"/>
          <w:b/>
          <w:bCs/>
          <w:i/>
          <w:color w:val="auto"/>
          <w:sz w:val="32"/>
          <w:szCs w:val="32"/>
          <w:lang w:val="en-US" w:eastAsia="zh-CN"/>
        </w:rPr>
        <w:t>5</w:t>
      </w:r>
      <w:r>
        <w:rPr>
          <w:rFonts w:ascii="Times New Roman" w:hAnsi="Times New Roman" w:eastAsia="楷体_GB2312" w:cs="Times New Roman"/>
          <w:b/>
          <w:bCs/>
          <w:i/>
          <w:color w:val="auto"/>
          <w:sz w:val="32"/>
          <w:szCs w:val="32"/>
        </w:rPr>
        <w:t>年度部门预算范围的各项政府采购支出金额之和，不包括涉密采购项目的支出金额）</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8</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8</w:t>
      </w:r>
      <w:r>
        <w:rPr>
          <w:rFonts w:ascii="Times New Roman" w:hAnsi="Times New Roman" w:eastAsia="仿宋_GB2312" w:cs="Times New Roman"/>
          <w:color w:val="auto"/>
          <w:sz w:val="32"/>
          <w:szCs w:val="32"/>
        </w:rPr>
        <w:t>辆，其他用车主要是</w:t>
      </w:r>
      <w:r>
        <w:rPr>
          <w:rFonts w:hint="eastAsia" w:ascii="仿宋_GB2312" w:hAnsi="仿宋_GB2312" w:eastAsia="仿宋_GB2312" w:cs="仿宋_GB2312"/>
          <w:sz w:val="32"/>
          <w:szCs w:val="32"/>
        </w:rPr>
        <w:t>流浪乞讨救助专用车及殡葬服务用车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5"/>
        <w:keepNext w:val="0"/>
        <w:keepLines w:val="0"/>
        <w:pageBreakBefore w:val="0"/>
        <w:kinsoku/>
        <w:wordWrap/>
        <w:overflowPunct w:val="0"/>
        <w:topLinePunct w:val="0"/>
        <w:autoSpaceDE/>
        <w:autoSpaceDN/>
        <w:bidi w:val="0"/>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keepNext w:val="0"/>
        <w:keepLines w:val="0"/>
        <w:pageBreakBefore w:val="0"/>
        <w:kinsoku/>
        <w:wordWrap/>
        <w:overflowPunct w:val="0"/>
        <w:topLinePunct w:val="0"/>
        <w:bidi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lang w:val="en-US" w:eastAsia="zh-CN"/>
        </w:rPr>
        <w:t>1</w:t>
      </w:r>
      <w:r>
        <w:rPr>
          <w:rFonts w:hint="default" w:ascii="Times New Roman" w:hAnsi="Times New Roman" w:eastAsia="仿宋_GB2312" w:cs="Times New Roman"/>
          <w:kern w:val="0"/>
          <w:sz w:val="32"/>
          <w:szCs w:val="32"/>
          <w:lang w:val="en" w:eastAsia="zh-CN"/>
        </w:rPr>
        <w:t>2</w:t>
      </w:r>
      <w:r>
        <w:rPr>
          <w:rFonts w:ascii="Times New Roman" w:hAnsi="Times New Roman" w:eastAsia="仿宋_GB2312" w:cs="Times New Roman"/>
          <w:kern w:val="0"/>
          <w:sz w:val="32"/>
          <w:szCs w:val="32"/>
        </w:rPr>
        <w:t>个，共涉及资金</w:t>
      </w:r>
      <w:r>
        <w:rPr>
          <w:rFonts w:hint="default" w:ascii="Times New Roman" w:hAnsi="Times New Roman" w:eastAsia="仿宋_GB2312" w:cs="Times New Roman"/>
          <w:kern w:val="0"/>
          <w:sz w:val="32"/>
          <w:szCs w:val="32"/>
          <w:lang w:val="en" w:eastAsia="zh-CN"/>
        </w:rPr>
        <w:t>1388.57</w:t>
      </w:r>
      <w:r>
        <w:rPr>
          <w:rFonts w:ascii="Times New Roman" w:hAnsi="Times New Roman" w:eastAsia="仿宋_GB2312" w:cs="Times New Roman"/>
          <w:kern w:val="0"/>
          <w:sz w:val="32"/>
          <w:szCs w:val="32"/>
        </w:rPr>
        <w:t>万元。其中，一般公共预算项目</w:t>
      </w:r>
      <w:r>
        <w:rPr>
          <w:rFonts w:hint="default" w:ascii="Times New Roman" w:hAnsi="Times New Roman" w:eastAsia="仿宋_GB2312" w:cs="Times New Roman"/>
          <w:kern w:val="0"/>
          <w:sz w:val="32"/>
          <w:szCs w:val="32"/>
          <w:lang w:val="en"/>
        </w:rPr>
        <w:t>10</w:t>
      </w:r>
      <w:r>
        <w:rPr>
          <w:rFonts w:ascii="Times New Roman" w:hAnsi="Times New Roman" w:eastAsia="仿宋_GB2312" w:cs="Times New Roman"/>
          <w:kern w:val="0"/>
          <w:sz w:val="32"/>
          <w:szCs w:val="32"/>
        </w:rPr>
        <w:t>个</w:t>
      </w:r>
      <w:r>
        <w:rPr>
          <w:rFonts w:hint="default" w:ascii="Times New Roman" w:hAnsi="Times New Roman" w:eastAsia="仿宋_GB2312" w:cs="Times New Roman"/>
          <w:kern w:val="0"/>
          <w:sz w:val="32"/>
          <w:szCs w:val="32"/>
          <w:lang w:val="en"/>
        </w:rPr>
        <w:t>1295.54</w:t>
      </w:r>
      <w:r>
        <w:rPr>
          <w:rFonts w:ascii="Times New Roman" w:hAnsi="Times New Roman" w:eastAsia="仿宋_GB2312" w:cs="Times New Roman"/>
          <w:kern w:val="0"/>
          <w:sz w:val="32"/>
          <w:szCs w:val="32"/>
        </w:rPr>
        <w:t>万元，占一般公共预算支出总额的</w:t>
      </w:r>
      <w:r>
        <w:rPr>
          <w:rFonts w:hint="default" w:ascii="Times New Roman" w:hAnsi="Times New Roman" w:eastAsia="仿宋_GB2312" w:cs="Times New Roman"/>
          <w:kern w:val="0"/>
          <w:sz w:val="32"/>
          <w:szCs w:val="32"/>
          <w:lang w:val="en"/>
        </w:rPr>
        <w:t>21.3</w:t>
      </w:r>
      <w:r>
        <w:rPr>
          <w:rFonts w:ascii="Times New Roman" w:hAnsi="Times New Roman" w:eastAsia="仿宋_GB2312" w:cs="Times New Roman"/>
          <w:kern w:val="0"/>
          <w:sz w:val="32"/>
          <w:szCs w:val="32"/>
        </w:rPr>
        <w:t>%；政府性基金预算项目</w:t>
      </w:r>
      <w:r>
        <w:rPr>
          <w:rFonts w:hint="default" w:ascii="Times New Roman" w:hAnsi="Times New Roman" w:eastAsia="仿宋_GB2312" w:cs="Times New Roman"/>
          <w:kern w:val="0"/>
          <w:sz w:val="32"/>
          <w:szCs w:val="32"/>
          <w:lang w:val="en"/>
        </w:rPr>
        <w:t>2</w:t>
      </w:r>
      <w:r>
        <w:rPr>
          <w:rFonts w:ascii="Times New Roman" w:hAnsi="Times New Roman" w:eastAsia="仿宋_GB2312" w:cs="Times New Roman"/>
          <w:kern w:val="0"/>
          <w:sz w:val="32"/>
          <w:szCs w:val="32"/>
        </w:rPr>
        <w:t>个</w:t>
      </w:r>
      <w:r>
        <w:rPr>
          <w:rFonts w:hint="default" w:ascii="Times New Roman" w:hAnsi="Times New Roman" w:eastAsia="仿宋_GB2312" w:cs="Times New Roman"/>
          <w:kern w:val="0"/>
          <w:sz w:val="32"/>
          <w:szCs w:val="32"/>
          <w:lang w:val="en" w:eastAsia="zh-CN"/>
        </w:rPr>
        <w:t>93.03</w:t>
      </w:r>
      <w:r>
        <w:rPr>
          <w:rFonts w:ascii="Times New Roman" w:hAnsi="Times New Roman" w:eastAsia="仿宋_GB2312" w:cs="Times New Roman"/>
          <w:kern w:val="0"/>
          <w:sz w:val="32"/>
          <w:szCs w:val="32"/>
        </w:rPr>
        <w:t>万元，占政府性基金预算支出总额的</w:t>
      </w:r>
      <w:r>
        <w:rPr>
          <w:rFonts w:hint="default" w:ascii="Times New Roman" w:hAnsi="Times New Roman" w:eastAsia="仿宋_GB2312" w:cs="Times New Roman"/>
          <w:kern w:val="0"/>
          <w:sz w:val="32"/>
          <w:szCs w:val="32"/>
          <w:lang w:val="en"/>
        </w:rPr>
        <w:t>3.3</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eastAsia="zh-CN"/>
        </w:rPr>
        <w:t>“迎新春送温暖”慰问、</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eastAsia="zh-CN"/>
        </w:rPr>
        <w:t>救助大楼消防设施提质改造</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kern w:val="0"/>
          <w:sz w:val="32"/>
          <w:szCs w:val="32"/>
        </w:rPr>
        <w:t>个项目开展了部门评价，涉及一般公共预算支出</w:t>
      </w:r>
      <w:r>
        <w:rPr>
          <w:rFonts w:hint="default" w:ascii="Times New Roman" w:hAnsi="Times New Roman" w:eastAsia="仿宋_GB2312" w:cs="Times New Roman"/>
          <w:sz w:val="32"/>
          <w:szCs w:val="32"/>
          <w:lang w:val="en"/>
        </w:rPr>
        <w:t>961.74</w:t>
      </w:r>
      <w:r>
        <w:rPr>
          <w:rFonts w:ascii="Times New Roman" w:hAnsi="Times New Roman" w:eastAsia="仿宋_GB2312" w:cs="Times New Roman"/>
          <w:kern w:val="0"/>
          <w:sz w:val="32"/>
          <w:szCs w:val="32"/>
        </w:rPr>
        <w:t>万元，政府性基金预算支出</w:t>
      </w:r>
      <w:r>
        <w:rPr>
          <w:rFonts w:hint="default" w:ascii="Times New Roman" w:hAnsi="Times New Roman" w:eastAsia="仿宋_GB2312" w:cs="Times New Roman"/>
          <w:sz w:val="32"/>
          <w:szCs w:val="32"/>
          <w:lang w:val="en"/>
        </w:rPr>
        <w:t>92.95</w:t>
      </w:r>
      <w:r>
        <w:rPr>
          <w:rFonts w:ascii="Times New Roman" w:hAnsi="Times New Roman" w:eastAsia="仿宋_GB2312" w:cs="Times New Roman"/>
          <w:kern w:val="0"/>
          <w:sz w:val="32"/>
          <w:szCs w:val="32"/>
        </w:rPr>
        <w:t>万元，国有资本经营预算支出</w:t>
      </w:r>
      <w:r>
        <w:rPr>
          <w:rFonts w:hint="default" w:ascii="Times New Roman" w:hAnsi="Times New Roman" w:eastAsia="仿宋_GB2312" w:cs="Times New Roman"/>
          <w:sz w:val="32"/>
          <w:szCs w:val="32"/>
          <w:lang w:val="en"/>
        </w:rPr>
        <w:t>0</w:t>
      </w:r>
      <w:r>
        <w:rPr>
          <w:rFonts w:ascii="Times New Roman" w:hAnsi="Times New Roman" w:eastAsia="仿宋_GB2312" w:cs="Times New Roman"/>
          <w:kern w:val="0"/>
          <w:sz w:val="32"/>
          <w:szCs w:val="32"/>
        </w:rPr>
        <w:t>万元，社会保险基金预算支出</w:t>
      </w:r>
      <w:r>
        <w:rPr>
          <w:rFonts w:hint="default" w:ascii="Times New Roman" w:hAnsi="Times New Roman" w:eastAsia="仿宋_GB2312" w:cs="Times New Roman"/>
          <w:sz w:val="32"/>
          <w:szCs w:val="32"/>
          <w:lang w:val="e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default" w:ascii="Times New Roman" w:hAnsi="Times New Roman" w:eastAsia="仿宋_GB2312" w:cs="Times New Roman"/>
          <w:sz w:val="32"/>
          <w:szCs w:val="32"/>
          <w:lang w:val="en"/>
        </w:rPr>
        <w:t>0</w:t>
      </w:r>
      <w:r>
        <w:rPr>
          <w:rFonts w:ascii="Times New Roman" w:hAnsi="Times New Roman" w:eastAsia="仿宋_GB2312" w:cs="Times New Roman"/>
          <w:kern w:val="0"/>
          <w:sz w:val="32"/>
          <w:szCs w:val="32"/>
        </w:rPr>
        <w:t>个新增重大政策和</w:t>
      </w:r>
      <w:r>
        <w:rPr>
          <w:rFonts w:hint="default" w:ascii="Times New Roman" w:hAnsi="Times New Roman" w:eastAsia="仿宋_GB2312" w:cs="Times New Roman"/>
          <w:sz w:val="32"/>
          <w:szCs w:val="32"/>
          <w:lang w:val="en"/>
        </w:rPr>
        <w:t>0</w:t>
      </w:r>
      <w:r>
        <w:rPr>
          <w:rFonts w:ascii="Times New Roman" w:hAnsi="Times New Roman" w:eastAsia="仿宋_GB2312" w:cs="Times New Roman"/>
          <w:kern w:val="0"/>
          <w:sz w:val="32"/>
          <w:szCs w:val="32"/>
        </w:rPr>
        <w:t>个重大项目开展事前绩效评估，共涉及资金</w:t>
      </w:r>
      <w:r>
        <w:rPr>
          <w:rFonts w:hint="default" w:ascii="Times New Roman" w:hAnsi="Times New Roman" w:eastAsia="仿宋_GB2312" w:cs="Times New Roman"/>
          <w:kern w:val="0"/>
          <w:sz w:val="32"/>
          <w:szCs w:val="32"/>
          <w:lang w:val="en"/>
        </w:rPr>
        <w:t>0</w:t>
      </w:r>
      <w:r>
        <w:rPr>
          <w:rFonts w:ascii="Times New Roman" w:hAnsi="Times New Roman" w:eastAsia="仿宋_GB2312" w:cs="Times New Roman"/>
          <w:kern w:val="0"/>
          <w:sz w:val="32"/>
          <w:szCs w:val="32"/>
        </w:rPr>
        <w:t>万元。</w:t>
      </w:r>
    </w:p>
    <w:p>
      <w:pPr>
        <w:keepNext w:val="0"/>
        <w:keepLines w:val="0"/>
        <w:pageBreakBefore w:val="0"/>
        <w:kinsoku/>
        <w:wordWrap/>
        <w:overflowPunct/>
        <w:topLinePunct w:val="0"/>
        <w:autoSpaceDE/>
        <w:autoSpaceDN/>
        <w:bidi w:val="0"/>
        <w:adjustRightInd/>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pPr>
        <w:keepNext w:val="0"/>
        <w:keepLines w:val="0"/>
        <w:pageBreakBefore w:val="0"/>
        <w:kinsoku/>
        <w:wordWrap/>
        <w:overflowPunct/>
        <w:topLinePunct w:val="0"/>
        <w:autoSpaceDE/>
        <w:autoSpaceDN/>
        <w:bidi w:val="0"/>
        <w:adjustRightInd/>
        <w:spacing w:line="600" w:lineRule="exact"/>
        <w:ind w:firstLine="640" w:firstLineChars="200"/>
        <w:rPr>
          <w:rFonts w:hint="default" w:ascii="Times New Roman" w:hAnsi="Times New Roman" w:eastAsia="方正仿宋_GBK" w:cs="Times New Roman"/>
          <w:color w:val="000000"/>
          <w:spacing w:val="0"/>
          <w:sz w:val="32"/>
          <w:szCs w:val="32"/>
          <w:lang w:val="en-US" w:eastAsia="zh-CN"/>
        </w:rPr>
      </w:pP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13253.3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9577.26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72.3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97.2</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kern w:val="0"/>
          <w:sz w:val="32"/>
          <w:szCs w:val="32"/>
        </w:rPr>
        <w:t>社会救助</w:t>
      </w:r>
      <w:r>
        <w:rPr>
          <w:rFonts w:hint="eastAsia" w:ascii="Times New Roman" w:hAnsi="Times New Roman" w:eastAsia="仿宋_GB2312" w:cs="Times New Roman"/>
          <w:kern w:val="0"/>
          <w:sz w:val="32"/>
          <w:szCs w:val="32"/>
          <w:lang w:val="en-US" w:eastAsia="zh-CN"/>
        </w:rPr>
        <w:t>38129人次</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开展安全隐患巡察</w:t>
      </w:r>
      <w:r>
        <w:rPr>
          <w:rFonts w:hint="eastAsia" w:ascii="Times New Roman" w:hAnsi="Times New Roman" w:eastAsia="仿宋_GB2312" w:cs="Times New Roman"/>
          <w:sz w:val="32"/>
          <w:szCs w:val="32"/>
          <w:lang w:val="en-US" w:eastAsia="zh-CN"/>
        </w:rPr>
        <w:t>54次；三是隐患巡察整改率100%</w:t>
      </w:r>
      <w:r>
        <w:rPr>
          <w:rFonts w:ascii="Times New Roman" w:hAnsi="Times New Roman" w:eastAsia="仿宋_GB2312" w:cs="Times New Roman"/>
          <w:sz w:val="32"/>
          <w:szCs w:val="32"/>
        </w:rPr>
        <w:t>。发现的主要问题及原因：</w:t>
      </w:r>
      <w:r>
        <w:rPr>
          <w:rFonts w:hint="eastAsia" w:ascii="Times New Roman" w:hAnsi="Times New Roman" w:eastAsia="方正仿宋_GBK" w:cs="Times New Roman"/>
          <w:b/>
          <w:bCs/>
          <w:color w:val="000000"/>
          <w:spacing w:val="0"/>
          <w:sz w:val="32"/>
          <w:szCs w:val="32"/>
          <w:lang w:val="en-US" w:eastAsia="zh-CN"/>
        </w:rPr>
        <w:t>1.</w:t>
      </w:r>
      <w:r>
        <w:rPr>
          <w:rFonts w:hint="default" w:ascii="Times New Roman" w:hAnsi="Times New Roman" w:eastAsia="方正仿宋_GBK" w:cs="Times New Roman"/>
          <w:b/>
          <w:bCs/>
          <w:color w:val="000000"/>
          <w:spacing w:val="0"/>
          <w:sz w:val="32"/>
          <w:szCs w:val="32"/>
          <w:lang w:val="en-US" w:eastAsia="zh-CN"/>
        </w:rPr>
        <w:t>绩效管理理念不够深入。</w:t>
      </w:r>
      <w:r>
        <w:rPr>
          <w:rFonts w:hint="default" w:ascii="Times New Roman" w:hAnsi="Times New Roman" w:eastAsia="方正仿宋_GBK" w:cs="Times New Roman"/>
          <w:color w:val="000000"/>
          <w:spacing w:val="0"/>
          <w:sz w:val="32"/>
          <w:szCs w:val="32"/>
          <w:lang w:val="en-US" w:eastAsia="zh-CN"/>
        </w:rPr>
        <w:t>“花钱必问效、无效必问责”的意识尚未全面树立，部分</w:t>
      </w:r>
      <w:r>
        <w:rPr>
          <w:rFonts w:hint="eastAsia" w:ascii="Times New Roman" w:hAnsi="Times New Roman" w:eastAsia="方正仿宋_GBK" w:cs="Times New Roman"/>
          <w:color w:val="000000"/>
          <w:spacing w:val="0"/>
          <w:sz w:val="32"/>
          <w:szCs w:val="32"/>
          <w:lang w:val="en-US" w:eastAsia="zh-CN"/>
        </w:rPr>
        <w:t>科室</w:t>
      </w:r>
      <w:r>
        <w:rPr>
          <w:rFonts w:hint="default" w:ascii="Times New Roman" w:hAnsi="Times New Roman" w:eastAsia="方正仿宋_GBK" w:cs="Times New Roman"/>
          <w:color w:val="000000"/>
          <w:spacing w:val="0"/>
          <w:sz w:val="32"/>
          <w:szCs w:val="32"/>
          <w:lang w:val="en-US" w:eastAsia="zh-CN"/>
        </w:rPr>
        <w:t>仍存在重投入轻绩效、重分配轻管理的倾向，绩效目标编制质量不高。</w:t>
      </w:r>
      <w:r>
        <w:rPr>
          <w:rFonts w:hint="eastAsia" w:ascii="Times New Roman" w:hAnsi="Times New Roman" w:eastAsia="方正仿宋_GBK" w:cs="Times New Roman"/>
          <w:b/>
          <w:bCs/>
          <w:color w:val="000000"/>
          <w:spacing w:val="0"/>
          <w:sz w:val="32"/>
          <w:szCs w:val="32"/>
          <w:lang w:val="en-US" w:eastAsia="zh-CN"/>
        </w:rPr>
        <w:t>2.</w:t>
      </w:r>
      <w:r>
        <w:rPr>
          <w:rFonts w:hint="default" w:ascii="Times New Roman" w:hAnsi="Times New Roman" w:eastAsia="方正仿宋_GBK" w:cs="Times New Roman"/>
          <w:b/>
          <w:bCs/>
          <w:color w:val="000000"/>
          <w:spacing w:val="0"/>
          <w:sz w:val="32"/>
          <w:szCs w:val="32"/>
          <w:lang w:val="en-US" w:eastAsia="zh-CN"/>
        </w:rPr>
        <w:t>绩效结果运用刚性不强。</w:t>
      </w:r>
      <w:r>
        <w:rPr>
          <w:rFonts w:hint="default" w:ascii="Times New Roman" w:hAnsi="Times New Roman" w:eastAsia="方正仿宋_GBK" w:cs="Times New Roman"/>
          <w:color w:val="000000"/>
          <w:spacing w:val="0"/>
          <w:sz w:val="32"/>
          <w:szCs w:val="32"/>
          <w:lang w:val="en-US" w:eastAsia="zh-CN"/>
        </w:rPr>
        <w:t>绩效评价结果与预算安排、项目调整之间的关联机制不够紧密，结果运用尚未完全落到实处，对优化资源配置的引导作用发挥不充分。</w:t>
      </w:r>
      <w:r>
        <w:rPr>
          <w:rFonts w:hint="eastAsia" w:ascii="Times New Roman" w:hAnsi="Times New Roman" w:eastAsia="方正仿宋_GBK" w:cs="Times New Roman"/>
          <w:b/>
          <w:bCs/>
          <w:color w:val="000000"/>
          <w:spacing w:val="0"/>
          <w:sz w:val="32"/>
          <w:szCs w:val="32"/>
          <w:lang w:val="en-US" w:eastAsia="zh-CN"/>
        </w:rPr>
        <w:t>3.</w:t>
      </w:r>
      <w:r>
        <w:rPr>
          <w:rFonts w:hint="default" w:ascii="Times New Roman" w:hAnsi="Times New Roman" w:eastAsia="方正仿宋_GBK" w:cs="Times New Roman"/>
          <w:b/>
          <w:bCs/>
          <w:color w:val="000000"/>
          <w:spacing w:val="0"/>
          <w:sz w:val="32"/>
          <w:szCs w:val="32"/>
          <w:lang w:val="en-US" w:eastAsia="zh-CN"/>
        </w:rPr>
        <w:t>专业能力支撑不足。</w:t>
      </w:r>
      <w:r>
        <w:rPr>
          <w:rFonts w:hint="default" w:ascii="Times New Roman" w:hAnsi="Times New Roman" w:eastAsia="方正仿宋_GBK" w:cs="Times New Roman"/>
          <w:color w:val="000000"/>
          <w:spacing w:val="0"/>
          <w:sz w:val="32"/>
          <w:szCs w:val="32"/>
          <w:lang w:val="en-US" w:eastAsia="zh-CN"/>
        </w:rPr>
        <w:t>绩效管理人员专职率低，系统化培训机制不健全，数据采集分析能力薄弱</w:t>
      </w:r>
      <w:r>
        <w:rPr>
          <w:rFonts w:hint="eastAsia" w:ascii="Times New Roman" w:hAnsi="Times New Roman" w:eastAsia="方正仿宋_GBK" w:cs="Times New Roman"/>
          <w:color w:val="000000"/>
          <w:spacing w:val="0"/>
          <w:sz w:val="32"/>
          <w:szCs w:val="32"/>
          <w:lang w:val="en-US" w:eastAsia="zh-CN"/>
        </w:rPr>
        <w:t>，</w:t>
      </w:r>
      <w:r>
        <w:rPr>
          <w:rFonts w:hint="default" w:ascii="Times New Roman" w:hAnsi="Times New Roman" w:eastAsia="方正仿宋_GBK" w:cs="Times New Roman"/>
          <w:color w:val="000000"/>
          <w:spacing w:val="0"/>
          <w:sz w:val="32"/>
          <w:szCs w:val="32"/>
          <w:lang w:val="en-US" w:eastAsia="zh-CN"/>
        </w:rPr>
        <w:t>政策理解力和实操能力难以满足精细化管理要求。</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仿宋_GBK" w:cs="Times New Roman"/>
          <w:color w:val="000000"/>
          <w:spacing w:val="0"/>
          <w:kern w:val="2"/>
          <w:sz w:val="32"/>
          <w:szCs w:val="32"/>
          <w:lang w:val="en-US" w:eastAsia="zh-CN" w:bidi="ar-SA"/>
        </w:rPr>
      </w:pPr>
      <w:r>
        <w:rPr>
          <w:rFonts w:ascii="Times New Roman" w:hAnsi="Times New Roman" w:eastAsia="仿宋_GB2312" w:cs="Times New Roman"/>
          <w:sz w:val="32"/>
          <w:szCs w:val="32"/>
        </w:rPr>
        <w:t>下一步改进措施：</w:t>
      </w:r>
      <w:r>
        <w:rPr>
          <w:rFonts w:hint="eastAsia" w:ascii="Times New Roman" w:hAnsi="Times New Roman" w:eastAsia="方正仿宋_GBK" w:cs="Times New Roman"/>
          <w:b/>
          <w:bCs/>
          <w:color w:val="000000"/>
          <w:spacing w:val="0"/>
          <w:kern w:val="2"/>
          <w:sz w:val="32"/>
          <w:szCs w:val="32"/>
          <w:lang w:val="en-US" w:eastAsia="zh-CN" w:bidi="ar-SA"/>
        </w:rPr>
        <w:t>1.</w:t>
      </w:r>
      <w:r>
        <w:rPr>
          <w:rFonts w:hint="default" w:ascii="Times New Roman" w:hAnsi="Times New Roman" w:eastAsia="方正仿宋_GBK" w:cs="Times New Roman"/>
          <w:b/>
          <w:bCs/>
          <w:color w:val="000000"/>
          <w:spacing w:val="0"/>
          <w:kern w:val="2"/>
          <w:sz w:val="32"/>
          <w:szCs w:val="32"/>
          <w:lang w:val="en-US" w:eastAsia="zh-CN" w:bidi="ar-SA"/>
        </w:rPr>
        <w:t>健全全过程绩效管理闭环机制。</w:t>
      </w:r>
      <w:r>
        <w:rPr>
          <w:rFonts w:hint="default" w:ascii="Times New Roman" w:hAnsi="Times New Roman" w:eastAsia="方正仿宋_GBK" w:cs="Times New Roman"/>
          <w:color w:val="000000"/>
          <w:spacing w:val="0"/>
          <w:kern w:val="2"/>
          <w:sz w:val="32"/>
          <w:szCs w:val="32"/>
          <w:lang w:val="en-US" w:eastAsia="zh-CN" w:bidi="ar-SA"/>
        </w:rPr>
        <w:t>加强绩效目标审核、运行监控和评价结果应用的有机衔接，对偏离目标的项目及时预警纠偏，形成“目标设定—过程监控—评价应用—整改反馈”的完整链条，确保各环节工作落到实处。</w:t>
      </w:r>
      <w:r>
        <w:rPr>
          <w:rFonts w:hint="eastAsia" w:ascii="Times New Roman" w:hAnsi="Times New Roman" w:eastAsia="方正仿宋_GBK" w:cs="Times New Roman"/>
          <w:b/>
          <w:bCs/>
          <w:color w:val="000000"/>
          <w:spacing w:val="0"/>
          <w:kern w:val="2"/>
          <w:sz w:val="32"/>
          <w:szCs w:val="32"/>
          <w:lang w:val="en-US" w:eastAsia="zh-CN" w:bidi="ar-SA"/>
        </w:rPr>
        <w:t>2.</w:t>
      </w:r>
      <w:r>
        <w:rPr>
          <w:rFonts w:hint="default" w:ascii="Times New Roman" w:hAnsi="Times New Roman" w:eastAsia="方正仿宋_GBK" w:cs="Times New Roman"/>
          <w:b/>
          <w:bCs/>
          <w:color w:val="000000"/>
          <w:spacing w:val="0"/>
          <w:kern w:val="2"/>
          <w:sz w:val="32"/>
          <w:szCs w:val="32"/>
          <w:lang w:val="en-US" w:eastAsia="zh-CN" w:bidi="ar-SA"/>
        </w:rPr>
        <w:t>强化绩效结果与预算安排挂钩。</w:t>
      </w:r>
      <w:r>
        <w:rPr>
          <w:rFonts w:hint="default" w:ascii="Times New Roman" w:hAnsi="Times New Roman" w:eastAsia="方正仿宋_GBK" w:cs="Times New Roman"/>
          <w:color w:val="000000"/>
          <w:spacing w:val="0"/>
          <w:kern w:val="2"/>
          <w:sz w:val="32"/>
          <w:szCs w:val="32"/>
          <w:lang w:val="en-US" w:eastAsia="zh-CN" w:bidi="ar-SA"/>
        </w:rPr>
        <w:t>将绩效评价结果作为预算安排和资金分配的重要依据，对</w:t>
      </w:r>
      <w:r>
        <w:rPr>
          <w:rFonts w:hint="eastAsia" w:ascii="Times New Roman" w:hAnsi="Times New Roman" w:eastAsia="方正仿宋_GBK" w:cs="Times New Roman"/>
          <w:color w:val="000000"/>
          <w:spacing w:val="0"/>
          <w:kern w:val="2"/>
          <w:sz w:val="32"/>
          <w:szCs w:val="32"/>
          <w:lang w:val="en-US" w:eastAsia="zh-CN" w:bidi="ar-SA"/>
        </w:rPr>
        <w:t>资金使用</w:t>
      </w:r>
      <w:r>
        <w:rPr>
          <w:rFonts w:hint="default" w:ascii="Times New Roman" w:hAnsi="Times New Roman" w:eastAsia="方正仿宋_GBK" w:cs="Times New Roman"/>
          <w:color w:val="000000"/>
          <w:spacing w:val="0"/>
          <w:kern w:val="2"/>
          <w:sz w:val="32"/>
          <w:szCs w:val="32"/>
          <w:lang w:val="en-US" w:eastAsia="zh-CN" w:bidi="ar-SA"/>
        </w:rPr>
        <w:t>绩效优秀的优先保障，推动评价结果真正落地生效。</w:t>
      </w:r>
      <w:r>
        <w:rPr>
          <w:rFonts w:hint="eastAsia" w:ascii="Times New Roman" w:hAnsi="Times New Roman" w:eastAsia="方正仿宋_GBK" w:cs="Times New Roman"/>
          <w:b/>
          <w:bCs/>
          <w:color w:val="000000"/>
          <w:spacing w:val="0"/>
          <w:kern w:val="2"/>
          <w:sz w:val="32"/>
          <w:szCs w:val="32"/>
          <w:lang w:val="en-US" w:eastAsia="zh-CN" w:bidi="ar-SA"/>
        </w:rPr>
        <w:t>3.</w:t>
      </w:r>
      <w:r>
        <w:rPr>
          <w:rFonts w:hint="default" w:ascii="Times New Roman" w:hAnsi="Times New Roman" w:eastAsia="方正仿宋_GBK" w:cs="Times New Roman"/>
          <w:b/>
          <w:bCs/>
          <w:color w:val="000000"/>
          <w:spacing w:val="0"/>
          <w:kern w:val="2"/>
          <w:sz w:val="32"/>
          <w:szCs w:val="32"/>
          <w:lang w:val="en-US" w:eastAsia="zh-CN" w:bidi="ar-SA"/>
        </w:rPr>
        <w:t>提升绩效管理队伍专业能力。</w:t>
      </w:r>
      <w:r>
        <w:rPr>
          <w:rFonts w:hint="default" w:ascii="Times New Roman" w:hAnsi="Times New Roman" w:eastAsia="方正仿宋_GBK" w:cs="Times New Roman"/>
          <w:color w:val="000000"/>
          <w:spacing w:val="0"/>
          <w:kern w:val="2"/>
          <w:sz w:val="32"/>
          <w:szCs w:val="32"/>
          <w:lang w:val="en-US" w:eastAsia="zh-CN" w:bidi="ar-SA"/>
        </w:rPr>
        <w:t>常态化开展绩效管理业务培训，覆盖各业务科室和项目负责人，提升数据采集与分析能力，推动绩效管理提质增效。</w:t>
      </w:r>
    </w:p>
    <w:p>
      <w:pPr>
        <w:keepNext w:val="0"/>
        <w:keepLines w:val="0"/>
        <w:pageBreakBefore w:val="0"/>
        <w:kinsoku/>
        <w:wordWrap/>
        <w:overflowPunct w:val="0"/>
        <w:topLinePunct w:val="0"/>
        <w:bidi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二是部门评价结果。</w:t>
      </w:r>
    </w:p>
    <w:p>
      <w:pPr>
        <w:keepNext w:val="0"/>
        <w:keepLines w:val="0"/>
        <w:pageBreakBefore w:val="0"/>
        <w:kinsoku/>
        <w:wordWrap/>
        <w:overflowPunct w:val="0"/>
        <w:topLinePunct w:val="0"/>
        <w:bidi w:val="0"/>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b/>
          <w:bCs/>
          <w:kern w:val="0"/>
          <w:sz w:val="32"/>
          <w:szCs w:val="32"/>
          <w:lang w:val="en-US" w:eastAsia="zh-CN"/>
        </w:rPr>
        <w:t>1.</w:t>
      </w:r>
      <w:r>
        <w:rPr>
          <w:rFonts w:hint="eastAsia" w:ascii="Times New Roman" w:hAnsi="Times New Roman" w:eastAsia="仿宋_GB2312" w:cs="Times New Roman"/>
          <w:b w:val="0"/>
          <w:bCs w:val="0"/>
          <w:kern w:val="0"/>
          <w:sz w:val="32"/>
          <w:szCs w:val="32"/>
          <w:lang w:val="en-US" w:eastAsia="zh-CN"/>
        </w:rPr>
        <w:t>2025年度</w:t>
      </w:r>
      <w:r>
        <w:rPr>
          <w:rFonts w:hint="eastAsia" w:ascii="Times New Roman" w:hAnsi="Times New Roman" w:eastAsia="仿宋_GB2312" w:cs="Times New Roman"/>
          <w:sz w:val="32"/>
          <w:szCs w:val="32"/>
          <w:lang w:eastAsia="zh-CN"/>
        </w:rPr>
        <w:t>“迎新春送温暖”慰问</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”。发现的主要问题及原因：一是</w:t>
      </w:r>
      <w:r>
        <w:rPr>
          <w:rFonts w:ascii="Times New Roman" w:hAnsi="Times New Roman" w:eastAsia="方正仿宋_GBK" w:cs="Times New Roman"/>
          <w:sz w:val="32"/>
          <w:szCs w:val="32"/>
        </w:rPr>
        <w:t>个别县区困难群众摸排不够细致，存在少量遗漏现象</w:t>
      </w:r>
      <w:r>
        <w:rPr>
          <w:rFonts w:ascii="Times New Roman" w:hAnsi="Times New Roman" w:eastAsia="仿宋_GB2312" w:cs="Times New Roman"/>
          <w:sz w:val="32"/>
          <w:szCs w:val="32"/>
        </w:rPr>
        <w:t>；二是</w:t>
      </w:r>
      <w:r>
        <w:rPr>
          <w:rFonts w:ascii="Times New Roman" w:hAnsi="Times New Roman" w:eastAsia="方正仿宋_GBK" w:cs="Times New Roman"/>
          <w:sz w:val="32"/>
          <w:szCs w:val="32"/>
        </w:rPr>
        <w:t>项目宣传覆盖面有限，部分群众对慈善政策了解不足</w:t>
      </w:r>
      <w:r>
        <w:rPr>
          <w:rFonts w:ascii="Times New Roman" w:hAnsi="Times New Roman" w:eastAsia="仿宋_GB2312" w:cs="Times New Roman"/>
          <w:sz w:val="32"/>
          <w:szCs w:val="32"/>
        </w:rPr>
        <w:t>。下一步改进措施：</w:t>
      </w:r>
      <w:r>
        <w:rPr>
          <w:rFonts w:hint="eastAsia" w:ascii="Times New Roman" w:hAnsi="Times New Roman" w:eastAsia="方正仿宋_GBK" w:cs="Times New Roman"/>
          <w:sz w:val="32"/>
          <w:szCs w:val="32"/>
        </w:rPr>
        <w:t>持续优化项目实施流程，完善困难群众动态数据库，加强上下联动</w:t>
      </w:r>
      <w:r>
        <w:rPr>
          <w:rFonts w:ascii="Times New Roman" w:hAnsi="Times New Roman" w:eastAsia="方正仿宋_GBK" w:cs="Times New Roman"/>
          <w:sz w:val="32"/>
          <w:szCs w:val="32"/>
        </w:rPr>
        <w:t>对接</w:t>
      </w:r>
      <w:r>
        <w:rPr>
          <w:rFonts w:hint="eastAsia" w:ascii="Times New Roman" w:hAnsi="Times New Roman" w:eastAsia="方正仿宋_GBK" w:cs="Times New Roman"/>
          <w:sz w:val="32"/>
          <w:szCs w:val="32"/>
        </w:rPr>
        <w:t>、数据共享</w:t>
      </w:r>
      <w:r>
        <w:rPr>
          <w:rFonts w:ascii="Times New Roman" w:hAnsi="Times New Roman" w:eastAsia="方正仿宋_GBK" w:cs="Times New Roman"/>
          <w:sz w:val="32"/>
          <w:szCs w:val="32"/>
        </w:rPr>
        <w:t>，提高摸排精准度</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借助媒体、社区平台</w:t>
      </w:r>
      <w:r>
        <w:rPr>
          <w:rFonts w:hint="eastAsia" w:ascii="Times New Roman" w:hAnsi="Times New Roman" w:eastAsia="方正仿宋_GBK" w:cs="Times New Roman"/>
          <w:sz w:val="32"/>
          <w:szCs w:val="32"/>
        </w:rPr>
        <w:t>等</w:t>
      </w:r>
      <w:r>
        <w:rPr>
          <w:rFonts w:ascii="Times New Roman" w:hAnsi="Times New Roman" w:eastAsia="方正仿宋_GBK" w:cs="Times New Roman"/>
          <w:sz w:val="32"/>
          <w:szCs w:val="32"/>
        </w:rPr>
        <w:t>扩大</w:t>
      </w:r>
      <w:r>
        <w:rPr>
          <w:rFonts w:hint="eastAsia" w:ascii="Times New Roman" w:hAnsi="Times New Roman" w:eastAsia="方正仿宋_GBK" w:cs="Times New Roman"/>
          <w:sz w:val="32"/>
          <w:szCs w:val="32"/>
        </w:rPr>
        <w:t>慈善公益</w:t>
      </w:r>
      <w:r>
        <w:rPr>
          <w:rFonts w:ascii="Times New Roman" w:hAnsi="Times New Roman" w:eastAsia="方正仿宋_GBK" w:cs="Times New Roman"/>
          <w:sz w:val="32"/>
          <w:szCs w:val="32"/>
        </w:rPr>
        <w:t>宣传，</w:t>
      </w:r>
      <w:r>
        <w:rPr>
          <w:rFonts w:hint="eastAsia" w:ascii="Times New Roman" w:hAnsi="Times New Roman" w:eastAsia="方正仿宋_GBK" w:cs="Times New Roman"/>
          <w:sz w:val="32"/>
          <w:szCs w:val="32"/>
        </w:rPr>
        <w:t>全面</w:t>
      </w:r>
      <w:r>
        <w:rPr>
          <w:rFonts w:ascii="Times New Roman" w:hAnsi="Times New Roman" w:eastAsia="方正仿宋_GBK" w:cs="Times New Roman"/>
          <w:sz w:val="32"/>
          <w:szCs w:val="32"/>
        </w:rPr>
        <w:t>提升</w:t>
      </w:r>
      <w:r>
        <w:rPr>
          <w:rFonts w:hint="eastAsia" w:ascii="Times New Roman" w:hAnsi="Times New Roman" w:eastAsia="方正仿宋_GBK" w:cs="Times New Roman"/>
          <w:sz w:val="32"/>
          <w:szCs w:val="32"/>
        </w:rPr>
        <w:t>怀化</w:t>
      </w:r>
      <w:r>
        <w:rPr>
          <w:rFonts w:ascii="Times New Roman" w:hAnsi="Times New Roman" w:eastAsia="方正仿宋_GBK" w:cs="Times New Roman"/>
          <w:sz w:val="32"/>
          <w:szCs w:val="32"/>
        </w:rPr>
        <w:t>慈善</w:t>
      </w:r>
      <w:r>
        <w:rPr>
          <w:rFonts w:hint="eastAsia" w:ascii="Times New Roman" w:hAnsi="Times New Roman" w:eastAsia="方正仿宋_GBK" w:cs="Times New Roman"/>
          <w:sz w:val="32"/>
          <w:szCs w:val="32"/>
        </w:rPr>
        <w:t>事业</w:t>
      </w:r>
      <w:r>
        <w:rPr>
          <w:rFonts w:ascii="Times New Roman" w:hAnsi="Times New Roman" w:eastAsia="方正仿宋_GBK" w:cs="Times New Roman"/>
          <w:sz w:val="32"/>
          <w:szCs w:val="32"/>
        </w:rPr>
        <w:t>知晓率</w:t>
      </w:r>
      <w:r>
        <w:rPr>
          <w:rFonts w:hint="eastAsia" w:ascii="Times New Roman" w:hAnsi="Times New Roman" w:eastAsia="方正仿宋_GBK" w:cs="Times New Roman"/>
          <w:sz w:val="32"/>
          <w:szCs w:val="32"/>
        </w:rPr>
        <w:t>和影响力</w:t>
      </w:r>
      <w:r>
        <w:rPr>
          <w:rFonts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kern w:val="0"/>
          <w:sz w:val="32"/>
          <w:szCs w:val="32"/>
          <w:lang w:val="en-US" w:eastAsia="zh-CN"/>
        </w:rPr>
        <w:t>2.</w:t>
      </w:r>
      <w:r>
        <w:rPr>
          <w:rFonts w:hint="eastAsia" w:ascii="Times New Roman" w:hAnsi="Times New Roman" w:eastAsia="仿宋_GB2312" w:cs="Times New Roman"/>
          <w:b w:val="0"/>
          <w:bCs w:val="0"/>
          <w:kern w:val="0"/>
          <w:sz w:val="32"/>
          <w:szCs w:val="32"/>
          <w:lang w:val="en-US" w:eastAsia="zh-CN"/>
        </w:rPr>
        <w:t>怀化市救助站</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174.66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174.58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99.4</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”。发现的主要问题及原因：一是</w:t>
      </w:r>
      <w:r>
        <w:rPr>
          <w:rFonts w:hint="eastAsia" w:ascii="仿宋" w:hAnsi="仿宋" w:eastAsia="仿宋" w:cs="仿宋"/>
          <w:b w:val="0"/>
          <w:bCs w:val="0"/>
          <w:sz w:val="32"/>
          <w:szCs w:val="32"/>
          <w:lang w:val="en-US" w:eastAsia="zh-CN"/>
        </w:rPr>
        <w:t>应急、医疗救助类项目仅以上年数据预估，未结合人员流动、季度特点动态测算，出现预测救助人员数存在偏差</w:t>
      </w:r>
      <w:r>
        <w:rPr>
          <w:rFonts w:ascii="Times New Roman" w:hAnsi="Times New Roman" w:eastAsia="仿宋_GB2312" w:cs="Times New Roman"/>
          <w:sz w:val="32"/>
          <w:szCs w:val="32"/>
        </w:rPr>
        <w:t>；二是</w:t>
      </w:r>
      <w:r>
        <w:rPr>
          <w:rFonts w:hint="eastAsia" w:ascii="仿宋" w:hAnsi="仿宋" w:eastAsia="仿宋" w:cs="仿宋"/>
          <w:b w:val="0"/>
          <w:bCs w:val="0"/>
          <w:sz w:val="32"/>
          <w:szCs w:val="32"/>
          <w:lang w:val="en-US" w:eastAsia="zh-CN"/>
        </w:rPr>
        <w:t>救助服务工作一是</w:t>
      </w:r>
      <w:r>
        <w:rPr>
          <w:rFonts w:hint="eastAsia" w:ascii="仿宋" w:hAnsi="仿宋" w:eastAsia="仿宋" w:cs="仿宋"/>
          <w:sz w:val="32"/>
          <w:szCs w:val="32"/>
          <w:lang w:eastAsia="zh-CN"/>
        </w:rPr>
        <w:t>寻亲服务方式有限，虽然我们已经努力提升寻亲效率，但仍存在一些特殊情况处理不够及时的情况，需进一步完善和改进</w:t>
      </w:r>
      <w:r>
        <w:rPr>
          <w:rFonts w:hint="eastAsia" w:ascii="仿宋" w:hAnsi="仿宋" w:eastAsia="仿宋" w:cs="仿宋"/>
          <w:sz w:val="32"/>
          <w:szCs w:val="32"/>
          <w:lang w:val="en-US" w:eastAsia="zh-CN"/>
        </w:rPr>
        <w:t>。三是</w:t>
      </w:r>
      <w:r>
        <w:rPr>
          <w:rFonts w:hint="eastAsia" w:ascii="仿宋" w:hAnsi="仿宋" w:eastAsia="仿宋" w:cs="仿宋"/>
          <w:sz w:val="32"/>
          <w:szCs w:val="32"/>
          <w:lang w:eastAsia="zh-CN"/>
        </w:rPr>
        <w:t>服务能力待提高，面对复杂多变的救助形势，部分工作人员在应对能力上仍有待加强</w:t>
      </w:r>
      <w:r>
        <w:rPr>
          <w:rFonts w:ascii="Times New Roman" w:hAnsi="Times New Roman" w:eastAsia="仿宋_GB2312" w:cs="Times New Roman"/>
          <w:sz w:val="32"/>
          <w:szCs w:val="32"/>
        </w:rPr>
        <w:t>。下一步改进措施：一是</w:t>
      </w:r>
      <w:r>
        <w:rPr>
          <w:rFonts w:hint="eastAsia" w:ascii="仿宋" w:hAnsi="仿宋" w:eastAsia="仿宋" w:cs="仿宋"/>
          <w:sz w:val="32"/>
          <w:szCs w:val="32"/>
          <w:lang w:val="en-US" w:eastAsia="zh-CN"/>
        </w:rPr>
        <w:t>优化预测流程：预测救助人次、医疗支出数据，联合公安、卫健部门预判流浪人员数量，合理测算应急救助资金规模，提高预测贴合度</w:t>
      </w:r>
      <w:r>
        <w:rPr>
          <w:rFonts w:ascii="Times New Roman" w:hAnsi="Times New Roman" w:eastAsia="仿宋_GB2312" w:cs="Times New Roman"/>
          <w:sz w:val="32"/>
          <w:szCs w:val="32"/>
        </w:rPr>
        <w:t>；二是</w:t>
      </w:r>
      <w:r>
        <w:rPr>
          <w:rFonts w:hint="eastAsia" w:ascii="仿宋" w:hAnsi="仿宋" w:eastAsia="仿宋" w:cs="仿宋"/>
          <w:sz w:val="32"/>
          <w:szCs w:val="32"/>
          <w:lang w:val="en-US" w:eastAsia="zh-CN"/>
        </w:rPr>
        <w:t>加强业务培训：熟练掌握社会救助政策，规范资料审核、系统录入、公示归档全流程。提升受助人员接待、矛盾疏导、政策答疑、应急处置能力</w:t>
      </w:r>
      <w:r>
        <w:rPr>
          <w:rFonts w:ascii="Times New Roman" w:hAnsi="Times New Roman" w:eastAsia="仿宋_GB2312" w:cs="Times New Roman"/>
          <w:sz w:val="32"/>
          <w:szCs w:val="32"/>
        </w:rPr>
        <w:t>。</w:t>
      </w:r>
    </w:p>
    <w:p>
      <w:pPr>
        <w:keepNext w:val="0"/>
        <w:keepLines w:val="0"/>
        <w:pageBreakBefore w:val="0"/>
        <w:kinsoku/>
        <w:wordWrap/>
        <w:overflowPunct w:val="0"/>
        <w:topLinePunct w:val="0"/>
        <w:bidi w:val="0"/>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b/>
          <w:bCs/>
          <w:kern w:val="0"/>
          <w:sz w:val="32"/>
          <w:szCs w:val="32"/>
          <w:lang w:val="en-US" w:eastAsia="zh-CN"/>
        </w:rPr>
        <w:t>3.</w:t>
      </w:r>
      <w:r>
        <w:rPr>
          <w:rFonts w:hint="eastAsia" w:ascii="Times New Roman" w:hAnsi="Times New Roman" w:eastAsia="仿宋_GB2312" w:cs="Times New Roman"/>
          <w:sz w:val="32"/>
          <w:szCs w:val="32"/>
          <w:lang w:eastAsia="zh-CN"/>
        </w:rPr>
        <w:t>怀化市社会福利院</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686.01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652.41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95.1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99.7</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w w:val="100"/>
          <w:sz w:val="32"/>
          <w:szCs w:val="32"/>
        </w:rPr>
        <w:t>存在部分项目资金使用进度较慢的情况。主要原因包括个别项目前期筹备时间较长，流程环节较为复杂，导致实际支出与绩效目标在时间进度上出</w:t>
      </w:r>
      <w:bookmarkStart w:id="0" w:name="_GoBack"/>
      <w:bookmarkEnd w:id="0"/>
      <w:r>
        <w:rPr>
          <w:rFonts w:hint="eastAsia" w:ascii="仿宋" w:hAnsi="仿宋" w:eastAsia="仿宋" w:cs="仿宋"/>
          <w:w w:val="100"/>
          <w:sz w:val="32"/>
          <w:szCs w:val="32"/>
        </w:rPr>
        <w:t>现偏离</w:t>
      </w:r>
      <w:r>
        <w:rPr>
          <w:rFonts w:hint="eastAsia" w:ascii="Times New Roman" w:hAnsi="Times New Roman" w:eastAsia="仿宋_GB2312" w:cs="Times New Roman"/>
          <w:sz w:val="32"/>
          <w:szCs w:val="32"/>
          <w:lang w:eastAsia="zh-CN"/>
        </w:rPr>
        <w:t>；</w:t>
      </w:r>
      <w:r>
        <w:rPr>
          <w:rFonts w:hint="eastAsia" w:ascii="仿宋" w:hAnsi="仿宋" w:eastAsia="仿宋" w:cs="仿宋"/>
          <w:w w:val="100"/>
          <w:sz w:val="32"/>
          <w:szCs w:val="32"/>
        </w:rPr>
        <w:t>同时，在项目推进过程中，由于对一些不可预见因素预估不足，一定程度上影响了支出的及时性和均衡性。</w:t>
      </w:r>
      <w:r>
        <w:rPr>
          <w:rFonts w:ascii="Times New Roman" w:hAnsi="Times New Roman" w:eastAsia="仿宋_GB2312" w:cs="Times New Roman"/>
          <w:sz w:val="32"/>
          <w:szCs w:val="32"/>
        </w:rPr>
        <w:t>下一步改进措施：一是</w:t>
      </w:r>
      <w:r>
        <w:rPr>
          <w:rFonts w:hint="eastAsia" w:ascii="仿宋" w:hAnsi="仿宋" w:eastAsia="仿宋" w:cs="仿宋"/>
          <w:w w:val="100"/>
          <w:sz w:val="32"/>
          <w:szCs w:val="32"/>
        </w:rPr>
        <w:t>进一步加强项目的前期规划和准备工作，优化流程，提高项目实施效率</w:t>
      </w:r>
      <w:r>
        <w:rPr>
          <w:rFonts w:ascii="Times New Roman" w:hAnsi="Times New Roman" w:eastAsia="仿宋_GB2312" w:cs="Times New Roman"/>
          <w:sz w:val="32"/>
          <w:szCs w:val="32"/>
        </w:rPr>
        <w:t>；二是</w:t>
      </w:r>
      <w:r>
        <w:rPr>
          <w:rFonts w:hint="eastAsia" w:ascii="仿宋" w:hAnsi="仿宋" w:eastAsia="仿宋" w:cs="仿宋"/>
          <w:w w:val="100"/>
          <w:sz w:val="32"/>
          <w:szCs w:val="32"/>
        </w:rPr>
        <w:t>强化对不可预见因素的预判和应对能力，制定更具灵活性的预案。建立更加完善的支出进度跟踪和监督机制，定期对预算执行情况进行评估和调整</w:t>
      </w:r>
      <w:r>
        <w:rPr>
          <w:rFonts w:hint="eastAsia" w:ascii="仿宋" w:hAnsi="仿宋" w:eastAsia="仿宋" w:cs="仿宋"/>
          <w:b w:val="0"/>
          <w:bCs w:val="0"/>
          <w:sz w:val="32"/>
          <w:szCs w:val="32"/>
          <w:lang w:val="en-US" w:eastAsia="zh-CN"/>
        </w:rPr>
        <w:t>；三是</w:t>
      </w:r>
      <w:r>
        <w:rPr>
          <w:rFonts w:hint="eastAsia" w:ascii="仿宋" w:hAnsi="仿宋" w:eastAsia="仿宋" w:cs="仿宋"/>
          <w:w w:val="100"/>
          <w:sz w:val="32"/>
          <w:szCs w:val="32"/>
        </w:rPr>
        <w:t>加强与相关部门的沟通协调，确保项目顺利推进和资金合理使用</w:t>
      </w:r>
      <w:r>
        <w:rPr>
          <w:rFonts w:hint="eastAsia" w:ascii="仿宋" w:hAnsi="仿宋" w:eastAsia="仿宋" w:cs="仿宋"/>
          <w:w w:val="100"/>
          <w:sz w:val="32"/>
          <w:szCs w:val="32"/>
          <w:lang w:eastAsia="zh-CN"/>
        </w:rPr>
        <w:t>；四是</w:t>
      </w:r>
      <w:r>
        <w:rPr>
          <w:rFonts w:hint="eastAsia" w:ascii="仿宋" w:hAnsi="仿宋" w:eastAsia="仿宋" w:cs="仿宋"/>
          <w:w w:val="100"/>
          <w:sz w:val="32"/>
          <w:szCs w:val="32"/>
        </w:rPr>
        <w:t>持续提升工作人员的绩效意识和业务能力，为更好地实现绩效目标提供有力保障</w:t>
      </w:r>
      <w:r>
        <w:rPr>
          <w:rFonts w:ascii="Times New Roman" w:hAnsi="Times New Roman" w:eastAsia="仿宋_GB2312" w:cs="Times New Roman"/>
          <w:sz w:val="32"/>
          <w:szCs w:val="32"/>
        </w:rPr>
        <w:t>。</w:t>
      </w:r>
    </w:p>
    <w:p>
      <w:pPr>
        <w:keepNext w:val="0"/>
        <w:keepLines w:val="0"/>
        <w:pageBreakBefore w:val="0"/>
        <w:kinsoku/>
        <w:wordWrap/>
        <w:overflowPunct w:val="0"/>
        <w:topLinePunct w:val="0"/>
        <w:bidi w:val="0"/>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b/>
          <w:bCs/>
          <w:kern w:val="0"/>
          <w:sz w:val="32"/>
          <w:szCs w:val="32"/>
          <w:lang w:val="en-US" w:eastAsia="zh-CN"/>
        </w:rPr>
        <w:t>4.</w:t>
      </w:r>
      <w:r>
        <w:rPr>
          <w:rFonts w:hint="eastAsia" w:ascii="Times New Roman" w:hAnsi="Times New Roman" w:eastAsia="仿宋_GB2312" w:cs="Times New Roman"/>
          <w:sz w:val="32"/>
          <w:szCs w:val="32"/>
          <w:lang w:eastAsia="zh-CN"/>
        </w:rPr>
        <w:t>怀化市殡葬事务中心</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497.9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197.7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39.7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93.9</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ascii="Times New Roman" w:hAnsi="Times New Roman" w:eastAsia="仿宋_GB2312" w:cs="Times New Roman"/>
          <w:sz w:val="32"/>
          <w:szCs w:val="32"/>
        </w:rPr>
        <w:t>一是</w:t>
      </w:r>
      <w:r>
        <w:rPr>
          <w:rFonts w:hint="eastAsia" w:ascii="Times New Roman" w:hAnsi="Times New Roman" w:eastAsia="仿宋_GB2312" w:cs="Times New Roman"/>
          <w:sz w:val="32"/>
          <w:szCs w:val="32"/>
        </w:rPr>
        <w:t>部分项目受采购流程影响，资金拨付滞后</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预算编制精准度有待提高</w:t>
      </w:r>
      <w:r>
        <w:rPr>
          <w:rFonts w:ascii="Times New Roman" w:hAnsi="Times New Roman" w:eastAsia="仿宋_GB2312" w:cs="Times New Roman"/>
          <w:sz w:val="32"/>
          <w:szCs w:val="32"/>
        </w:rPr>
        <w:t>。下一步改进措施：</w:t>
      </w:r>
      <w:r>
        <w:rPr>
          <w:rFonts w:ascii="Times New Roman" w:hAnsi="Times New Roman" w:eastAsia="仿宋_GB2312" w:cs="Times New Roman"/>
          <w:sz w:val="32"/>
          <w:szCs w:val="32"/>
        </w:rPr>
        <w:t>一是</w:t>
      </w:r>
      <w:r>
        <w:rPr>
          <w:rFonts w:hint="eastAsia" w:ascii="Times New Roman" w:hAnsi="Times New Roman" w:eastAsia="仿宋_GB2312" w:cs="Times New Roman"/>
          <w:sz w:val="32"/>
          <w:szCs w:val="32"/>
        </w:rPr>
        <w:t>紧盯项目进度，动态跟踪预算执行</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强化全过程绩效管理，提高资金使用效益</w:t>
      </w:r>
      <w:r>
        <w:rPr>
          <w:rFonts w:ascii="Times New Roman" w:hAnsi="Times New Roman" w:eastAsia="仿宋_GB2312" w:cs="Times New Roman"/>
          <w:sz w:val="32"/>
          <w:szCs w:val="32"/>
        </w:rPr>
        <w:t>。</w:t>
      </w:r>
    </w:p>
    <w:p>
      <w:pPr>
        <w:keepNext w:val="0"/>
        <w:keepLines w:val="0"/>
        <w:pageBreakBefore w:val="0"/>
        <w:kinsoku/>
        <w:wordWrap/>
        <w:overflowPunct w:val="0"/>
        <w:topLinePunct w:val="0"/>
        <w:bidi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Times New Roman" w:hAnsi="Times New Roman" w:eastAsia="仿宋_GB2312" w:cs="Times New Roman"/>
          <w:color w:val="auto"/>
          <w:sz w:val="32"/>
          <w:szCs w:val="32"/>
          <w:lang w:eastAsia="zh-CN"/>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年度绩效自评、部门评价</w:t>
      </w:r>
      <w:r>
        <w:rPr>
          <w:rFonts w:hint="eastAsia" w:ascii="Times New Roman" w:hAnsi="Times New Roman" w:eastAsia="仿宋_GB2312" w:cs="Times New Roman"/>
          <w:color w:val="auto"/>
          <w:sz w:val="32"/>
          <w:szCs w:val="32"/>
          <w:lang w:eastAsia="zh-CN"/>
        </w:rPr>
        <w:t>及</w:t>
      </w:r>
      <w:r>
        <w:rPr>
          <w:rFonts w:ascii="Times New Roman" w:hAnsi="Times New Roman" w:eastAsia="仿宋_GB2312" w:cs="Times New Roman"/>
          <w:color w:val="auto"/>
          <w:sz w:val="32"/>
          <w:szCs w:val="32"/>
        </w:rPr>
        <w:t>财政评价结果</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对202</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年度预算</w:t>
      </w:r>
      <w:r>
        <w:rPr>
          <w:rFonts w:hint="eastAsia" w:ascii="Times New Roman" w:hAnsi="Times New Roman" w:eastAsia="仿宋_GB2312" w:cs="Times New Roman"/>
          <w:color w:val="auto"/>
          <w:sz w:val="32"/>
          <w:szCs w:val="32"/>
          <w:lang w:eastAsia="zh-CN"/>
        </w:rPr>
        <w:t>进行差异化</w:t>
      </w:r>
      <w:r>
        <w:rPr>
          <w:rFonts w:ascii="Times New Roman" w:hAnsi="Times New Roman" w:eastAsia="仿宋_GB2312" w:cs="Times New Roman"/>
          <w:color w:val="auto"/>
          <w:sz w:val="32"/>
          <w:szCs w:val="32"/>
        </w:rPr>
        <w:t>安排</w:t>
      </w:r>
      <w:r>
        <w:rPr>
          <w:rFonts w:hint="eastAsia" w:ascii="Times New Roman" w:hAnsi="Times New Roman" w:eastAsia="仿宋_GB2312" w:cs="Times New Roman"/>
          <w:color w:val="auto"/>
          <w:sz w:val="32"/>
          <w:szCs w:val="32"/>
          <w:lang w:eastAsia="zh-CN"/>
        </w:rPr>
        <w:t>。对评价等级为优秀的业务板块，优先保障预算需求并增加投入；对议价中暴露出资源使用效率偏低的项目，压缩其预算规模。</w:t>
      </w:r>
      <w:r>
        <w:rPr>
          <w:rFonts w:hint="eastAsia" w:ascii="Times New Roman" w:hAnsi="Times New Roman" w:eastAsia="仿宋_GB2312" w:cs="Times New Roman"/>
          <w:b/>
          <w:bCs/>
          <w:kern w:val="0"/>
          <w:sz w:val="32"/>
          <w:szCs w:val="32"/>
          <w:lang w:val="en-US" w:eastAsia="zh-CN" w:bidi="ar-SA"/>
        </w:rPr>
        <w:t xml:space="preserve">支出结构 </w:t>
      </w:r>
      <w:r>
        <w:rPr>
          <w:rFonts w:hint="eastAsia" w:ascii="Times New Roman" w:hAnsi="Times New Roman" w:eastAsia="仿宋_GB2312" w:cs="Times New Roman"/>
          <w:color w:val="auto"/>
          <w:sz w:val="32"/>
          <w:szCs w:val="32"/>
          <w:lang w:eastAsia="zh-CN"/>
        </w:rPr>
        <w:t>结合评价结果，优化</w:t>
      </w:r>
      <w:r>
        <w:rPr>
          <w:rFonts w:hint="eastAsia" w:ascii="Times New Roman" w:hAnsi="Times New Roman" w:eastAsia="仿宋_GB2312" w:cs="Times New Roman"/>
          <w:color w:val="auto"/>
          <w:sz w:val="32"/>
          <w:szCs w:val="32"/>
          <w:lang w:val="en-US" w:eastAsia="zh-CN"/>
        </w:rPr>
        <w:t>2026年度支出结构。加大对绩效突出领域的支出比例，减少对评价中存在问题领域的支出。</w:t>
      </w:r>
      <w:r>
        <w:rPr>
          <w:rFonts w:hint="eastAsia" w:ascii="Times New Roman" w:hAnsi="Times New Roman" w:eastAsia="仿宋_GB2312" w:cs="Times New Roman"/>
          <w:b/>
          <w:bCs/>
          <w:kern w:val="0"/>
          <w:sz w:val="32"/>
          <w:szCs w:val="32"/>
          <w:lang w:val="en-US" w:eastAsia="zh-CN" w:bidi="ar-SA"/>
        </w:rPr>
        <w:t xml:space="preserve">资金管理 </w:t>
      </w:r>
      <w:r>
        <w:rPr>
          <w:rFonts w:hint="eastAsia" w:ascii="Times New Roman" w:hAnsi="Times New Roman" w:eastAsia="仿宋_GB2312" w:cs="Times New Roman"/>
          <w:color w:val="auto"/>
          <w:sz w:val="32"/>
          <w:szCs w:val="32"/>
          <w:lang w:eastAsia="zh-CN"/>
        </w:rPr>
        <w:t>依据评价结果强化资金管理。坚持尽力而为、量力而行，把惠民生、暖民心、顺民意的工作做到群众心坎上。在保障基本民生项目实施的同时，又保障了局机关正常运转。</w:t>
      </w:r>
      <w:r>
        <w:rPr>
          <w:rFonts w:hint="eastAsia" w:ascii="Times New Roman" w:hAnsi="Times New Roman" w:eastAsia="仿宋_GB2312" w:cs="Times New Roman"/>
          <w:b/>
          <w:bCs/>
          <w:kern w:val="0"/>
          <w:sz w:val="32"/>
          <w:szCs w:val="32"/>
          <w:lang w:val="en-US" w:eastAsia="zh-CN" w:bidi="ar-SA"/>
        </w:rPr>
        <w:t xml:space="preserve">制度建设 </w:t>
      </w:r>
      <w:r>
        <w:rPr>
          <w:rFonts w:hint="eastAsia" w:ascii="Times New Roman" w:hAnsi="Times New Roman" w:eastAsia="仿宋_GB2312" w:cs="Times New Roman"/>
          <w:color w:val="auto"/>
          <w:sz w:val="32"/>
          <w:szCs w:val="32"/>
          <w:lang w:eastAsia="zh-CN"/>
        </w:rPr>
        <w:t>建立科学合理的资金绩效评价指标体系，定期对项目资金的使用效益进行评价。评价内容包括资金使用效率、项目完成情况等。根据绩效评价结果，总结经验教训，改进资金管理工作，提高资金使用效益。</w:t>
      </w:r>
    </w:p>
    <w:p>
      <w:pPr>
        <w:pStyle w:val="15"/>
        <w:keepNext w:val="0"/>
        <w:keepLines w:val="0"/>
        <w:pageBreakBefore w:val="0"/>
        <w:kinsoku/>
        <w:wordWrap/>
        <w:overflowPunct w:val="0"/>
        <w:topLinePunct w:val="0"/>
        <w:autoSpaceDE/>
        <w:autoSpaceDN/>
        <w:bidi w:val="0"/>
        <w:spacing w:line="600" w:lineRule="exact"/>
        <w:ind w:firstLine="1440" w:firstLineChars="200"/>
        <w:jc w:val="both"/>
        <w:rPr>
          <w:rFonts w:ascii="Times New Roman" w:hAnsi="Times New Roman" w:eastAsia="仿宋_GB2312" w:cs="Times New Roman"/>
          <w:color w:val="auto"/>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both"/>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eastAsia="方正小标宋_GBK" w:cs="Times New Roman"/>
          <w:sz w:val="52"/>
          <w:szCs w:val="52"/>
        </w:rPr>
      </w:pPr>
    </w:p>
    <w:p>
      <w:pPr>
        <w:pStyle w:val="15"/>
        <w:keepNext w:val="0"/>
        <w:keepLines w:val="0"/>
        <w:pageBreakBefore w:val="0"/>
        <w:kinsoku/>
        <w:wordWrap/>
        <w:topLinePunct w:val="0"/>
        <w:bidi w:val="0"/>
        <w:spacing w:line="600" w:lineRule="exact"/>
        <w:jc w:val="center"/>
        <w:rPr>
          <w:rFonts w:ascii="Times New Roman" w:hAnsi="Times New Roman" w:cs="Times New Roman"/>
          <w:color w:val="000000"/>
          <w:kern w:val="0"/>
          <w:sz w:val="32"/>
          <w:szCs w:val="32"/>
        </w:rPr>
      </w:pPr>
      <w:r>
        <w:rPr>
          <w:rFonts w:ascii="Times New Roman" w:hAnsi="Times New Roman" w:eastAsia="方正小标宋_GBK" w:cs="Times New Roman"/>
          <w:sz w:val="52"/>
          <w:szCs w:val="52"/>
        </w:rPr>
        <w:t>第四部分    名词解释</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Times New Roman" w:hAnsi="Times New Roman" w:eastAsia="仿宋_GB2312" w:cs="Times New Roman"/>
          <w:color w:val="auto"/>
          <w:sz w:val="32"/>
          <w:szCs w:val="32"/>
          <w:lang w:eastAsia="zh-CN"/>
        </w:rPr>
      </w:pP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一、财政拨款收入：指财政当年拨付的资金。</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二、事业收入：指事业单位开展专业业务活动及辅助活动所取得的收入。如：中国财政杂志社的刊物发行收入，中国注册会计师协会、中国资产评估协会、中国国债协会、中国会计学会你和别人会费收入等。</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三、经营收入：指事业单位在专业业务活动及其辅助活动之外开展非独立核算经营活动取得的收入。如：中国财政杂志社广告收入等。</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四、其他收入：指除上述：“财政拨款收入”、“事业收入”、“经营收入”等以外的收入。主要是按规定动用的售房收入、存款利息收入等。</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五、用事业基金弥补收支差额：指事业单位在当年的“财政拨款收入”、“事业收入”、“经营收入”、“其他收入”不足以安排当年支出的情况下，使用以前年度积累的基金（事业单位当年收支相抵后按国家规定提取、用于弥补以后年度收支差额的基金）弥补本年度收支缺口的资金。</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六、年初结转和结余：指以前年度尚未完成、结转到本年按有关规定继续使用的资金。</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七、结余分配：指事业单位按规定提取的职工福利基金、事业基金和缴纳的所得税，以及建设单位按规定应交回的基本建设竣工项目结余资金。</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八、年末结转和结余：指本年度或以前年度预算安排、因客观条件发生变化无法按原计划实施，需要延迟到以后年度按有关规定继续使用的资金。</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九、基本支出：指为保障机构正常运转、完成日常工作任务而发生的人员支出和公用支出。</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十、项目支出：指在基本支出之外完成特定行政任务和事业发展目标所发生的支出。</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十一、经营支出：指事业单位在专业业务活动及其辅助活动之外开展非独立核算经营活动发生的支出。</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十二、“三公”经费：</w:t>
      </w:r>
      <w:r>
        <w:rPr>
          <w:rFonts w:hint="eastAsia" w:ascii="仿宋_GB2312" w:hAnsi="仿宋_GB2312" w:eastAsia="仿宋_GB2312" w:cs="仿宋_GB2312"/>
          <w:sz w:val="32"/>
          <w:szCs w:val="32"/>
        </w:rPr>
        <w:t>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pPr>
        <w:pStyle w:val="15"/>
        <w:keepNext w:val="0"/>
        <w:keepLines w:val="0"/>
        <w:pageBreakBefore w:val="0"/>
        <w:kinsoku/>
        <w:wordWrap/>
        <w:overflowPunct w:val="0"/>
        <w:topLinePunct w:val="0"/>
        <w:autoSpaceDE/>
        <w:autoSpaceDN/>
        <w:bidi w:val="0"/>
        <w:spacing w:line="600" w:lineRule="exact"/>
        <w:ind w:firstLine="640" w:firstLineChars="200"/>
        <w:jc w:val="both"/>
        <w:textAlignment w:val="auto"/>
        <w:rPr>
          <w:rFonts w:ascii="Times New Roman" w:hAnsi="Times New Roman" w:cs="Times New Roman"/>
          <w:sz w:val="72"/>
          <w:szCs w:val="72"/>
        </w:rPr>
      </w:pPr>
      <w:r>
        <w:rPr>
          <w:rFonts w:hint="eastAsia" w:ascii="Times New Roman" w:hAnsi="Times New Roman" w:eastAsia="仿宋_GB2312" w:cs="Times New Roman"/>
          <w:color w:val="auto"/>
          <w:sz w:val="32"/>
          <w:szCs w:val="32"/>
          <w:lang w:val="en-US" w:eastAsia="zh-CN"/>
        </w:rPr>
        <w:t>十三、机关运行经费：</w:t>
      </w:r>
      <w:r>
        <w:rPr>
          <w:rFonts w:hint="eastAsia" w:ascii="仿宋_GB2312" w:hAnsi="仿宋_GB2312" w:eastAsia="仿宋_GB2312" w:cs="仿宋_GB2312"/>
          <w:sz w:val="32"/>
          <w:szCs w:val="32"/>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both"/>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keepNext w:val="0"/>
        <w:keepLines w:val="0"/>
        <w:pageBreakBefore w:val="0"/>
        <w:kinsoku/>
        <w:wordWrap/>
        <w:topLinePunct w:val="0"/>
        <w:bidi w:val="0"/>
        <w:spacing w:line="600" w:lineRule="exact"/>
        <w:rPr>
          <w:rFonts w:ascii="Times New Roman" w:hAnsi="Times New Roman" w:cs="Times New Roman"/>
          <w:sz w:val="72"/>
          <w:szCs w:val="72"/>
        </w:rPr>
      </w:pPr>
    </w:p>
    <w:p>
      <w:pPr>
        <w:pStyle w:val="15"/>
        <w:keepNext w:val="0"/>
        <w:keepLines w:val="0"/>
        <w:pageBreakBefore w:val="0"/>
        <w:kinsoku/>
        <w:wordWrap/>
        <w:topLinePunct w:val="0"/>
        <w:bidi w:val="0"/>
        <w:spacing w:line="600" w:lineRule="exact"/>
        <w:ind w:firstLine="640"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一、</w:t>
      </w:r>
      <w:r>
        <w:rPr>
          <w:rFonts w:hint="eastAsia" w:ascii="Times New Roman" w:hAnsi="Times New Roman" w:eastAsia="仿宋_GB2312" w:cs="Times New Roman"/>
          <w:sz w:val="32"/>
          <w:szCs w:val="32"/>
          <w:lang w:val="en-US" w:eastAsia="zh-CN"/>
        </w:rPr>
        <w:t>2025年</w:t>
      </w:r>
      <w:r>
        <w:rPr>
          <w:rFonts w:hint="eastAsia" w:ascii="Times New Roman" w:hAnsi="Times New Roman" w:eastAsia="仿宋_GB2312" w:cs="Times New Roman"/>
          <w:b w:val="0"/>
          <w:bCs w:val="0"/>
          <w:sz w:val="32"/>
          <w:szCs w:val="32"/>
          <w:lang w:val="en-US" w:eastAsia="zh-CN"/>
        </w:rPr>
        <w:t>度怀化市民政局部门决算公开表格；</w:t>
      </w:r>
    </w:p>
    <w:p>
      <w:pPr>
        <w:pStyle w:val="15"/>
        <w:keepNext w:val="0"/>
        <w:keepLines w:val="0"/>
        <w:pageBreakBefore w:val="0"/>
        <w:kinsoku/>
        <w:wordWrap/>
        <w:topLinePunct w:val="0"/>
        <w:bidi w:val="0"/>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b/>
          <w:bCs/>
          <w:sz w:val="32"/>
          <w:szCs w:val="32"/>
          <w:lang w:eastAsia="zh-CN"/>
        </w:rPr>
        <w:t>二、</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r>
        <w:rPr>
          <w:rFonts w:hint="eastAsia" w:ascii="Times New Roman" w:hAnsi="Times New Roman" w:eastAsia="仿宋_GB2312" w:cs="Times New Roman"/>
          <w:sz w:val="32"/>
          <w:szCs w:val="32"/>
          <w:lang w:eastAsia="zh-CN"/>
        </w:rPr>
        <w:t>；</w:t>
      </w:r>
    </w:p>
    <w:p>
      <w:pPr>
        <w:pStyle w:val="15"/>
        <w:keepNext w:val="0"/>
        <w:keepLines w:val="0"/>
        <w:pageBreakBefore w:val="0"/>
        <w:kinsoku/>
        <w:wordWrap/>
        <w:topLinePunct w:val="0"/>
        <w:bidi w:val="0"/>
        <w:spacing w:line="600" w:lineRule="exact"/>
        <w:ind w:firstLine="640" w:firstLineChars="200"/>
        <w:textAlignment w:val="auto"/>
        <w:rPr>
          <w:rFonts w:hint="eastAsia" w:ascii="Times New Roman" w:hAnsi="Times New Roman" w:eastAsia="仿宋_GB2312" w:cs="Times New Roman"/>
          <w:b w:val="0"/>
          <w:bCs w:val="0"/>
          <w:sz w:val="32"/>
          <w:szCs w:val="32"/>
          <w:lang w:eastAsia="zh-CN"/>
        </w:rPr>
      </w:pPr>
      <w:r>
        <w:rPr>
          <w:rFonts w:hint="eastAsia" w:ascii="Times New Roman" w:hAnsi="Times New Roman" w:eastAsia="仿宋_GB2312" w:cs="Times New Roman"/>
          <w:b/>
          <w:bCs/>
          <w:sz w:val="32"/>
          <w:szCs w:val="32"/>
          <w:lang w:eastAsia="zh-CN"/>
        </w:rPr>
        <w:t>三、</w:t>
      </w:r>
      <w:r>
        <w:rPr>
          <w:rFonts w:hint="eastAsia" w:ascii="Times New Roman" w:hAnsi="Times New Roman" w:eastAsia="仿宋_GB2312" w:cs="Times New Roman"/>
          <w:b w:val="0"/>
          <w:bCs w:val="0"/>
          <w:sz w:val="32"/>
          <w:szCs w:val="32"/>
          <w:lang w:val="en-US" w:eastAsia="zh-CN"/>
        </w:rPr>
        <w:t>2025</w:t>
      </w:r>
      <w:r>
        <w:rPr>
          <w:rFonts w:hint="eastAsia" w:ascii="Times New Roman" w:hAnsi="Times New Roman" w:eastAsia="仿宋_GB2312" w:cs="Times New Roman"/>
          <w:b w:val="0"/>
          <w:bCs w:val="0"/>
          <w:sz w:val="32"/>
          <w:szCs w:val="32"/>
          <w:lang w:eastAsia="zh-CN"/>
        </w:rPr>
        <w:t>年度怀化市民政局项目支出绩效自评报告。</w:t>
      </w:r>
    </w:p>
    <w:p>
      <w:pPr>
        <w:pStyle w:val="15"/>
        <w:keepNext w:val="0"/>
        <w:keepLines w:val="0"/>
        <w:pageBreakBefore w:val="0"/>
        <w:kinsoku/>
        <w:wordWrap/>
        <w:topLinePunct w:val="0"/>
        <w:bidi w:val="0"/>
        <w:spacing w:line="600" w:lineRule="exact"/>
        <w:ind w:firstLine="640" w:firstLineChars="200"/>
        <w:rPr>
          <w:rFonts w:ascii="Times New Roman" w:hAnsi="Times New Roman" w:eastAsia="仿宋_GB2312" w:cs="Times New Roman"/>
          <w:sz w:val="32"/>
          <w:szCs w:val="32"/>
        </w:rPr>
      </w:pPr>
    </w:p>
    <w:p>
      <w:pPr>
        <w:pStyle w:val="15"/>
        <w:keepNext w:val="0"/>
        <w:keepLines w:val="0"/>
        <w:pageBreakBefore w:val="0"/>
        <w:kinsoku/>
        <w:wordWrap/>
        <w:topLinePunct w:val="0"/>
        <w:bidi w:val="0"/>
        <w:spacing w:line="600" w:lineRule="exact"/>
        <w:ind w:firstLine="640" w:firstLineChars="200"/>
        <w:rPr>
          <w:rFonts w:ascii="Times New Roman" w:hAnsi="Times New Roman" w:eastAsia="仿宋_GB2312" w:cs="Times New Roman"/>
          <w:sz w:val="32"/>
          <w:szCs w:val="3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pStyle w:val="15"/>
        <w:keepNext w:val="0"/>
        <w:keepLines w:val="0"/>
        <w:pageBreakBefore w:val="0"/>
        <w:kinsoku/>
        <w:wordWrap/>
        <w:topLinePunct w:val="0"/>
        <w:bidi w:val="0"/>
        <w:spacing w:line="600" w:lineRule="exact"/>
        <w:jc w:val="center"/>
        <w:rPr>
          <w:rFonts w:ascii="Times New Roman" w:hAnsi="Times New Roman" w:cs="Times New Roman"/>
          <w:sz w:val="72"/>
          <w:szCs w:val="72"/>
        </w:rPr>
      </w:pPr>
    </w:p>
    <w:p>
      <w:pPr>
        <w:keepNext w:val="0"/>
        <w:keepLines w:val="0"/>
        <w:pageBreakBefore w:val="0"/>
        <w:kinsoku/>
        <w:wordWrap/>
        <w:topLinePunct w:val="0"/>
        <w:bidi w:val="0"/>
        <w:spacing w:line="600" w:lineRule="exact"/>
        <w:jc w:val="left"/>
        <w:rPr>
          <w:rFonts w:ascii="Times New Roman" w:hAnsi="Times New Roman" w:cs="Times New Roman"/>
          <w:color w:val="000000"/>
          <w:kern w:val="0"/>
          <w:sz w:val="32"/>
          <w:szCs w:val="32"/>
        </w:rPr>
      </w:pPr>
    </w:p>
    <w:sectPr>
      <w:footerReference r:id="rId6" w:type="default"/>
      <w:pgSz w:w="11906" w:h="16838"/>
      <w:pgMar w:top="1984" w:right="1588" w:bottom="1701"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10601030101010101"/>
    <w:charset w:val="86"/>
    <w:family w:val="auto"/>
    <w:pitch w:val="default"/>
    <w:sig w:usb0="00000000" w:usb1="00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Times New Roman Regular">
    <w:altName w:val="Nimbus Roman No9 L"/>
    <w:panose1 w:val="00000000000000000000"/>
    <w:charset w:val="00"/>
    <w:family w:val="auto"/>
    <w:pitch w:val="default"/>
    <w:sig w:usb0="00000000" w:usb1="00000000" w:usb2="00000009" w:usb3="00000000" w:csb0="400001FF" w:csb1="FFFF0000"/>
  </w:font>
  <w:font w:name="华文中宋">
    <w:altName w:val="方正书宋_GBK"/>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gF26zFQIAABkEAAAOAAAAAAAAAAEAIAAAADUBAABkcnMvZTJvRG9jLnhtbFBLBQYAAAAABgAG&#10;AFkBAAC8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nWxrOFQIAABkEAAAOAAAAAAAAAAEAIAAAADUBAABkcnMvZTJvRG9jLnhtbFBLBQYAAAAABgAG&#10;AFkBAAC8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documentProtection w:enforcement="0"/>
  <w:defaultTabStop w:val="420"/>
  <w:drawingGridHorizontalSpacing w:val="105"/>
  <w:drawingGridVerticalSpacing w:val="156"/>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D97DEFF"/>
    <w:rsid w:val="1DFF72E5"/>
    <w:rsid w:val="1EFC6F07"/>
    <w:rsid w:val="2FDF85B8"/>
    <w:rsid w:val="2FFFEE04"/>
    <w:rsid w:val="321F7EAB"/>
    <w:rsid w:val="34DF85B0"/>
    <w:rsid w:val="3B8F36BC"/>
    <w:rsid w:val="3CFF851F"/>
    <w:rsid w:val="3FFF1077"/>
    <w:rsid w:val="491FF225"/>
    <w:rsid w:val="4FFD214C"/>
    <w:rsid w:val="5777D4F5"/>
    <w:rsid w:val="59DD8326"/>
    <w:rsid w:val="5DEF592A"/>
    <w:rsid w:val="5FC6BB1E"/>
    <w:rsid w:val="5FF720F1"/>
    <w:rsid w:val="67FB3A61"/>
    <w:rsid w:val="67FF5C0B"/>
    <w:rsid w:val="6EFC0924"/>
    <w:rsid w:val="6FB74722"/>
    <w:rsid w:val="6FEF8B7E"/>
    <w:rsid w:val="71A6591B"/>
    <w:rsid w:val="737D59BA"/>
    <w:rsid w:val="747F0960"/>
    <w:rsid w:val="777BAF17"/>
    <w:rsid w:val="77C37683"/>
    <w:rsid w:val="78CFF194"/>
    <w:rsid w:val="79D19834"/>
    <w:rsid w:val="79FF515B"/>
    <w:rsid w:val="7BF549BF"/>
    <w:rsid w:val="7D0EBB85"/>
    <w:rsid w:val="7E9E1962"/>
    <w:rsid w:val="7E9F11B4"/>
    <w:rsid w:val="7F37EC1E"/>
    <w:rsid w:val="7F7DCD9D"/>
    <w:rsid w:val="7F970A6F"/>
    <w:rsid w:val="7FC1FFF3"/>
    <w:rsid w:val="7FC69637"/>
    <w:rsid w:val="7FDA2532"/>
    <w:rsid w:val="7FDF1A7E"/>
    <w:rsid w:val="7FDF8620"/>
    <w:rsid w:val="7FE8C8F7"/>
    <w:rsid w:val="7FFB242F"/>
    <w:rsid w:val="7FFDB408"/>
    <w:rsid w:val="7FFE4EEB"/>
    <w:rsid w:val="95FB2B98"/>
    <w:rsid w:val="9A639BC2"/>
    <w:rsid w:val="9BFA491D"/>
    <w:rsid w:val="9FF7D786"/>
    <w:rsid w:val="A7678056"/>
    <w:rsid w:val="ABBFB23D"/>
    <w:rsid w:val="B6AFFE39"/>
    <w:rsid w:val="BF1DC0A5"/>
    <w:rsid w:val="BFF72556"/>
    <w:rsid w:val="C3B4DA5A"/>
    <w:rsid w:val="CBFF70E0"/>
    <w:rsid w:val="CFF50B82"/>
    <w:rsid w:val="CFFFAD89"/>
    <w:rsid w:val="DBBBF03F"/>
    <w:rsid w:val="DFDF99F3"/>
    <w:rsid w:val="DFFE359E"/>
    <w:rsid w:val="DFFE4FFD"/>
    <w:rsid w:val="E2F6D197"/>
    <w:rsid w:val="EEABED75"/>
    <w:rsid w:val="F56FDF51"/>
    <w:rsid w:val="F6B69F17"/>
    <w:rsid w:val="F77F1D61"/>
    <w:rsid w:val="F7FED3A9"/>
    <w:rsid w:val="F8C9DB26"/>
    <w:rsid w:val="F97E8EAE"/>
    <w:rsid w:val="FB36E1A6"/>
    <w:rsid w:val="FB3BE134"/>
    <w:rsid w:val="FCFF4275"/>
    <w:rsid w:val="FD7FEEEA"/>
    <w:rsid w:val="FDFFB577"/>
    <w:rsid w:val="FEEA50FE"/>
    <w:rsid w:val="FF578E95"/>
    <w:rsid w:val="FF7B45E0"/>
    <w:rsid w:val="FF7D47A9"/>
    <w:rsid w:val="FF7F4F15"/>
    <w:rsid w:val="FF7F63BE"/>
    <w:rsid w:val="FFCF21CB"/>
    <w:rsid w:val="FFDBA1DD"/>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3"/>
    <w:basedOn w:val="1"/>
    <w:next w:val="1"/>
    <w:semiHidden/>
    <w:unhideWhenUsed/>
    <w:qFormat/>
    <w:uiPriority w:val="0"/>
    <w:pPr>
      <w:keepNext/>
      <w:keepLines/>
      <w:spacing w:line="560" w:lineRule="exact"/>
      <w:ind w:firstLine="894" w:firstLineChars="200"/>
      <w:outlineLvl w:val="2"/>
    </w:pPr>
    <w:rPr>
      <w:rFonts w:ascii="Times New Roman" w:hAnsi="Times New Roman" w:eastAsia="仿宋_GB2312" w:cs="仿宋_GB2312"/>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6">
    <w:name w:val="index 5"/>
    <w:basedOn w:val="1"/>
    <w:next w:val="1"/>
    <w:unhideWhenUsed/>
    <w:qFormat/>
    <w:uiPriority w:val="99"/>
    <w:pPr>
      <w:ind w:left="1680"/>
    </w:pPr>
    <w:rPr>
      <w:rFonts w:ascii="Calibri" w:hAnsi="Calibri" w:eastAsia="宋体" w:cs="Times New Roman"/>
      <w:szCs w:val="22"/>
    </w:rPr>
  </w:style>
  <w:style w:type="paragraph" w:styleId="7">
    <w:name w:val="Balloon Text"/>
    <w:basedOn w:val="1"/>
    <w:link w:val="17"/>
    <w:semiHidden/>
    <w:unhideWhenUsed/>
    <w:qFormat/>
    <w:uiPriority w:val="99"/>
    <w:rPr>
      <w:sz w:val="18"/>
      <w:szCs w:val="18"/>
    </w:rPr>
  </w:style>
  <w:style w:type="paragraph" w:styleId="8">
    <w:name w:val="footer"/>
    <w:basedOn w:val="1"/>
    <w:next w:val="6"/>
    <w:link w:val="14"/>
    <w:unhideWhenUsed/>
    <w:qFormat/>
    <w:uiPriority w:val="99"/>
    <w:pPr>
      <w:tabs>
        <w:tab w:val="center" w:pos="4153"/>
        <w:tab w:val="right" w:pos="8306"/>
      </w:tabs>
      <w:snapToGrid w:val="0"/>
      <w:jc w:val="left"/>
    </w:pPr>
    <w:rPr>
      <w:sz w:val="18"/>
      <w:szCs w:val="18"/>
    </w:rPr>
  </w:style>
  <w:style w:type="paragraph" w:styleId="9">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12">
    <w:name w:val="样式 标题 3"/>
    <w:basedOn w:val="5"/>
    <w:qFormat/>
    <w:uiPriority w:val="0"/>
  </w:style>
  <w:style w:type="character" w:customStyle="1" w:styleId="13">
    <w:name w:val="页眉 Char"/>
    <w:basedOn w:val="11"/>
    <w:link w:val="9"/>
    <w:qFormat/>
    <w:uiPriority w:val="99"/>
    <w:rPr>
      <w:sz w:val="18"/>
      <w:szCs w:val="18"/>
    </w:rPr>
  </w:style>
  <w:style w:type="character" w:customStyle="1" w:styleId="14">
    <w:name w:val="页脚 Char"/>
    <w:basedOn w:val="11"/>
    <w:link w:val="8"/>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1"/>
    <w:link w:val="7"/>
    <w:semiHidden/>
    <w:qFormat/>
    <w:uiPriority w:val="99"/>
    <w:rPr>
      <w:sz w:val="18"/>
      <w:szCs w:val="18"/>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21"/>
    <w:basedOn w:val="11"/>
    <w:qFormat/>
    <w:uiPriority w:val="0"/>
    <w:rPr>
      <w:rFonts w:hint="eastAsia" w:ascii="宋体" w:hAnsi="宋体" w:eastAsia="宋体" w:cs="宋体"/>
      <w:color w:val="000000"/>
      <w:sz w:val="24"/>
      <w:szCs w:val="24"/>
      <w:u w:val="none"/>
    </w:rPr>
  </w:style>
  <w:style w:type="character" w:customStyle="1" w:styleId="20">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1463</Words>
  <Characters>8342</Characters>
  <Lines>69</Lines>
  <Paragraphs>19</Paragraphs>
  <TotalTime>1</TotalTime>
  <ScaleCrop>false</ScaleCrop>
  <LinksUpToDate>false</LinksUpToDate>
  <CharactersWithSpaces>9786</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2025-08-22T02:17:00Z</dcterms:created>
  <dc:creator>李航 null</dc:creator>
  <cp:lastModifiedBy>greatwall</cp:lastModifiedBy>
  <cp:lastPrinted>2024-08-12T10:20:00Z</cp:lastPrinted>
  <dcterms:modified xsi:type="dcterms:W3CDTF">2026-09-22T12:49:28Z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4F0B27C0AAC35EFA9177686ADDD5E058</vt:lpwstr>
  </property>
</Properties>
</file>