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both"/>
        <w:rPr>
          <w:rFonts w:hAnsi="黑体"/>
          <w:sz w:val="36"/>
          <w:szCs w:val="36"/>
        </w:rPr>
      </w:pPr>
      <w:r>
        <w:rPr>
          <w:rFonts w:hint="eastAsia" w:hAnsi="黑体"/>
          <w:sz w:val="36"/>
          <w:szCs w:val="36"/>
        </w:rPr>
        <w:t>附件1</w:t>
      </w:r>
    </w:p>
    <w:p>
      <w:pPr>
        <w:pStyle w:val="14"/>
        <w:jc w:val="center"/>
        <w:rPr>
          <w:rFonts w:ascii="Times New Roman" w:hAnsi="Times New Roman" w:cs="Times New Roman"/>
          <w:sz w:val="56"/>
          <w:szCs w:val="56"/>
        </w:rPr>
      </w:pPr>
    </w:p>
    <w:p>
      <w:pPr>
        <w:pStyle w:val="14"/>
        <w:jc w:val="center"/>
        <w:rPr>
          <w:rFonts w:ascii="Times New Roman" w:hAnsi="Times New Roman" w:cs="Times New Roman"/>
          <w:sz w:val="84"/>
          <w:szCs w:val="84"/>
        </w:rPr>
      </w:pPr>
    </w:p>
    <w:p>
      <w:pPr>
        <w:pStyle w:val="14"/>
        <w:jc w:val="center"/>
        <w:rPr>
          <w:rFonts w:ascii="Times New Roman" w:hAnsi="Times New Roman" w:cs="Times New Roman"/>
          <w:sz w:val="84"/>
          <w:szCs w:val="84"/>
        </w:rPr>
      </w:pPr>
    </w:p>
    <w:p>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怀化市社会福利院</w:t>
      </w:r>
      <w:r>
        <w:rPr>
          <w:rFonts w:ascii="Times New Roman" w:hAnsi="Times New Roman" w:eastAsia="方正小标宋简体" w:cs="Times New Roman"/>
          <w:sz w:val="72"/>
          <w:szCs w:val="72"/>
        </w:rPr>
        <w:t>部门决算</w:t>
      </w:r>
    </w:p>
    <w:p>
      <w:pPr>
        <w:pStyle w:val="14"/>
        <w:jc w:val="center"/>
        <w:rPr>
          <w:rFonts w:ascii="Times New Roman" w:hAnsi="Times New Roman" w:eastAsia="方正小标宋_GBK" w:cs="Times New Roman"/>
          <w:sz w:val="56"/>
          <w:szCs w:val="56"/>
        </w:rPr>
      </w:pPr>
    </w:p>
    <w:p>
      <w:pPr>
        <w:pStyle w:val="14"/>
        <w:jc w:val="center"/>
        <w:rPr>
          <w:rFonts w:ascii="Times New Roman" w:hAnsi="Times New Roman" w:cs="Times New Roman"/>
          <w:sz w:val="56"/>
          <w:szCs w:val="56"/>
        </w:rPr>
      </w:pPr>
    </w:p>
    <w:p>
      <w:pPr>
        <w:pStyle w:val="14"/>
        <w:rPr>
          <w:rFonts w:ascii="Times New Roman" w:hAnsi="Times New Roman" w:cs="Times New Roman"/>
          <w:sz w:val="56"/>
          <w:szCs w:val="56"/>
        </w:rPr>
      </w:pPr>
    </w:p>
    <w:p>
      <w:pPr>
        <w:pStyle w:val="14"/>
        <w:jc w:val="center"/>
        <w:rPr>
          <w:rFonts w:ascii="Times New Roman" w:hAnsi="Times New Roman" w:cs="Times New Roman"/>
          <w:sz w:val="32"/>
          <w:szCs w:val="32"/>
        </w:rPr>
      </w:pPr>
    </w:p>
    <w:p>
      <w:pPr>
        <w:pStyle w:val="14"/>
        <w:jc w:val="center"/>
        <w:rPr>
          <w:rFonts w:ascii="Times New Roman" w:hAnsi="Times New Roman" w:cs="Times New Roman"/>
          <w:sz w:val="32"/>
          <w:szCs w:val="32"/>
        </w:rPr>
      </w:pPr>
    </w:p>
    <w:p>
      <w:pPr>
        <w:pStyle w:val="14"/>
        <w:jc w:val="center"/>
        <w:rPr>
          <w:rFonts w:ascii="Times New Roman" w:hAnsi="Times New Roman" w:cs="Times New Roman"/>
          <w:sz w:val="32"/>
          <w:szCs w:val="32"/>
        </w:rPr>
      </w:pPr>
    </w:p>
    <w:p>
      <w:pPr>
        <w:pStyle w:val="14"/>
        <w:jc w:val="center"/>
        <w:rPr>
          <w:rFonts w:ascii="Times New Roman" w:hAnsi="Times New Roman" w:cs="Times New Roman"/>
          <w:sz w:val="32"/>
          <w:szCs w:val="32"/>
        </w:rPr>
      </w:pPr>
    </w:p>
    <w:p>
      <w:pPr>
        <w:pStyle w:val="14"/>
        <w:jc w:val="center"/>
        <w:rPr>
          <w:rFonts w:ascii="Times New Roman" w:hAnsi="Times New Roman" w:cs="Times New Roman"/>
          <w:sz w:val="32"/>
          <w:szCs w:val="32"/>
        </w:rPr>
      </w:pPr>
    </w:p>
    <w:p>
      <w:pPr>
        <w:pStyle w:val="14"/>
        <w:jc w:val="center"/>
        <w:rPr>
          <w:rFonts w:ascii="Times New Roman" w:hAnsi="Times New Roman" w:cs="Times New Roman"/>
          <w:sz w:val="32"/>
          <w:szCs w:val="32"/>
        </w:rPr>
      </w:pPr>
    </w:p>
    <w:p>
      <w:pPr>
        <w:pStyle w:val="14"/>
        <w:spacing w:line="540" w:lineRule="exact"/>
        <w:jc w:val="center"/>
        <w:rPr>
          <w:rFonts w:ascii="Times New Roman" w:hAnsi="Times New Roman" w:cs="Times New Roman"/>
          <w:sz w:val="56"/>
          <w:szCs w:val="56"/>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4"/>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4"/>
        <w:spacing w:line="600" w:lineRule="exact"/>
        <w:jc w:val="both"/>
        <w:rPr>
          <w:rFonts w:ascii="Times New Roman" w:hAnsi="Times New Roman" w:cs="Times New Roman"/>
          <w:b/>
          <w:sz w:val="36"/>
          <w:szCs w:val="28"/>
        </w:rPr>
      </w:pPr>
    </w:p>
    <w:p>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4"/>
        <w:spacing w:line="600" w:lineRule="exact"/>
        <w:jc w:val="center"/>
        <w:rPr>
          <w:rFonts w:ascii="Times New Roman" w:hAnsi="Times New Roman" w:cs="Times New Roman"/>
          <w:b/>
          <w:sz w:val="36"/>
          <w:szCs w:val="28"/>
        </w:rPr>
      </w:pPr>
    </w:p>
    <w:p>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怀化市社会福利院</w:t>
      </w:r>
      <w:r>
        <w:rPr>
          <w:rFonts w:ascii="Times New Roman" w:hAnsi="Times New Roman" w:cs="Times New Roman"/>
          <w:bCs/>
          <w:sz w:val="32"/>
          <w:szCs w:val="32"/>
        </w:rPr>
        <w:t>概况</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构成</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hint="default" w:ascii="Times New Roman" w:hAnsi="Times New Roman" w:eastAsia="仿宋_GB2312" w:cs="Times New Roman"/>
          <w:color w:val="000000"/>
          <w:kern w:val="0"/>
          <w:sz w:val="32"/>
          <w:szCs w:val="32"/>
          <w:lang w:val="en-US" w:eastAsia="zh-CN"/>
        </w:rPr>
      </w:pPr>
      <w:r>
        <w:rPr>
          <w:rFonts w:ascii="Times New Roman" w:hAnsi="Times New Roman" w:eastAsia="仿宋_GB2312" w:cs="Times New Roman"/>
          <w:color w:val="000000"/>
          <w:kern w:val="0"/>
          <w:sz w:val="32"/>
          <w:szCs w:val="32"/>
        </w:rPr>
        <w:t>八、政府性基金预算收入支出决算情况</w:t>
      </w:r>
      <w:r>
        <w:rPr>
          <w:rFonts w:hint="eastAsia" w:ascii="Times New Roman" w:hAnsi="Times New Roman" w:eastAsia="仿宋_GB2312" w:cs="Times New Roman"/>
          <w:color w:val="000000"/>
          <w:kern w:val="0"/>
          <w:sz w:val="32"/>
          <w:szCs w:val="32"/>
          <w:lang w:val="en-US" w:eastAsia="zh-CN"/>
        </w:rPr>
        <w:t>说明</w:t>
      </w:r>
    </w:p>
    <w:p>
      <w:pPr>
        <w:autoSpaceDE w:val="0"/>
        <w:autoSpaceDN w:val="0"/>
        <w:adjustRightInd w:val="0"/>
        <w:spacing w:line="600" w:lineRule="exact"/>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九、</w:t>
      </w:r>
      <w:r>
        <w:rPr>
          <w:rFonts w:ascii="Times New Roman" w:hAnsi="Times New Roman" w:eastAsia="仿宋_GB2312" w:cs="Times New Roman"/>
          <w:sz w:val="32"/>
          <w:szCs w:val="32"/>
        </w:rPr>
        <w:t>国有资本经营预算</w:t>
      </w:r>
      <w:r>
        <w:rPr>
          <w:rFonts w:hint="eastAsia" w:ascii="Times New Roman" w:hAnsi="Times New Roman" w:eastAsia="仿宋_GB2312" w:cs="Times New Roman"/>
          <w:sz w:val="32"/>
          <w:szCs w:val="32"/>
          <w:lang w:val="en-US" w:eastAsia="zh-CN"/>
        </w:rPr>
        <w:t>收入</w:t>
      </w:r>
      <w:r>
        <w:rPr>
          <w:rFonts w:ascii="Times New Roman" w:hAnsi="Times New Roman" w:eastAsia="仿宋_GB2312" w:cs="Times New Roman"/>
          <w:sz w:val="32"/>
          <w:szCs w:val="32"/>
        </w:rPr>
        <w:t>支出决算</w:t>
      </w:r>
      <w:r>
        <w:rPr>
          <w:rFonts w:hint="eastAsia" w:ascii="Times New Roman" w:hAnsi="Times New Roman" w:eastAsia="仿宋_GB2312" w:cs="Times New Roman"/>
          <w:sz w:val="32"/>
          <w:szCs w:val="32"/>
          <w:lang w:val="en-US" w:eastAsia="zh-CN"/>
        </w:rPr>
        <w:t>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4"/>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怀化市社会福利院</w:t>
      </w:r>
      <w:r>
        <w:rPr>
          <w:rFonts w:ascii="Times New Roman" w:hAnsi="Times New Roman" w:eastAsia="方正小标宋_GBK" w:cs="Times New Roman"/>
          <w:sz w:val="52"/>
          <w:szCs w:val="52"/>
        </w:rPr>
        <w:t>概况</w:t>
      </w:r>
    </w:p>
    <w:p>
      <w:pPr>
        <w:pStyle w:val="3"/>
        <w:ind w:left="0" w:leftChars="0" w:firstLine="0" w:firstLineChars="0"/>
        <w:rPr>
          <w:rFonts w:ascii="Times New Roman" w:hAnsi="Times New Roman" w:cs="Times New Roman"/>
        </w:rPr>
      </w:pPr>
    </w:p>
    <w:p>
      <w:pPr>
        <w:widowControl/>
        <w:spacing w:line="600" w:lineRule="exac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widowControl/>
        <w:spacing w:line="600" w:lineRule="exac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（一）贯彻执行党和国家的社会福利政策及法律法规，依法保护服务对象的合法权益。</w:t>
      </w:r>
    </w:p>
    <w:p>
      <w:pPr>
        <w:widowControl/>
        <w:spacing w:line="600" w:lineRule="exac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（二）承担本行政区弃婴的接收、喂养、治疗、教育、康复和涉外民间收养。</w:t>
      </w:r>
    </w:p>
    <w:p>
      <w:pPr>
        <w:widowControl/>
        <w:spacing w:line="600" w:lineRule="exac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（三）承担市城区范围内部份“三无”老人接收供养。</w:t>
      </w:r>
    </w:p>
    <w:p>
      <w:pPr>
        <w:widowControl/>
        <w:spacing w:line="600" w:lineRule="exac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（四）提供社会老人的养老服务。</w:t>
      </w:r>
    </w:p>
    <w:p>
      <w:pPr>
        <w:widowControl/>
        <w:spacing w:line="600" w:lineRule="exac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（五）完成主管部门交办的其他任务。</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w:t>
      </w:r>
      <w:r>
        <w:rPr>
          <w:rFonts w:hint="eastAsia" w:ascii="Times New Roman" w:hAnsi="Times New Roman" w:eastAsia="黑体" w:cs="Times New Roman"/>
          <w:bCs/>
          <w:kern w:val="0"/>
          <w:sz w:val="32"/>
          <w:szCs w:val="32"/>
          <w:lang w:eastAsia="zh-CN"/>
        </w:rPr>
        <w:t>怀化市社会福利院</w:t>
      </w:r>
      <w:r>
        <w:rPr>
          <w:rFonts w:ascii="Times New Roman" w:hAnsi="Times New Roman" w:eastAsia="黑体" w:cs="Times New Roman"/>
          <w:bCs/>
          <w:kern w:val="0"/>
          <w:sz w:val="32"/>
          <w:szCs w:val="32"/>
        </w:rPr>
        <w:t>构成</w:t>
      </w:r>
    </w:p>
    <w:p>
      <w:pPr>
        <w:widowControl/>
        <w:spacing w:line="600" w:lineRule="exac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eastAsia="zh-CN"/>
        </w:rPr>
        <w:t>怀化市社会福利院</w:t>
      </w:r>
      <w:r>
        <w:rPr>
          <w:rFonts w:ascii="Times New Roman" w:hAnsi="Times New Roman" w:eastAsia="仿宋_GB2312" w:cs="Times New Roman"/>
          <w:bCs/>
          <w:kern w:val="0"/>
          <w:sz w:val="32"/>
          <w:szCs w:val="32"/>
        </w:rPr>
        <w:t>内设机构包括：</w:t>
      </w:r>
      <w:r>
        <w:rPr>
          <w:rFonts w:hint="default" w:ascii="Times New Roman" w:hAnsi="Times New Roman" w:eastAsia="仿宋_GB2312" w:cs="Times New Roman"/>
          <w:bCs/>
          <w:kern w:val="0"/>
          <w:sz w:val="32"/>
          <w:szCs w:val="32"/>
          <w:lang w:eastAsia="zh-CN"/>
        </w:rPr>
        <w:t>办公室、业务室、财务室。</w:t>
      </w:r>
    </w:p>
    <w:p>
      <w:pPr>
        <w:widowControl/>
        <w:spacing w:line="600" w:lineRule="exact"/>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（二）决算怀化市社会福利院构成。怀化市社会福利院2024</w:t>
      </w:r>
      <w:r>
        <w:rPr>
          <w:rFonts w:ascii="Times New Roman" w:hAnsi="Times New Roman" w:eastAsia="仿宋_GB2312" w:cs="Times New Roman"/>
          <w:bCs/>
          <w:kern w:val="0"/>
          <w:sz w:val="32"/>
          <w:szCs w:val="32"/>
        </w:rPr>
        <w:t>年部门决算汇总公开</w:t>
      </w:r>
      <w:r>
        <w:rPr>
          <w:rFonts w:hint="eastAsia" w:ascii="Times New Roman" w:hAnsi="Times New Roman" w:eastAsia="仿宋_GB2312" w:cs="Times New Roman"/>
          <w:bCs/>
          <w:kern w:val="0"/>
          <w:sz w:val="32"/>
          <w:szCs w:val="32"/>
          <w:lang w:val="en-US" w:eastAsia="zh-CN"/>
        </w:rPr>
        <w:t>单位</w:t>
      </w:r>
      <w:r>
        <w:rPr>
          <w:rFonts w:ascii="Times New Roman" w:hAnsi="Times New Roman" w:eastAsia="仿宋_GB2312" w:cs="Times New Roman"/>
          <w:bCs/>
          <w:kern w:val="0"/>
          <w:sz w:val="32"/>
          <w:szCs w:val="32"/>
        </w:rPr>
        <w:t>构成包括</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lang w:val="en-US" w:eastAsia="zh-CN"/>
        </w:rPr>
        <w:t>怀化市</w:t>
      </w:r>
      <w:r>
        <w:rPr>
          <w:rFonts w:hint="eastAsia" w:ascii="Times New Roman" w:hAnsi="Times New Roman" w:eastAsia="仿宋_GB2312" w:cs="Times New Roman"/>
          <w:bCs/>
          <w:kern w:val="0"/>
          <w:sz w:val="32"/>
          <w:szCs w:val="32"/>
          <w:lang w:eastAsia="zh-CN"/>
        </w:rPr>
        <w:t>社会福利院</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jc w:val="left"/>
        <w:textAlignment w:val="center"/>
        <w:rPr>
          <w:rFonts w:hint="eastAsia" w:ascii="Times New Roman" w:hAnsi="Times New Roman" w:eastAsia="仿宋_GB2312" w:cs="Times New Roman"/>
          <w:bCs/>
          <w:kern w:val="0"/>
          <w:sz w:val="32"/>
          <w:szCs w:val="32"/>
          <w:lang w:eastAsia="zh-CN"/>
        </w:rPr>
      </w:pPr>
      <w:r>
        <w:rPr>
          <w:rFonts w:hint="eastAsia" w:ascii="Times New Roman" w:hAnsi="Times New Roman" w:eastAsia="黑体" w:cs="Times New Roman"/>
          <w:color w:val="000000"/>
          <w:kern w:val="0"/>
          <w:sz w:val="36"/>
          <w:szCs w:val="36"/>
          <w:lang w:eastAsia="zh-CN" w:bidi="ar"/>
        </w:rPr>
        <w:tab/>
      </w:r>
    </w:p>
    <w:p>
      <w:pPr>
        <w:widowControl/>
        <w:jc w:val="left"/>
        <w:rPr>
          <w:rFonts w:ascii="Times New Roman" w:hAnsi="Times New Roman" w:eastAsia="黑体" w:cs="Times New Roman"/>
          <w:bCs/>
          <w:kern w:val="0"/>
          <w:sz w:val="32"/>
          <w:szCs w:val="32"/>
        </w:rPr>
      </w:pPr>
    </w:p>
    <w:p>
      <w:pPr>
        <w:pStyle w:val="7"/>
        <w:spacing w:line="400" w:lineRule="exact"/>
        <w:ind w:firstLine="5760" w:firstLineChars="1800"/>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 xml:space="preserve">（决算公开表附后） </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4"/>
        <w:rPr>
          <w:rFonts w:ascii="Times New Roman" w:hAnsi="Times New Roman" w:cs="Times New Roman"/>
          <w:sz w:val="72"/>
          <w:szCs w:val="72"/>
        </w:rPr>
      </w:pPr>
    </w:p>
    <w:p>
      <w:pPr>
        <w:pStyle w:val="14"/>
        <w:rPr>
          <w:rFonts w:ascii="Times New Roman" w:hAnsi="Times New Roman" w:cs="Times New Roman"/>
          <w:sz w:val="72"/>
          <w:szCs w:val="72"/>
        </w:rPr>
      </w:pPr>
    </w:p>
    <w:p>
      <w:pPr>
        <w:pStyle w:val="14"/>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eastAsia="方正小标宋_GBK"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bCs/>
          <w:sz w:val="32"/>
          <w:szCs w:val="32"/>
        </w:rPr>
      </w:pPr>
    </w:p>
    <w:p>
      <w:pPr>
        <w:widowControl/>
        <w:jc w:val="left"/>
        <w:rPr>
          <w:rFonts w:ascii="Times New Roman" w:hAnsi="Times New Roman" w:cs="Times New Roman"/>
          <w:bCs/>
          <w:sz w:val="32"/>
          <w:szCs w:val="32"/>
        </w:rPr>
      </w:pPr>
    </w:p>
    <w:p>
      <w:pPr>
        <w:widowControl/>
        <w:jc w:val="left"/>
        <w:rPr>
          <w:rFonts w:ascii="Times New Roman" w:hAnsi="Times New Roman" w:cs="Times New Roman"/>
          <w:bCs/>
          <w:sz w:val="32"/>
          <w:szCs w:val="32"/>
        </w:rPr>
      </w:pPr>
    </w:p>
    <w:p>
      <w:pPr>
        <w:widowControl/>
        <w:jc w:val="left"/>
        <w:rPr>
          <w:rFonts w:ascii="Times New Roman" w:hAnsi="Times New Roman" w:cs="Times New Roman"/>
          <w:bCs/>
          <w:sz w:val="32"/>
          <w:szCs w:val="32"/>
        </w:rPr>
      </w:pPr>
    </w:p>
    <w:p>
      <w:pPr>
        <w:widowControl/>
        <w:jc w:val="left"/>
        <w:rPr>
          <w:rFonts w:ascii="Times New Roman" w:hAnsi="Times New Roman" w:cs="Times New Roman"/>
          <w:bCs/>
          <w:sz w:val="32"/>
          <w:szCs w:val="32"/>
        </w:rPr>
      </w:pPr>
    </w:p>
    <w:p>
      <w:pPr>
        <w:widowControl/>
        <w:jc w:val="left"/>
        <w:rPr>
          <w:rFonts w:ascii="Times New Roman" w:hAnsi="Times New Roman" w:cs="Times New Roman"/>
          <w:bCs/>
          <w:sz w:val="32"/>
          <w:szCs w:val="32"/>
        </w:rPr>
      </w:pPr>
    </w:p>
    <w:p>
      <w:pPr>
        <w:widowControl/>
        <w:jc w:val="left"/>
        <w:rPr>
          <w:rFonts w:ascii="Times New Roman" w:hAnsi="Times New Roman" w:cs="Times New Roman"/>
          <w:bCs/>
          <w:sz w:val="32"/>
          <w:szCs w:val="32"/>
        </w:rPr>
      </w:pPr>
    </w:p>
    <w:p>
      <w:pPr>
        <w:widowControl/>
        <w:jc w:val="left"/>
        <w:rPr>
          <w:rFonts w:ascii="Times New Roman" w:hAnsi="Times New Roman" w:cs="Times New Roman"/>
          <w:bCs/>
          <w:sz w:val="32"/>
          <w:szCs w:val="32"/>
        </w:rPr>
      </w:pPr>
    </w:p>
    <w:p>
      <w:pPr>
        <w:widowControl/>
        <w:jc w:val="left"/>
        <w:rPr>
          <w:rFonts w:ascii="Times New Roman" w:hAnsi="Times New Roman" w:cs="Times New Roman"/>
          <w:bCs/>
          <w:sz w:val="32"/>
          <w:szCs w:val="32"/>
        </w:rPr>
      </w:pPr>
    </w:p>
    <w:p>
      <w:pPr>
        <w:widowControl/>
        <w:jc w:val="left"/>
        <w:rPr>
          <w:rFonts w:ascii="Times New Roman" w:hAnsi="Times New Roman" w:cs="Times New Roman"/>
          <w:bCs/>
          <w:sz w:val="32"/>
          <w:szCs w:val="32"/>
        </w:rPr>
      </w:pPr>
    </w:p>
    <w:p>
      <w:pPr>
        <w:widowControl/>
        <w:jc w:val="left"/>
        <w:rPr>
          <w:rFonts w:ascii="Times New Roman" w:hAnsi="Times New Roman" w:cs="Times New Roman"/>
          <w:bCs/>
          <w:sz w:val="32"/>
          <w:szCs w:val="32"/>
        </w:rPr>
      </w:pPr>
    </w:p>
    <w:p>
      <w:pPr>
        <w:widowControl/>
        <w:jc w:val="left"/>
        <w:rPr>
          <w:rFonts w:ascii="Times New Roman" w:hAnsi="Times New Roman" w:cs="Times New Roman"/>
          <w:bCs/>
          <w:sz w:val="32"/>
          <w:szCs w:val="32"/>
        </w:rPr>
      </w:pP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w:t>
      </w:r>
      <w:r>
        <w:rPr>
          <w:rFonts w:hint="eastAsia" w:ascii="Times New Roman" w:hAnsi="Times New Roman" w:eastAsia="仿宋_GB2312" w:cs="Times New Roman"/>
          <w:sz w:val="32"/>
          <w:szCs w:val="32"/>
          <w:lang w:val="en-US" w:eastAsia="zh-CN"/>
        </w:rPr>
        <w:t>入778.21万元，使用非财政拨款结余（含专用结余）31.49万元</w:t>
      </w:r>
      <w:r>
        <w:rPr>
          <w:rFonts w:ascii="Times New Roman" w:hAnsi="Times New Roman" w:eastAsia="仿宋_GB2312" w:cs="Times New Roman"/>
          <w:sz w:val="32"/>
          <w:szCs w:val="32"/>
        </w:rPr>
        <w:t>、支</w:t>
      </w:r>
      <w:r>
        <w:rPr>
          <w:rFonts w:hint="eastAsia" w:ascii="Times New Roman" w:hAnsi="Times New Roman" w:eastAsia="仿宋_GB2312" w:cs="Times New Roman"/>
          <w:sz w:val="32"/>
          <w:szCs w:val="32"/>
          <w:lang w:val="en-US" w:eastAsia="zh-CN"/>
        </w:rPr>
        <w:t>出809.10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年末结余结转0.6万元</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178.49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18.07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上年项目（未保及养老照护中心）建设已完成，而本年无建设项目。</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778.21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619.64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79.62</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158.57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20.38</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809.10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198.15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24.49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610.95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75.51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619.64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252.16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28.92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本年无建设项目。</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524.83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64.87</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166.89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24.13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本年无建设项目。</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4"/>
        <w:overflowPunct w:val="0"/>
        <w:autoSpaceDE/>
        <w:autoSpaceDN/>
        <w:spacing w:line="600" w:lineRule="exact"/>
        <w:ind w:firstLine="640" w:firstLineChars="200"/>
        <w:jc w:val="both"/>
        <w:rPr>
          <w:rFonts w:hint="eastAsia" w:ascii="Times New Roman" w:hAnsi="Times New Roman" w:eastAsia="楷体_GB2312" w:cs="Times New Roman"/>
          <w:b/>
          <w:bCs/>
          <w:i/>
          <w:color w:val="auto"/>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524.83</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lang w:val="en-US" w:eastAsia="zh-CN"/>
        </w:rPr>
        <w:t>社会保障和就业</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508.32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96.85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5.21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住房保障支出11.30万元，占2.15%</w:t>
      </w:r>
      <w:r>
        <w:rPr>
          <w:rFonts w:hint="eastAsia" w:ascii="Times New Roman" w:hAnsi="Times New Roman" w:eastAsia="仿宋_GB2312" w:cs="Times New Roman"/>
          <w:sz w:val="32"/>
          <w:szCs w:val="32"/>
          <w:lang w:eastAsia="zh-CN"/>
        </w:rPr>
        <w:t>。</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253.10</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524.83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207.36</w:t>
      </w:r>
      <w:r>
        <w:rPr>
          <w:rFonts w:ascii="Times New Roman" w:hAnsi="Times New Roman" w:eastAsia="仿宋_GB2312" w:cs="Times New Roman"/>
          <w:sz w:val="32"/>
          <w:szCs w:val="32"/>
        </w:rPr>
        <w:t>%，其中：</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民政管理事务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行政运行</w:t>
      </w:r>
      <w:r>
        <w:rPr>
          <w:rFonts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99.92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95.92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96.00</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人员绩效工资减少。</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10.27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78.70</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人员养老保险减少支出。</w:t>
      </w:r>
    </w:p>
    <w:p>
      <w:pPr>
        <w:pStyle w:val="14"/>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sz w:val="32"/>
          <w:szCs w:val="32"/>
          <w:lang w:val="en-US" w:eastAsia="zh-CN" w:bidi="ar-SA"/>
        </w:rPr>
        <w:t>3、</w:t>
      </w:r>
      <w:r>
        <w:rPr>
          <w:rFonts w:hint="eastAsia" w:ascii="Times New Roman" w:hAnsi="Times New Roman" w:eastAsia="仿宋_GB2312" w:cs="Times New Roman"/>
          <w:sz w:val="32"/>
          <w:szCs w:val="32"/>
          <w:lang w:val="en-US" w:eastAsia="zh-CN"/>
        </w:rPr>
        <w:t>社会保障和就业支出（类）社会福利（款）儿童福利（项）。</w:t>
      </w:r>
    </w:p>
    <w:p>
      <w:pPr>
        <w:pStyle w:val="14"/>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45.00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268.56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596.80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中央及省级困难群众救助资金支出年初未有预算。</w:t>
      </w:r>
    </w:p>
    <w:p>
      <w:pPr>
        <w:pStyle w:val="14"/>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sz w:val="32"/>
          <w:szCs w:val="32"/>
          <w:lang w:val="en-US" w:eastAsia="zh-CN" w:bidi="ar-SA"/>
        </w:rPr>
        <w:t>4、</w:t>
      </w:r>
      <w:r>
        <w:rPr>
          <w:rFonts w:hint="eastAsia" w:ascii="Times New Roman" w:hAnsi="Times New Roman" w:eastAsia="仿宋_GB2312" w:cs="Times New Roman"/>
          <w:sz w:val="32"/>
          <w:szCs w:val="32"/>
          <w:lang w:val="en-US" w:eastAsia="zh-CN"/>
        </w:rPr>
        <w:t>社会保障和就业支出（类）社会福利（款）社会福利事业单位（项）。</w:t>
      </w:r>
    </w:p>
    <w:p>
      <w:pPr>
        <w:pStyle w:val="14"/>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78.61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130.27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165.72</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支出上年失能长者照护中心建设尾款。</w:t>
      </w:r>
    </w:p>
    <w:p>
      <w:pPr>
        <w:pStyle w:val="14"/>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sz w:val="32"/>
          <w:szCs w:val="32"/>
          <w:lang w:val="en-US" w:eastAsia="zh-CN" w:bidi="ar-SA"/>
        </w:rPr>
        <w:t>5、</w:t>
      </w:r>
      <w:r>
        <w:rPr>
          <w:rFonts w:hint="eastAsia" w:ascii="Times New Roman" w:hAnsi="Times New Roman" w:eastAsia="仿宋_GB2312" w:cs="Times New Roman"/>
          <w:sz w:val="32"/>
          <w:szCs w:val="32"/>
          <w:lang w:val="en-US" w:eastAsia="zh-CN"/>
        </w:rPr>
        <w:t>社会保障和就业支出（类）其他生活救助（款）其他城市生活救助（项）</w:t>
      </w:r>
    </w:p>
    <w:p>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3.30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增加2024年中央财政困难群众一次性生活补助资金。</w:t>
      </w:r>
    </w:p>
    <w:p>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sz w:val="32"/>
          <w:szCs w:val="32"/>
          <w:lang w:val="en-US" w:eastAsia="zh-CN" w:bidi="ar-SA"/>
        </w:rPr>
        <w:t>6、</w:t>
      </w:r>
      <w:r>
        <w:rPr>
          <w:rFonts w:hint="eastAsia" w:ascii="Times New Roman" w:hAnsi="Times New Roman" w:eastAsia="仿宋_GB2312" w:cs="Times New Roman"/>
          <w:sz w:val="32"/>
          <w:szCs w:val="32"/>
          <w:lang w:val="en-US" w:eastAsia="zh-CN"/>
        </w:rPr>
        <w:t>卫生健康支出（类）行政事业单位医疗（款） 事业单位医疗（项）</w:t>
      </w:r>
    </w:p>
    <w:p>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5.21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5.21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val="en-US" w:eastAsia="zh-CN"/>
        </w:rPr>
        <w:t>按预算支出。</w:t>
      </w:r>
      <w:r>
        <w:rPr>
          <w:rFonts w:hint="eastAsia" w:ascii="Times New Roman" w:hAnsi="Times New Roman" w:eastAsia="仿宋_GB2312" w:cs="Times New Roman"/>
          <w:color w:val="000000"/>
          <w:sz w:val="32"/>
          <w:szCs w:val="32"/>
          <w:lang w:val="en-US" w:eastAsia="zh-CN" w:bidi="ar-SA"/>
        </w:rPr>
        <w:t>7、</w:t>
      </w:r>
      <w:r>
        <w:rPr>
          <w:rFonts w:hint="eastAsia" w:ascii="Times New Roman" w:hAnsi="Times New Roman" w:eastAsia="仿宋_GB2312" w:cs="Times New Roman"/>
          <w:sz w:val="32"/>
          <w:szCs w:val="32"/>
          <w:lang w:val="en-US" w:eastAsia="zh-CN"/>
        </w:rPr>
        <w:t>住房保障支出（类）住房改革支出（款）住房公积金（项）</w:t>
      </w:r>
    </w:p>
    <w:p>
      <w:pPr>
        <w:pStyle w:val="14"/>
        <w:numPr>
          <w:ilvl w:val="0"/>
          <w:numId w:val="0"/>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11.30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11.30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val="en-US" w:eastAsia="zh-CN"/>
        </w:rPr>
        <w:t>按预算支出。</w:t>
      </w:r>
    </w:p>
    <w:p>
      <w:pPr>
        <w:pStyle w:val="14"/>
        <w:numPr>
          <w:ilvl w:val="0"/>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171.05</w:t>
      </w:r>
      <w:r>
        <w:rPr>
          <w:rFonts w:ascii="Times New Roman" w:hAnsi="Times New Roman" w:eastAsia="仿宋_GB2312" w:cs="Times New Roman"/>
          <w:sz w:val="32"/>
          <w:szCs w:val="32"/>
        </w:rPr>
        <w:t>万元，其中：</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b/>
          <w:bCs/>
          <w:sz w:val="32"/>
          <w:szCs w:val="32"/>
          <w:lang w:val="en-US" w:eastAsia="zh-CN"/>
        </w:rPr>
        <w:t>161.43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94.38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val="en-US" w:eastAsia="zh-CN"/>
        </w:rPr>
        <w:t>绩效工资、 机关事业单位基本养老保险缴费、职工基本医疗保险缴费</w:t>
      </w:r>
      <w:r>
        <w:rPr>
          <w:rFonts w:hint="eastAsia" w:ascii="Times New Roman" w:hAnsi="Times New Roman" w:eastAsia="仿宋_GB2312" w:cs="Times New Roman"/>
          <w:sz w:val="32"/>
          <w:szCs w:val="32"/>
          <w:lang w:eastAsia="zh-CN"/>
        </w:rPr>
        <w:t>、其他社会保障缴费、</w:t>
      </w:r>
      <w:r>
        <w:rPr>
          <w:rFonts w:hint="eastAsia" w:ascii="Times New Roman" w:hAnsi="Times New Roman" w:eastAsia="仿宋_GB2312" w:cs="Times New Roman"/>
          <w:sz w:val="32"/>
          <w:szCs w:val="32"/>
          <w:lang w:val="en-US" w:eastAsia="zh-CN"/>
        </w:rPr>
        <w:t>住房公积金、生活补助、其他对个人和家庭的补助</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9.62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5.62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主要包括办公费、咨询费、</w:t>
      </w:r>
      <w:r>
        <w:rPr>
          <w:rFonts w:hint="eastAsia" w:ascii="Times New Roman" w:hAnsi="Times New Roman" w:eastAsia="仿宋_GB2312" w:cs="Times New Roman"/>
          <w:sz w:val="32"/>
          <w:szCs w:val="32"/>
          <w:lang w:val="en-US" w:eastAsia="zh-CN"/>
        </w:rPr>
        <w:t>差旅费、工会经费、福利费、公务用车运行维护费、其他交通费用、其他商品和服务支出</w:t>
      </w:r>
      <w:r>
        <w:rPr>
          <w:rFonts w:ascii="Times New Roman" w:hAnsi="Times New Roman" w:eastAsia="仿宋_GB2312" w:cs="Times New Roman"/>
          <w:sz w:val="32"/>
          <w:szCs w:val="32"/>
        </w:rPr>
        <w:t>。</w:t>
      </w:r>
    </w:p>
    <w:p>
      <w:pPr>
        <w:pStyle w:val="14"/>
        <w:numPr>
          <w:ilvl w:val="0"/>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eastAsia="黑体" w:cs="Times New Roman"/>
          <w:bCs/>
          <w:color w:val="000000"/>
          <w:sz w:val="32"/>
          <w:szCs w:val="32"/>
          <w:lang w:val="en-US" w:eastAsia="zh-CN" w:bidi="ar-SA"/>
        </w:rPr>
        <w:t>七、</w:t>
      </w:r>
      <w:r>
        <w:rPr>
          <w:rFonts w:ascii="Times New Roman" w:hAnsi="Times New Roman" w:cs="Times New Roman"/>
          <w:bCs/>
          <w:sz w:val="32"/>
          <w:szCs w:val="32"/>
        </w:rPr>
        <w:t>财政拨款“三公”经费支出决算情况说明</w:t>
      </w:r>
    </w:p>
    <w:p>
      <w:pPr>
        <w:pStyle w:val="14"/>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0.85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41.46</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sz w:val="32"/>
          <w:szCs w:val="32"/>
          <w:lang w:val="en-US" w:eastAsia="zh-CN"/>
        </w:rPr>
        <w:t>压减</w:t>
      </w:r>
      <w:r>
        <w:rPr>
          <w:rFonts w:ascii="Times New Roman" w:hAnsi="Times New Roman" w:eastAsia="仿宋_GB2312" w:cs="Times New Roman"/>
          <w:sz w:val="32"/>
          <w:szCs w:val="32"/>
        </w:rPr>
        <w:t>公务用车运行维护费支出。</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4"/>
        <w:overflowPunct w:val="0"/>
        <w:autoSpaceDE/>
        <w:autoSpaceDN/>
        <w:spacing w:line="600" w:lineRule="exact"/>
        <w:ind w:firstLine="640" w:firstLineChars="200"/>
        <w:jc w:val="both"/>
        <w:rPr>
          <w:rFonts w:hint="eastAsia" w:ascii="Times New Roman" w:hAnsi="Times New Roman" w:eastAsia="楷体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sz w:val="32"/>
          <w:szCs w:val="32"/>
          <w:lang w:val="en-US" w:eastAsia="zh-CN"/>
        </w:rPr>
        <w:t>历年无该项支出</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val="en-US" w:eastAsia="zh-CN"/>
        </w:rPr>
        <w:t>。</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1.20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无该项支出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怀化市社会福利院</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1.20</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val="en-US" w:eastAsia="zh-CN"/>
        </w:rPr>
        <w:t>车辆油料费、车辆维修费、车辆保险费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0.85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41.46</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sz w:val="32"/>
          <w:szCs w:val="32"/>
          <w:lang w:val="en-US" w:eastAsia="zh-CN"/>
        </w:rPr>
        <w:t>按预算申报数支出</w:t>
      </w:r>
      <w:r>
        <w:rPr>
          <w:rFonts w:ascii="Times New Roman" w:hAnsi="Times New Roman" w:eastAsia="仿宋_GB2312" w:cs="Times New Roman"/>
          <w:sz w:val="32"/>
          <w:szCs w:val="32"/>
        </w:rPr>
        <w:t>。截止2024年12月31日，</w:t>
      </w:r>
      <w:r>
        <w:rPr>
          <w:rFonts w:hint="eastAsia" w:ascii="Times New Roman" w:hAnsi="Times New Roman" w:eastAsia="仿宋_GB2312" w:cs="Times New Roman"/>
          <w:sz w:val="32"/>
          <w:szCs w:val="32"/>
          <w:lang w:eastAsia="zh-CN"/>
        </w:rPr>
        <w:t>怀化市社会福利院</w:t>
      </w:r>
      <w:r>
        <w:rPr>
          <w:rFonts w:ascii="Times New Roman" w:hAnsi="Times New Roman" w:eastAsia="仿宋_GB2312" w:cs="Times New Roman"/>
          <w:sz w:val="32"/>
          <w:szCs w:val="32"/>
        </w:rPr>
        <w:t>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w:t>
      </w:r>
      <w:r>
        <w:rPr>
          <w:rFonts w:hint="eastAsia" w:ascii="Times New Roman" w:hAnsi="Times New Roman" w:eastAsia="仿宋_GB2312" w:cs="Times New Roman"/>
          <w:sz w:val="32"/>
          <w:szCs w:val="32"/>
          <w:lang w:val="en-US" w:eastAsia="zh-CN"/>
        </w:rPr>
        <w:t>无该项支出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pPr>
        <w:pStyle w:val="14"/>
        <w:overflowPunct w:val="0"/>
        <w:autoSpaceDE/>
        <w:autoSpaceDN/>
        <w:spacing w:line="600" w:lineRule="exact"/>
        <w:ind w:firstLine="640" w:firstLineChars="200"/>
        <w:jc w:val="both"/>
        <w:rPr>
          <w:rFonts w:hint="default" w:ascii="Times New Roman" w:hAnsi="Times New Roman" w:eastAsia="黑体" w:cs="Times New Roman"/>
          <w:bCs/>
          <w:sz w:val="32"/>
          <w:szCs w:val="32"/>
          <w:lang w:val="en-US" w:eastAsia="zh-CN"/>
        </w:rPr>
      </w:pPr>
      <w:r>
        <w:rPr>
          <w:rFonts w:ascii="Times New Roman" w:hAnsi="Times New Roman" w:cs="Times New Roman"/>
          <w:bCs/>
          <w:sz w:val="32"/>
          <w:szCs w:val="32"/>
        </w:rPr>
        <w:t>八、政府性基金预算收入支出决算情况</w:t>
      </w:r>
      <w:r>
        <w:rPr>
          <w:rFonts w:hint="eastAsia" w:ascii="Times New Roman" w:hAnsi="Times New Roman" w:cs="Times New Roman"/>
          <w:bCs/>
          <w:sz w:val="32"/>
          <w:szCs w:val="32"/>
          <w:lang w:val="en-US" w:eastAsia="zh-CN"/>
        </w:rPr>
        <w:t>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94.82</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94.82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94.82</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 xml:space="preserve"> 用于社会福利的彩票公益金支出</w:t>
      </w:r>
      <w:r>
        <w:rPr>
          <w:rFonts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91.62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上年建设项目失能长者照护中心、消防水管网改造工程完成支付。</w:t>
      </w:r>
    </w:p>
    <w:p>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sz w:val="32"/>
          <w:szCs w:val="32"/>
          <w:lang w:val="en-US" w:eastAsia="zh-CN" w:bidi="ar-SA"/>
        </w:rPr>
        <w:t>2、</w:t>
      </w:r>
      <w:r>
        <w:rPr>
          <w:rFonts w:hint="eastAsia" w:ascii="Times New Roman" w:hAnsi="Times New Roman" w:eastAsia="仿宋_GB2312" w:cs="Times New Roman"/>
          <w:sz w:val="32"/>
          <w:szCs w:val="32"/>
          <w:lang w:val="en-US" w:eastAsia="zh-CN"/>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用于残疾人事业的彩票公益金支出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项）。</w:t>
      </w:r>
    </w:p>
    <w:p>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3.20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增加残疾儿童康复支出。</w:t>
      </w:r>
    </w:p>
    <w:p>
      <w:pPr>
        <w:pStyle w:val="14"/>
        <w:overflowPunct w:val="0"/>
        <w:autoSpaceDE/>
        <w:autoSpaceDN/>
        <w:spacing w:line="600" w:lineRule="exact"/>
        <w:ind w:firstLine="640" w:firstLineChars="200"/>
        <w:jc w:val="both"/>
        <w:rPr>
          <w:rFonts w:hint="default"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九、</w:t>
      </w:r>
      <w:r>
        <w:rPr>
          <w:rFonts w:ascii="Times New Roman" w:hAnsi="Times New Roman" w:cs="Times New Roman"/>
          <w:bCs/>
          <w:sz w:val="32"/>
          <w:szCs w:val="32"/>
        </w:rPr>
        <w:t>国有资本经营预算</w:t>
      </w:r>
      <w:r>
        <w:rPr>
          <w:rFonts w:hint="eastAsia" w:ascii="Times New Roman" w:hAnsi="Times New Roman" w:cs="Times New Roman"/>
          <w:bCs/>
          <w:sz w:val="32"/>
          <w:szCs w:val="32"/>
          <w:lang w:val="en-US" w:eastAsia="zh-CN"/>
        </w:rPr>
        <w:t>收入</w:t>
      </w:r>
      <w:r>
        <w:rPr>
          <w:rFonts w:ascii="Times New Roman" w:hAnsi="Times New Roman" w:cs="Times New Roman"/>
          <w:bCs/>
          <w:sz w:val="32"/>
          <w:szCs w:val="32"/>
        </w:rPr>
        <w:t>支出决算</w:t>
      </w:r>
      <w:r>
        <w:rPr>
          <w:rFonts w:hint="eastAsia" w:ascii="Times New Roman" w:hAnsi="Times New Roman" w:cs="Times New Roman"/>
          <w:bCs/>
          <w:sz w:val="32"/>
          <w:szCs w:val="32"/>
          <w:lang w:val="en-US" w:eastAsia="zh-CN"/>
        </w:rPr>
        <w:t>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本年度无国有资本经营预算财政拨款收入支出。</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pPr>
        <w:pStyle w:val="14"/>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比年初预算数（或者上年决算数）增加（减少）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无预算无支出。</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未</w:t>
      </w:r>
      <w:r>
        <w:rPr>
          <w:rFonts w:ascii="Times New Roman" w:hAnsi="Times New Roman" w:eastAsia="仿宋_GB2312" w:cs="Times New Roman"/>
          <w:sz w:val="32"/>
          <w:szCs w:val="32"/>
        </w:rPr>
        <w:t>召开会议，人数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未</w:t>
      </w:r>
      <w:r>
        <w:rPr>
          <w:rFonts w:ascii="Times New Roman" w:hAnsi="Times New Roman" w:eastAsia="仿宋_GB2312" w:cs="Times New Roman"/>
          <w:sz w:val="32"/>
          <w:szCs w:val="32"/>
        </w:rPr>
        <w:t>开展培训，人数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val="en-US" w:eastAsia="zh-CN"/>
        </w:rPr>
        <w:t>未</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161.37</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68.81</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17.18</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75.38</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152.63</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94.58</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150.84</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98.83</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88.41</w:t>
      </w:r>
      <w:r>
        <w:rPr>
          <w:rFonts w:ascii="Times New Roman" w:hAnsi="Times New Roman" w:eastAsia="仿宋_GB2312" w:cs="Times New Roman"/>
          <w:color w:val="auto"/>
          <w:sz w:val="32"/>
          <w:szCs w:val="32"/>
        </w:rPr>
        <w:t>%。</w:t>
      </w:r>
      <w:bookmarkStart w:id="0" w:name="_GoBack"/>
      <w:bookmarkEnd w:id="0"/>
    </w:p>
    <w:p>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hint="eastAsia" w:ascii="Times New Roman" w:hAnsi="Times New Roman" w:cs="Times New Roman"/>
          <w:bCs/>
          <w:color w:val="auto"/>
          <w:sz w:val="32"/>
          <w:szCs w:val="32"/>
          <w:lang w:val="en-US" w:eastAsia="zh-CN"/>
        </w:rPr>
        <w:t>十三</w:t>
      </w:r>
      <w:r>
        <w:rPr>
          <w:rFonts w:ascii="Times New Roman" w:hAnsi="Times New Roman" w:cs="Times New Roman"/>
          <w:bCs/>
          <w:color w:val="auto"/>
          <w:sz w:val="32"/>
          <w:szCs w:val="32"/>
        </w:rPr>
        <w:t>、关于国有资产占用情况说明</w:t>
      </w:r>
    </w:p>
    <w:p>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eastAsia="zh-CN"/>
        </w:rPr>
        <w:t>怀化市社会福利院</w:t>
      </w:r>
      <w:r>
        <w:rPr>
          <w:rFonts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val="en-US" w:eastAsia="zh-CN"/>
        </w:rPr>
        <w:t>用于院内供养儿童入学入院就医等</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怀化市社会福利院</w:t>
      </w:r>
      <w:r>
        <w:rPr>
          <w:rFonts w:ascii="Times New Roman" w:hAnsi="Times New Roman" w:eastAsia="仿宋_GB2312" w:cs="Times New Roman"/>
          <w:color w:val="auto"/>
          <w:sz w:val="32"/>
          <w:szCs w:val="32"/>
        </w:rPr>
        <w:t>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4"/>
        <w:numPr>
          <w:ilvl w:val="0"/>
          <w:numId w:val="0"/>
        </w:numP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hint="eastAsia" w:ascii="Times New Roman" w:hAnsi="Times New Roman" w:eastAsia="黑体" w:cs="Times New Roman"/>
          <w:bCs/>
          <w:color w:val="auto"/>
          <w:sz w:val="32"/>
          <w:szCs w:val="32"/>
          <w:lang w:val="en-US" w:eastAsia="zh-CN" w:bidi="ar-SA"/>
        </w:rPr>
        <w:t>十</w:t>
      </w:r>
      <w:r>
        <w:rPr>
          <w:rFonts w:hint="eastAsia" w:ascii="Times New Roman" w:hAnsi="Times New Roman" w:cs="Times New Roman"/>
          <w:bCs/>
          <w:color w:val="auto"/>
          <w:sz w:val="32"/>
          <w:szCs w:val="32"/>
          <w:lang w:val="en-US" w:eastAsia="zh-CN" w:bidi="ar-SA"/>
        </w:rPr>
        <w:t>四</w:t>
      </w:r>
      <w:r>
        <w:rPr>
          <w:rFonts w:hint="eastAsia" w:ascii="Times New Roman" w:hAnsi="Times New Roman" w:eastAsia="黑体" w:cs="Times New Roman"/>
          <w:bCs/>
          <w:color w:val="auto"/>
          <w:sz w:val="32"/>
          <w:szCs w:val="32"/>
          <w:lang w:val="en-US" w:eastAsia="zh-CN" w:bidi="ar-SA"/>
        </w:rPr>
        <w:t>、</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w:t>
      </w:r>
      <w:r>
        <w:rPr>
          <w:rFonts w:hint="eastAsia" w:ascii="Times New Roman" w:hAnsi="Times New Roman" w:cs="Times New Roman"/>
          <w:bCs/>
          <w:color w:val="auto"/>
          <w:sz w:val="32"/>
          <w:szCs w:val="32"/>
          <w:lang w:val="en-US" w:eastAsia="zh-CN"/>
        </w:rPr>
        <w:t>管理</w:t>
      </w:r>
      <w:r>
        <w:rPr>
          <w:rFonts w:ascii="Times New Roman" w:hAnsi="Times New Roman" w:cs="Times New Roman"/>
          <w:bCs/>
          <w:color w:val="auto"/>
          <w:sz w:val="32"/>
          <w:szCs w:val="32"/>
        </w:rPr>
        <w:t>情况的说明</w:t>
      </w:r>
    </w:p>
    <w:p>
      <w:pPr>
        <w:pStyle w:val="14"/>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rPr>
        <w:fldChar w:fldCharType="begin"/>
      </w:r>
      <w:r>
        <w:rPr>
          <w:rFonts w:hint="eastAsia" w:ascii="Times New Roman" w:hAnsi="Times New Roman" w:eastAsia="仿宋_GB2312" w:cs="Times New Roman"/>
          <w:color w:val="auto"/>
          <w:sz w:val="32"/>
          <w:szCs w:val="32"/>
        </w:rPr>
        <w:instrText xml:space="preserve"> HYPERLINK "2022年度市福利院整体支出绩效自评报告.doc" \o "2022年度市福利院整体支出绩效自评报告" </w:instrText>
      </w:r>
      <w:r>
        <w:rPr>
          <w:rFonts w:hint="eastAsia" w:ascii="Times New Roman" w:hAnsi="Times New Roman" w:eastAsia="仿宋_GB2312" w:cs="Times New Roman"/>
          <w:color w:val="auto"/>
          <w:sz w:val="32"/>
          <w:szCs w:val="32"/>
        </w:rPr>
        <w:fldChar w:fldCharType="separate"/>
      </w: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年度市福利院整体支出绩效自评报告</w:t>
      </w:r>
      <w:r>
        <w:rPr>
          <w:rFonts w:hint="eastAsia" w:ascii="Times New Roman" w:hAnsi="Times New Roman" w:eastAsia="仿宋_GB2312" w:cs="Times New Roman"/>
          <w:color w:val="auto"/>
          <w:sz w:val="32"/>
          <w:szCs w:val="32"/>
        </w:rPr>
        <w:fldChar w:fldCharType="end"/>
      </w:r>
      <w:r>
        <w:rPr>
          <w:rFonts w:hint="eastAsia" w:ascii="Times New Roman" w:hAnsi="Times New Roman" w:eastAsia="仿宋_GB2312" w:cs="Times New Roman"/>
          <w:color w:val="auto"/>
          <w:sz w:val="32"/>
          <w:szCs w:val="32"/>
          <w:lang w:val="en-US" w:eastAsia="zh-CN"/>
        </w:rPr>
        <w:t>附后</w:t>
      </w:r>
    </w:p>
    <w:p>
      <w:pPr>
        <w:pStyle w:val="14"/>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rPr>
        <w:fldChar w:fldCharType="begin"/>
      </w:r>
      <w:r>
        <w:rPr>
          <w:rFonts w:hint="eastAsia" w:ascii="Times New Roman" w:hAnsi="Times New Roman" w:eastAsia="仿宋_GB2312" w:cs="Times New Roman"/>
          <w:color w:val="auto"/>
          <w:sz w:val="32"/>
          <w:szCs w:val="32"/>
        </w:rPr>
        <w:instrText xml:space="preserve"> HYPERLINK "2022年度市福利院专项资金绩效自评报告.doc" \o "2022年度市福利院专项资金绩效自评报告" </w:instrText>
      </w:r>
      <w:r>
        <w:rPr>
          <w:rFonts w:hint="eastAsia" w:ascii="Times New Roman" w:hAnsi="Times New Roman" w:eastAsia="仿宋_GB2312" w:cs="Times New Roman"/>
          <w:color w:val="auto"/>
          <w:sz w:val="32"/>
          <w:szCs w:val="32"/>
        </w:rPr>
        <w:fldChar w:fldCharType="separate"/>
      </w: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年度市福利院专项资金绩效自评报告</w:t>
      </w:r>
      <w:r>
        <w:rPr>
          <w:rFonts w:hint="eastAsia" w:ascii="Times New Roman" w:hAnsi="Times New Roman" w:eastAsia="仿宋_GB2312" w:cs="Times New Roman"/>
          <w:color w:val="auto"/>
          <w:sz w:val="32"/>
          <w:szCs w:val="32"/>
        </w:rPr>
        <w:fldChar w:fldCharType="end"/>
      </w:r>
      <w:r>
        <w:rPr>
          <w:rFonts w:hint="eastAsia" w:ascii="Times New Roman" w:hAnsi="Times New Roman" w:eastAsia="仿宋_GB2312" w:cs="Times New Roman"/>
          <w:color w:val="auto"/>
          <w:sz w:val="32"/>
          <w:szCs w:val="32"/>
          <w:lang w:val="en-US" w:eastAsia="zh-CN"/>
        </w:rPr>
        <w:t>附后</w:t>
      </w:r>
    </w:p>
    <w:p>
      <w:pPr>
        <w:pStyle w:val="14"/>
        <w:numPr>
          <w:ilvl w:val="0"/>
          <w:numId w:val="0"/>
        </w:numPr>
        <w:overflowPunct w:val="0"/>
        <w:autoSpaceDE/>
        <w:autoSpaceDN/>
        <w:spacing w:line="600" w:lineRule="exact"/>
        <w:jc w:val="both"/>
        <w:rPr>
          <w:rFonts w:ascii="Times New Roman" w:hAnsi="Times New Roman" w:cs="Times New Roman"/>
          <w:bCs/>
          <w:color w:val="auto"/>
          <w:sz w:val="32"/>
          <w:szCs w:val="3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keepNext w:val="0"/>
        <w:keepLines w:val="0"/>
        <w:pageBreakBefore w:val="0"/>
        <w:widowControl w:val="0"/>
        <w:shd w:val="clear" w:color="auto" w:fill="FFFFFF"/>
        <w:kinsoku/>
        <w:wordWrap/>
        <w:overflowPunct/>
        <w:topLinePunct w:val="0"/>
        <w:bidi w:val="0"/>
        <w:snapToGrid/>
        <w:spacing w:line="560" w:lineRule="exact"/>
        <w:ind w:firstLine="640"/>
        <w:rPr>
          <w:rFonts w:hint="default" w:ascii="Times New Roman" w:hAnsi="Times New Roman" w:eastAsia="方正仿宋_GBK" w:cs="Times New Roman"/>
          <w:color w:val="3D3D3D"/>
          <w:kern w:val="0"/>
          <w:sz w:val="32"/>
          <w:szCs w:val="32"/>
        </w:rPr>
      </w:pPr>
      <w:r>
        <w:rPr>
          <w:rFonts w:hint="default" w:ascii="Times New Roman" w:hAnsi="Times New Roman" w:eastAsia="方正仿宋_GBK" w:cs="Times New Roman"/>
          <w:color w:val="3D3D3D"/>
          <w:kern w:val="0"/>
          <w:sz w:val="32"/>
          <w:szCs w:val="32"/>
        </w:rPr>
        <w:t>一、财政拨款收入，是指由财政部门核拨给单位的财政预算资金。</w:t>
      </w:r>
    </w:p>
    <w:p>
      <w:pPr>
        <w:keepNext w:val="0"/>
        <w:keepLines w:val="0"/>
        <w:pageBreakBefore w:val="0"/>
        <w:widowControl w:val="0"/>
        <w:shd w:val="clear" w:color="auto" w:fill="FFFFFF"/>
        <w:kinsoku/>
        <w:wordWrap/>
        <w:overflowPunct/>
        <w:topLinePunct w:val="0"/>
        <w:bidi w:val="0"/>
        <w:snapToGrid/>
        <w:spacing w:line="560" w:lineRule="exact"/>
        <w:ind w:firstLine="640"/>
        <w:rPr>
          <w:rFonts w:hint="default" w:ascii="Times New Roman" w:hAnsi="Times New Roman" w:eastAsia="方正仿宋_GBK" w:cs="Times New Roman"/>
          <w:color w:val="3D3D3D"/>
          <w:kern w:val="0"/>
          <w:sz w:val="32"/>
          <w:szCs w:val="32"/>
        </w:rPr>
      </w:pPr>
      <w:r>
        <w:rPr>
          <w:rFonts w:hint="default" w:ascii="Times New Roman" w:hAnsi="Times New Roman" w:eastAsia="方正仿宋_GBK" w:cs="Times New Roman"/>
          <w:color w:val="3D3D3D"/>
          <w:kern w:val="0"/>
          <w:sz w:val="32"/>
          <w:szCs w:val="32"/>
        </w:rPr>
        <w:t>二、年末结转和结余：指本年度或以前年度预算安排、因客观条件发生变化无法按原计划实施，需延迟到以后年度按有关规定继续使用的资金。</w:t>
      </w:r>
    </w:p>
    <w:p>
      <w:pPr>
        <w:keepNext w:val="0"/>
        <w:keepLines w:val="0"/>
        <w:pageBreakBefore w:val="0"/>
        <w:widowControl w:val="0"/>
        <w:shd w:val="clear" w:color="auto" w:fill="FFFFFF"/>
        <w:kinsoku/>
        <w:wordWrap/>
        <w:overflowPunct/>
        <w:topLinePunct w:val="0"/>
        <w:bidi w:val="0"/>
        <w:snapToGrid/>
        <w:spacing w:line="560" w:lineRule="exact"/>
        <w:ind w:firstLine="640"/>
        <w:rPr>
          <w:rFonts w:hint="default" w:ascii="Times New Roman" w:hAnsi="Times New Roman" w:eastAsia="方正仿宋_GBK" w:cs="Times New Roman"/>
          <w:color w:val="3D3D3D"/>
          <w:kern w:val="0"/>
          <w:sz w:val="32"/>
          <w:szCs w:val="32"/>
        </w:rPr>
      </w:pPr>
      <w:r>
        <w:rPr>
          <w:rFonts w:hint="default" w:ascii="Times New Roman" w:hAnsi="Times New Roman" w:eastAsia="方正仿宋_GBK" w:cs="Times New Roman"/>
          <w:color w:val="3D3D3D"/>
          <w:kern w:val="0"/>
          <w:sz w:val="32"/>
          <w:szCs w:val="32"/>
        </w:rPr>
        <w:t>三、其他收入，指除“财政拨款收入”、“事业收入”、“经营收入”等以外的收入。主要是按规定动用的售房收入、存款利息收入等。</w:t>
      </w:r>
    </w:p>
    <w:p>
      <w:pPr>
        <w:keepNext w:val="0"/>
        <w:keepLines w:val="0"/>
        <w:pageBreakBefore w:val="0"/>
        <w:widowControl w:val="0"/>
        <w:shd w:val="clear" w:color="auto" w:fill="FFFFFF"/>
        <w:kinsoku/>
        <w:wordWrap/>
        <w:overflowPunct/>
        <w:topLinePunct w:val="0"/>
        <w:bidi w:val="0"/>
        <w:snapToGrid/>
        <w:spacing w:line="560" w:lineRule="exact"/>
        <w:ind w:firstLine="640"/>
        <w:rPr>
          <w:rFonts w:hint="default" w:ascii="Times New Roman" w:hAnsi="Times New Roman" w:eastAsia="方正仿宋_GBK" w:cs="Times New Roman"/>
          <w:color w:val="3D3D3D"/>
          <w:kern w:val="0"/>
          <w:sz w:val="32"/>
          <w:szCs w:val="32"/>
        </w:rPr>
      </w:pPr>
      <w:r>
        <w:rPr>
          <w:rFonts w:hint="default" w:ascii="Times New Roman" w:hAnsi="Times New Roman" w:eastAsia="方正仿宋_GBK" w:cs="Times New Roman"/>
          <w:color w:val="3D3D3D"/>
          <w:kern w:val="0"/>
          <w:sz w:val="32"/>
          <w:szCs w:val="32"/>
        </w:rPr>
        <w:t>四、基本支出，指为保障机构正常运行、完成日常工作任务而发生的人员支出和公用支出。</w:t>
      </w:r>
    </w:p>
    <w:p>
      <w:pPr>
        <w:keepNext w:val="0"/>
        <w:keepLines w:val="0"/>
        <w:pageBreakBefore w:val="0"/>
        <w:widowControl w:val="0"/>
        <w:shd w:val="clear" w:color="auto" w:fill="FFFFFF"/>
        <w:kinsoku/>
        <w:wordWrap/>
        <w:overflowPunct/>
        <w:topLinePunct w:val="0"/>
        <w:bidi w:val="0"/>
        <w:snapToGrid/>
        <w:spacing w:line="560" w:lineRule="exact"/>
        <w:ind w:firstLine="640"/>
        <w:rPr>
          <w:rFonts w:hint="default" w:ascii="Times New Roman" w:hAnsi="Times New Roman" w:eastAsia="方正仿宋_GBK" w:cs="Times New Roman"/>
          <w:color w:val="3D3D3D"/>
          <w:kern w:val="0"/>
          <w:sz w:val="32"/>
          <w:szCs w:val="32"/>
        </w:rPr>
      </w:pPr>
      <w:r>
        <w:rPr>
          <w:rFonts w:hint="default" w:ascii="Times New Roman" w:hAnsi="Times New Roman" w:eastAsia="方正仿宋_GBK" w:cs="Times New Roman"/>
          <w:color w:val="3D3D3D"/>
          <w:kern w:val="0"/>
          <w:sz w:val="32"/>
          <w:szCs w:val="32"/>
        </w:rPr>
        <w:t>五、项目支出，指在基本支出之外为完成特定行政任务和事业发展目标所发生的支出。</w:t>
      </w:r>
    </w:p>
    <w:p>
      <w:pPr>
        <w:keepNext w:val="0"/>
        <w:keepLines w:val="0"/>
        <w:pageBreakBefore w:val="0"/>
        <w:widowControl w:val="0"/>
        <w:shd w:val="clear" w:color="auto" w:fill="FFFFFF"/>
        <w:kinsoku/>
        <w:wordWrap/>
        <w:overflowPunct/>
        <w:topLinePunct w:val="0"/>
        <w:bidi w:val="0"/>
        <w:snapToGrid/>
        <w:spacing w:line="560" w:lineRule="exact"/>
        <w:ind w:firstLine="640"/>
        <w:rPr>
          <w:rFonts w:hint="default" w:ascii="Times New Roman" w:hAnsi="Times New Roman" w:eastAsia="方正仿宋_GBK" w:cs="Times New Roman"/>
          <w:color w:val="3D3D3D"/>
          <w:kern w:val="0"/>
          <w:sz w:val="32"/>
          <w:szCs w:val="32"/>
        </w:rPr>
      </w:pPr>
      <w:r>
        <w:rPr>
          <w:rFonts w:hint="default" w:ascii="Times New Roman" w:hAnsi="Times New Roman" w:eastAsia="方正仿宋_GBK" w:cs="Times New Roman"/>
          <w:color w:val="3D3D3D"/>
          <w:kern w:val="0"/>
          <w:sz w:val="32"/>
          <w:szCs w:val="32"/>
        </w:rPr>
        <w:t>六、人员经费支出，是指行政（事业）单位用于职工个人方面的小姐么他开支。具体包括基本工资、津贴补贴、职工福利费、离退休人员经费等。</w:t>
      </w:r>
    </w:p>
    <w:p>
      <w:pPr>
        <w:keepNext w:val="0"/>
        <w:keepLines w:val="0"/>
        <w:pageBreakBefore w:val="0"/>
        <w:widowControl w:val="0"/>
        <w:shd w:val="clear" w:color="auto" w:fill="FFFFFF"/>
        <w:kinsoku/>
        <w:wordWrap/>
        <w:overflowPunct/>
        <w:topLinePunct w:val="0"/>
        <w:bidi w:val="0"/>
        <w:snapToGrid/>
        <w:spacing w:line="560" w:lineRule="exact"/>
        <w:ind w:firstLine="640"/>
        <w:rPr>
          <w:rFonts w:hint="default" w:ascii="Times New Roman" w:hAnsi="Times New Roman" w:eastAsia="方正仿宋_GBK" w:cs="Times New Roman"/>
          <w:color w:val="3D3D3D"/>
          <w:kern w:val="0"/>
          <w:sz w:val="32"/>
          <w:szCs w:val="32"/>
        </w:rPr>
      </w:pPr>
      <w:r>
        <w:rPr>
          <w:rFonts w:hint="default" w:ascii="Times New Roman" w:hAnsi="Times New Roman" w:eastAsia="方正仿宋_GBK" w:cs="Times New Roman"/>
          <w:color w:val="3D3D3D"/>
          <w:kern w:val="0"/>
          <w:sz w:val="32"/>
          <w:szCs w:val="32"/>
        </w:rPr>
        <w:t>七、三公经费，指单位人员因公出国（境）经费、公务用车购置及运行费、公务招待费产生的消费。其中，因公出国（境）费反映单位公务出国（境）的国际旅费、国外城市间交通费、住宿费、伙食费、培训费、公杂费等支出；公务用车购置及运行费反映单位公务用车车辆购置支出（含 车辆购置税）及租用费、燃料费、维修费、过路过桥费、保险费、安全奖励费用等支出；公务接待费反映单位按规定开支的各类公务接待（含外宾接待）支出。</w:t>
      </w:r>
    </w:p>
    <w:p>
      <w:pPr>
        <w:keepNext w:val="0"/>
        <w:keepLines w:val="0"/>
        <w:pageBreakBefore w:val="0"/>
        <w:widowControl w:val="0"/>
        <w:shd w:val="clear" w:color="auto" w:fill="FFFFFF"/>
        <w:kinsoku/>
        <w:wordWrap/>
        <w:overflowPunct/>
        <w:topLinePunct w:val="0"/>
        <w:bidi w:val="0"/>
        <w:snapToGrid/>
        <w:spacing w:line="560" w:lineRule="exact"/>
        <w:ind w:firstLine="640"/>
        <w:rPr>
          <w:rFonts w:hint="default" w:ascii="Times New Roman" w:hAnsi="Times New Roman" w:eastAsia="方正仿宋_GBK" w:cs="Times New Roman"/>
          <w:color w:val="3D3D3D"/>
          <w:kern w:val="0"/>
          <w:sz w:val="32"/>
          <w:szCs w:val="32"/>
        </w:rPr>
      </w:pPr>
      <w:r>
        <w:rPr>
          <w:rFonts w:hint="default" w:ascii="Times New Roman" w:hAnsi="Times New Roman" w:eastAsia="方正仿宋_GBK" w:cs="Times New Roman"/>
          <w:color w:val="3D3D3D"/>
          <w:kern w:val="0"/>
          <w:sz w:val="32"/>
          <w:szCs w:val="32"/>
        </w:rPr>
        <w:t>八、机关运行经费，是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tabs>
          <w:tab w:val="left" w:pos="2156"/>
          <w:tab w:val="center" w:pos="4425"/>
        </w:tabs>
        <w:spacing w:line="360" w:lineRule="auto"/>
        <w:jc w:val="left"/>
        <w:rPr>
          <w:rFonts w:hint="eastAsia" w:ascii="Times New Roman" w:hAnsi="Times New Roman" w:eastAsia="方正小标宋_GBK" w:cs="Times New Roman"/>
          <w:sz w:val="52"/>
          <w:szCs w:val="52"/>
          <w:lang w:eastAsia="zh-CN"/>
        </w:rPr>
      </w:pPr>
      <w:r>
        <w:rPr>
          <w:rFonts w:hint="eastAsia" w:ascii="Times New Roman" w:hAnsi="Times New Roman" w:eastAsia="方正小标宋_GBK" w:cs="Times New Roman"/>
          <w:sz w:val="52"/>
          <w:szCs w:val="52"/>
          <w:lang w:eastAsia="zh-CN"/>
        </w:rPr>
        <w:tab/>
      </w:r>
    </w:p>
    <w:p>
      <w:pPr>
        <w:pStyle w:val="14"/>
        <w:tabs>
          <w:tab w:val="left" w:pos="2156"/>
          <w:tab w:val="center" w:pos="4425"/>
        </w:tabs>
        <w:spacing w:line="360" w:lineRule="auto"/>
        <w:jc w:val="left"/>
        <w:rPr>
          <w:rFonts w:hint="eastAsia" w:ascii="Times New Roman" w:hAnsi="Times New Roman" w:eastAsia="方正小标宋_GBK" w:cs="Times New Roman"/>
          <w:sz w:val="52"/>
          <w:szCs w:val="52"/>
          <w:lang w:eastAsia="zh-CN"/>
        </w:rPr>
      </w:pPr>
    </w:p>
    <w:p>
      <w:pPr>
        <w:pStyle w:val="14"/>
        <w:tabs>
          <w:tab w:val="left" w:pos="2156"/>
          <w:tab w:val="center" w:pos="4425"/>
        </w:tabs>
        <w:spacing w:line="360" w:lineRule="auto"/>
        <w:jc w:val="left"/>
        <w:rPr>
          <w:rFonts w:hint="eastAsia" w:ascii="Times New Roman" w:hAnsi="Times New Roman" w:eastAsia="方正小标宋_GBK" w:cs="Times New Roman"/>
          <w:sz w:val="52"/>
          <w:szCs w:val="52"/>
          <w:lang w:eastAsia="zh-CN"/>
        </w:rPr>
      </w:pPr>
    </w:p>
    <w:p>
      <w:pPr>
        <w:pStyle w:val="14"/>
        <w:tabs>
          <w:tab w:val="left" w:pos="2156"/>
          <w:tab w:val="center" w:pos="4425"/>
        </w:tabs>
        <w:spacing w:line="360" w:lineRule="auto"/>
        <w:jc w:val="left"/>
        <w:rPr>
          <w:rFonts w:hint="eastAsia" w:ascii="Times New Roman" w:hAnsi="Times New Roman" w:eastAsia="方正小标宋_GBK" w:cs="Times New Roman"/>
          <w:sz w:val="52"/>
          <w:szCs w:val="52"/>
          <w:lang w:eastAsia="zh-CN"/>
        </w:rPr>
      </w:pPr>
    </w:p>
    <w:p>
      <w:pPr>
        <w:pStyle w:val="14"/>
        <w:tabs>
          <w:tab w:val="left" w:pos="2156"/>
          <w:tab w:val="center" w:pos="4425"/>
        </w:tabs>
        <w:spacing w:line="360" w:lineRule="auto"/>
        <w:jc w:val="left"/>
        <w:rPr>
          <w:rFonts w:hint="eastAsia" w:ascii="Times New Roman" w:hAnsi="Times New Roman" w:eastAsia="方正小标宋_GBK" w:cs="Times New Roman"/>
          <w:sz w:val="52"/>
          <w:szCs w:val="52"/>
          <w:lang w:eastAsia="zh-CN"/>
        </w:rPr>
      </w:pPr>
    </w:p>
    <w:p>
      <w:pPr>
        <w:pStyle w:val="14"/>
        <w:tabs>
          <w:tab w:val="left" w:pos="2156"/>
          <w:tab w:val="center" w:pos="4425"/>
        </w:tabs>
        <w:spacing w:line="360" w:lineRule="auto"/>
        <w:jc w:val="left"/>
        <w:rPr>
          <w:rFonts w:hint="eastAsia" w:ascii="Times New Roman" w:hAnsi="Times New Roman" w:eastAsia="方正小标宋_GBK" w:cs="Times New Roman"/>
          <w:sz w:val="52"/>
          <w:szCs w:val="52"/>
          <w:lang w:eastAsia="zh-CN"/>
        </w:rPr>
      </w:pPr>
    </w:p>
    <w:p>
      <w:pPr>
        <w:pStyle w:val="14"/>
        <w:tabs>
          <w:tab w:val="left" w:pos="2156"/>
          <w:tab w:val="center" w:pos="4425"/>
        </w:tabs>
        <w:spacing w:line="360" w:lineRule="auto"/>
        <w:jc w:val="left"/>
        <w:rPr>
          <w:rFonts w:hint="eastAsia" w:ascii="Times New Roman" w:hAnsi="Times New Roman" w:eastAsia="方正小标宋_GBK" w:cs="Times New Roman"/>
          <w:sz w:val="52"/>
          <w:szCs w:val="52"/>
          <w:lang w:eastAsia="zh-CN"/>
        </w:rPr>
      </w:pPr>
    </w:p>
    <w:p>
      <w:pPr>
        <w:pStyle w:val="14"/>
        <w:tabs>
          <w:tab w:val="left" w:pos="2156"/>
          <w:tab w:val="center" w:pos="4425"/>
        </w:tabs>
        <w:spacing w:line="360" w:lineRule="auto"/>
        <w:jc w:val="left"/>
        <w:rPr>
          <w:rFonts w:hint="eastAsia" w:ascii="Times New Roman" w:hAnsi="Times New Roman" w:eastAsia="方正小标宋_GBK" w:cs="Times New Roman"/>
          <w:sz w:val="52"/>
          <w:szCs w:val="52"/>
          <w:lang w:eastAsia="zh-CN"/>
        </w:rPr>
      </w:pPr>
    </w:p>
    <w:p>
      <w:pPr>
        <w:pStyle w:val="14"/>
        <w:tabs>
          <w:tab w:val="left" w:pos="2156"/>
          <w:tab w:val="center" w:pos="4425"/>
        </w:tabs>
        <w:spacing w:line="360" w:lineRule="auto"/>
        <w:jc w:val="left"/>
        <w:rPr>
          <w:rFonts w:hint="eastAsia" w:ascii="Times New Roman" w:hAnsi="Times New Roman" w:eastAsia="方正小标宋_GBK" w:cs="Times New Roman"/>
          <w:sz w:val="52"/>
          <w:szCs w:val="52"/>
          <w:lang w:eastAsia="zh-CN"/>
        </w:rPr>
      </w:pPr>
    </w:p>
    <w:p>
      <w:pPr>
        <w:pStyle w:val="14"/>
        <w:tabs>
          <w:tab w:val="left" w:pos="2156"/>
          <w:tab w:val="center" w:pos="4425"/>
        </w:tabs>
        <w:spacing w:line="360" w:lineRule="auto"/>
        <w:jc w:val="left"/>
        <w:rPr>
          <w:rFonts w:hint="eastAsia" w:ascii="Times New Roman" w:hAnsi="Times New Roman" w:eastAsia="方正小标宋_GBK" w:cs="Times New Roman"/>
          <w:sz w:val="52"/>
          <w:szCs w:val="52"/>
          <w:lang w:eastAsia="zh-CN"/>
        </w:rPr>
      </w:pPr>
    </w:p>
    <w:p>
      <w:pPr>
        <w:pStyle w:val="14"/>
        <w:tabs>
          <w:tab w:val="left" w:pos="2156"/>
          <w:tab w:val="center" w:pos="4425"/>
        </w:tabs>
        <w:spacing w:line="360" w:lineRule="auto"/>
        <w:jc w:val="left"/>
        <w:rPr>
          <w:rFonts w:hint="eastAsia" w:ascii="Times New Roman" w:hAnsi="Times New Roman" w:eastAsia="方正小标宋_GBK" w:cs="Times New Roman"/>
          <w:sz w:val="52"/>
          <w:szCs w:val="52"/>
          <w:lang w:eastAsia="zh-CN"/>
        </w:rPr>
      </w:pPr>
    </w:p>
    <w:p>
      <w:pPr>
        <w:pStyle w:val="14"/>
        <w:tabs>
          <w:tab w:val="left" w:pos="2156"/>
          <w:tab w:val="center" w:pos="4425"/>
        </w:tabs>
        <w:spacing w:line="360" w:lineRule="auto"/>
        <w:jc w:val="left"/>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ab/>
      </w: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jc w:val="left"/>
        <w:rPr>
          <w:rFonts w:hint="default" w:ascii="Times New Roman" w:hAnsi="Times New Roman" w:cs="Times New Roman"/>
          <w:color w:val="000000"/>
          <w:kern w:val="0"/>
          <w:sz w:val="32"/>
          <w:szCs w:val="32"/>
          <w:lang w:val="en-US" w:eastAsia="zh-CN"/>
        </w:rPr>
      </w:pPr>
      <w:r>
        <w:rPr>
          <w:rFonts w:hint="eastAsia" w:ascii="Times New Roman" w:hAnsi="Times New Roman" w:cs="Times New Roman"/>
          <w:color w:val="000000"/>
          <w:kern w:val="0"/>
          <w:sz w:val="32"/>
          <w:szCs w:val="32"/>
          <w:lang w:val="en-US" w:eastAsia="zh-CN"/>
        </w:rPr>
        <w:t>1、</w:t>
      </w:r>
      <w:r>
        <w:rPr>
          <w:rFonts w:hint="eastAsia" w:ascii="Times New Roman" w:hAnsi="Times New Roman" w:cs="Times New Roman"/>
          <w:color w:val="000000"/>
          <w:kern w:val="0"/>
          <w:sz w:val="32"/>
          <w:szCs w:val="32"/>
          <w:lang w:val="en-US" w:eastAsia="zh-CN"/>
        </w:rPr>
        <w:fldChar w:fldCharType="begin"/>
      </w:r>
      <w:r>
        <w:rPr>
          <w:rFonts w:hint="eastAsia" w:ascii="Times New Roman" w:hAnsi="Times New Roman" w:cs="Times New Roman"/>
          <w:color w:val="000000"/>
          <w:kern w:val="0"/>
          <w:sz w:val="32"/>
          <w:szCs w:val="32"/>
          <w:lang w:val="en-US" w:eastAsia="zh-CN"/>
        </w:rPr>
        <w:instrText xml:space="preserve"> HYPERLINK "怀化市社会福利院.XLS" </w:instrText>
      </w:r>
      <w:r>
        <w:rPr>
          <w:rFonts w:hint="eastAsia" w:ascii="Times New Roman" w:hAnsi="Times New Roman" w:cs="Times New Roman"/>
          <w:color w:val="000000"/>
          <w:kern w:val="0"/>
          <w:sz w:val="32"/>
          <w:szCs w:val="32"/>
          <w:lang w:val="en-US" w:eastAsia="zh-CN"/>
        </w:rPr>
        <w:fldChar w:fldCharType="separate"/>
      </w:r>
      <w:r>
        <w:rPr>
          <w:rStyle w:val="10"/>
          <w:rFonts w:hint="eastAsia" w:ascii="Times New Roman" w:hAnsi="Times New Roman" w:cs="Times New Roman"/>
          <w:kern w:val="0"/>
          <w:sz w:val="32"/>
          <w:szCs w:val="32"/>
          <w:lang w:val="en-US" w:eastAsia="zh-CN"/>
        </w:rPr>
        <w:t>怀化市社会福利院.XLS</w:t>
      </w:r>
      <w:r>
        <w:rPr>
          <w:rFonts w:hint="eastAsia" w:ascii="Times New Roman" w:hAnsi="Times New Roman" w:cs="Times New Roman"/>
          <w:color w:val="000000"/>
          <w:kern w:val="0"/>
          <w:sz w:val="32"/>
          <w:szCs w:val="32"/>
          <w:lang w:val="en-US" w:eastAsia="zh-CN"/>
        </w:rPr>
        <w:fldChar w:fldCharType="end"/>
      </w:r>
    </w:p>
    <w:p>
      <w:pPr>
        <w:jc w:val="left"/>
        <w:rPr>
          <w:rFonts w:ascii="Times New Roman" w:hAnsi="Times New Roman" w:cs="Times New Roman"/>
          <w:color w:val="000000"/>
          <w:kern w:val="0"/>
          <w:sz w:val="32"/>
          <w:szCs w:val="32"/>
        </w:rPr>
      </w:pPr>
      <w:r>
        <w:rPr>
          <w:rFonts w:hint="eastAsia" w:ascii="Times New Roman" w:hAnsi="Times New Roman" w:cs="Times New Roman"/>
          <w:color w:val="000000"/>
          <w:kern w:val="0"/>
          <w:sz w:val="32"/>
          <w:szCs w:val="32"/>
          <w:lang w:val="en-US" w:eastAsia="zh-CN"/>
        </w:rPr>
        <w:t>2、</w:t>
      </w:r>
      <w:r>
        <w:rPr>
          <w:rFonts w:ascii="Times New Roman" w:hAnsi="Times New Roman" w:cs="Times New Roman"/>
          <w:color w:val="000000"/>
          <w:kern w:val="0"/>
          <w:sz w:val="32"/>
          <w:szCs w:val="32"/>
        </w:rPr>
        <w:fldChar w:fldCharType="begin"/>
      </w:r>
      <w:r>
        <w:rPr>
          <w:rFonts w:ascii="Times New Roman" w:hAnsi="Times New Roman" w:cs="Times New Roman"/>
          <w:color w:val="000000"/>
          <w:kern w:val="0"/>
          <w:sz w:val="32"/>
          <w:szCs w:val="32"/>
        </w:rPr>
        <w:instrText xml:space="preserve"> HYPERLINK "怀化市社会福利院2024年整体绩效报告.docx" </w:instrText>
      </w:r>
      <w:r>
        <w:rPr>
          <w:rFonts w:ascii="Times New Roman" w:hAnsi="Times New Roman" w:cs="Times New Roman"/>
          <w:color w:val="000000"/>
          <w:kern w:val="0"/>
          <w:sz w:val="32"/>
          <w:szCs w:val="32"/>
        </w:rPr>
        <w:fldChar w:fldCharType="separate"/>
      </w:r>
      <w:r>
        <w:rPr>
          <w:rStyle w:val="10"/>
          <w:rFonts w:ascii="Times New Roman" w:hAnsi="Times New Roman" w:cs="Times New Roman"/>
          <w:kern w:val="0"/>
          <w:sz w:val="32"/>
          <w:szCs w:val="32"/>
        </w:rPr>
        <w:t>怀化市社会福利院2024年整体绩效报告.docx</w:t>
      </w:r>
      <w:r>
        <w:rPr>
          <w:rFonts w:ascii="Times New Roman" w:hAnsi="Times New Roman" w:cs="Times New Roman"/>
          <w:color w:val="000000"/>
          <w:kern w:val="0"/>
          <w:sz w:val="32"/>
          <w:szCs w:val="32"/>
        </w:rPr>
        <w:fldChar w:fldCharType="end"/>
      </w:r>
    </w:p>
    <w:p>
      <w:pPr>
        <w:jc w:val="left"/>
        <w:rPr>
          <w:rFonts w:hint="eastAsia" w:ascii="Times New Roman" w:hAnsi="Times New Roman" w:cs="Times New Roman" w:eastAsiaTheme="minorEastAsia"/>
          <w:color w:val="000000"/>
          <w:kern w:val="0"/>
          <w:sz w:val="32"/>
          <w:szCs w:val="32"/>
          <w:lang w:val="en-US" w:eastAsia="zh-CN"/>
        </w:rPr>
      </w:pPr>
      <w:r>
        <w:rPr>
          <w:rFonts w:hint="eastAsia" w:ascii="Times New Roman" w:hAnsi="Times New Roman" w:cs="Times New Roman"/>
          <w:color w:val="000000"/>
          <w:kern w:val="0"/>
          <w:sz w:val="32"/>
          <w:szCs w:val="32"/>
          <w:lang w:val="en-US" w:eastAsia="zh-CN"/>
        </w:rPr>
        <w:t>3、</w:t>
      </w:r>
      <w:r>
        <w:rPr>
          <w:rFonts w:hint="eastAsia" w:ascii="Times New Roman" w:hAnsi="Times New Roman" w:cs="Times New Roman"/>
          <w:color w:val="000000"/>
          <w:kern w:val="0"/>
          <w:sz w:val="32"/>
          <w:szCs w:val="32"/>
          <w:lang w:val="en-US" w:eastAsia="zh-CN"/>
        </w:rPr>
        <w:fldChar w:fldCharType="begin"/>
      </w:r>
      <w:r>
        <w:rPr>
          <w:rFonts w:hint="eastAsia" w:ascii="Times New Roman" w:hAnsi="Times New Roman" w:cs="Times New Roman"/>
          <w:color w:val="000000"/>
          <w:kern w:val="0"/>
          <w:sz w:val="32"/>
          <w:szCs w:val="32"/>
          <w:lang w:val="en-US" w:eastAsia="zh-CN"/>
        </w:rPr>
        <w:instrText xml:space="preserve"> HYPERLINK "怀化市社会福利院2024年专项支出绩效报告.docx" </w:instrText>
      </w:r>
      <w:r>
        <w:rPr>
          <w:rFonts w:hint="eastAsia" w:ascii="Times New Roman" w:hAnsi="Times New Roman" w:cs="Times New Roman"/>
          <w:color w:val="000000"/>
          <w:kern w:val="0"/>
          <w:sz w:val="32"/>
          <w:szCs w:val="32"/>
          <w:lang w:val="en-US" w:eastAsia="zh-CN"/>
        </w:rPr>
        <w:fldChar w:fldCharType="separate"/>
      </w:r>
      <w:r>
        <w:rPr>
          <w:rStyle w:val="10"/>
          <w:rFonts w:hint="eastAsia" w:ascii="Times New Roman" w:hAnsi="Times New Roman" w:cs="Times New Roman"/>
          <w:kern w:val="0"/>
          <w:sz w:val="32"/>
          <w:szCs w:val="32"/>
          <w:lang w:val="en-US" w:eastAsia="zh-CN"/>
        </w:rPr>
        <w:t>怀化市社会福利院2024年专项支出绩效报告.docx</w:t>
      </w:r>
      <w:r>
        <w:rPr>
          <w:rFonts w:hint="eastAsia" w:ascii="Times New Roman" w:hAnsi="Times New Roman" w:cs="Times New Roman"/>
          <w:color w:val="000000"/>
          <w:kern w:val="0"/>
          <w:sz w:val="32"/>
          <w:szCs w:val="32"/>
          <w:lang w:val="en-US" w:eastAsia="zh-CN"/>
        </w:rPr>
        <w:fldChar w:fldCharType="end"/>
      </w: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2F1965"/>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01428F"/>
    <w:rsid w:val="01FC54ED"/>
    <w:rsid w:val="02301FCF"/>
    <w:rsid w:val="03175073"/>
    <w:rsid w:val="03C03826"/>
    <w:rsid w:val="03C54999"/>
    <w:rsid w:val="03DA4A6E"/>
    <w:rsid w:val="04854128"/>
    <w:rsid w:val="04E377CC"/>
    <w:rsid w:val="05706B86"/>
    <w:rsid w:val="05D11845"/>
    <w:rsid w:val="068B011B"/>
    <w:rsid w:val="06A05249"/>
    <w:rsid w:val="07F65A68"/>
    <w:rsid w:val="082500FC"/>
    <w:rsid w:val="084F6F27"/>
    <w:rsid w:val="089F7EAE"/>
    <w:rsid w:val="08A47272"/>
    <w:rsid w:val="09E57B43"/>
    <w:rsid w:val="0A297C94"/>
    <w:rsid w:val="0A4D7496"/>
    <w:rsid w:val="0A8C4462"/>
    <w:rsid w:val="0B0F00D5"/>
    <w:rsid w:val="0B3B3792"/>
    <w:rsid w:val="0B896BF3"/>
    <w:rsid w:val="0D1E6260"/>
    <w:rsid w:val="0EB67D00"/>
    <w:rsid w:val="0F8117FA"/>
    <w:rsid w:val="10E2302E"/>
    <w:rsid w:val="1149458E"/>
    <w:rsid w:val="11CE35B2"/>
    <w:rsid w:val="12F9465F"/>
    <w:rsid w:val="13773E2B"/>
    <w:rsid w:val="137F7BEF"/>
    <w:rsid w:val="147E306D"/>
    <w:rsid w:val="156E60BC"/>
    <w:rsid w:val="15E11B06"/>
    <w:rsid w:val="163C7EA3"/>
    <w:rsid w:val="171622B2"/>
    <w:rsid w:val="177249E0"/>
    <w:rsid w:val="178E2225"/>
    <w:rsid w:val="18E03B41"/>
    <w:rsid w:val="18F558C8"/>
    <w:rsid w:val="1B414DF5"/>
    <w:rsid w:val="1B6034CD"/>
    <w:rsid w:val="1B65205E"/>
    <w:rsid w:val="1BDA490E"/>
    <w:rsid w:val="1C4C1CA3"/>
    <w:rsid w:val="1D7768AC"/>
    <w:rsid w:val="1D8A2BA9"/>
    <w:rsid w:val="1D97DEFF"/>
    <w:rsid w:val="1DFF72E5"/>
    <w:rsid w:val="1EC21DA9"/>
    <w:rsid w:val="1EFC6F07"/>
    <w:rsid w:val="1F6B16A0"/>
    <w:rsid w:val="1F6F0182"/>
    <w:rsid w:val="1FBC17FF"/>
    <w:rsid w:val="207B66B3"/>
    <w:rsid w:val="20B47E17"/>
    <w:rsid w:val="20E55D09"/>
    <w:rsid w:val="210668C5"/>
    <w:rsid w:val="218872DA"/>
    <w:rsid w:val="22627A44"/>
    <w:rsid w:val="22833F45"/>
    <w:rsid w:val="23360FB7"/>
    <w:rsid w:val="24392B0D"/>
    <w:rsid w:val="251C71CF"/>
    <w:rsid w:val="253D487F"/>
    <w:rsid w:val="25DF65C9"/>
    <w:rsid w:val="26127ABA"/>
    <w:rsid w:val="298C3AA9"/>
    <w:rsid w:val="29AB625B"/>
    <w:rsid w:val="29AC52B8"/>
    <w:rsid w:val="2A48459B"/>
    <w:rsid w:val="2A9D36CA"/>
    <w:rsid w:val="2B006133"/>
    <w:rsid w:val="2CB90C8F"/>
    <w:rsid w:val="2CDE6947"/>
    <w:rsid w:val="2CFE4173"/>
    <w:rsid w:val="2E00644A"/>
    <w:rsid w:val="2E073C7C"/>
    <w:rsid w:val="2F7215C9"/>
    <w:rsid w:val="2FB510EC"/>
    <w:rsid w:val="2FC8743B"/>
    <w:rsid w:val="2FDF85B8"/>
    <w:rsid w:val="2FFFEE04"/>
    <w:rsid w:val="30E43FFB"/>
    <w:rsid w:val="31083F93"/>
    <w:rsid w:val="31104BF6"/>
    <w:rsid w:val="327D275F"/>
    <w:rsid w:val="32E75E2A"/>
    <w:rsid w:val="339935C8"/>
    <w:rsid w:val="34DF85B0"/>
    <w:rsid w:val="351A6043"/>
    <w:rsid w:val="35B5220F"/>
    <w:rsid w:val="37105528"/>
    <w:rsid w:val="3747333B"/>
    <w:rsid w:val="37BF2ED1"/>
    <w:rsid w:val="3A0D6176"/>
    <w:rsid w:val="3A331955"/>
    <w:rsid w:val="3ACA4067"/>
    <w:rsid w:val="3AEA295B"/>
    <w:rsid w:val="3B586358"/>
    <w:rsid w:val="3B8F36BC"/>
    <w:rsid w:val="3BC136BC"/>
    <w:rsid w:val="3C2226CF"/>
    <w:rsid w:val="3CE753A4"/>
    <w:rsid w:val="3CFF3474"/>
    <w:rsid w:val="3D0715A3"/>
    <w:rsid w:val="3D632551"/>
    <w:rsid w:val="3E364797"/>
    <w:rsid w:val="3FFA53EF"/>
    <w:rsid w:val="40FE2CBD"/>
    <w:rsid w:val="41CA0DF1"/>
    <w:rsid w:val="42B9333F"/>
    <w:rsid w:val="434708F0"/>
    <w:rsid w:val="44823C05"/>
    <w:rsid w:val="450C42C6"/>
    <w:rsid w:val="45611A6C"/>
    <w:rsid w:val="468C0D6B"/>
    <w:rsid w:val="47E14B18"/>
    <w:rsid w:val="48335942"/>
    <w:rsid w:val="491FF225"/>
    <w:rsid w:val="4A800BE6"/>
    <w:rsid w:val="4B9C27DF"/>
    <w:rsid w:val="4BB24DCF"/>
    <w:rsid w:val="4C6267F5"/>
    <w:rsid w:val="4D950505"/>
    <w:rsid w:val="4F351F9F"/>
    <w:rsid w:val="4FED5BC8"/>
    <w:rsid w:val="4FFD214C"/>
    <w:rsid w:val="50083210"/>
    <w:rsid w:val="50D317B3"/>
    <w:rsid w:val="51505537"/>
    <w:rsid w:val="51B00003"/>
    <w:rsid w:val="51DF3AD8"/>
    <w:rsid w:val="52EA4E4F"/>
    <w:rsid w:val="551663CF"/>
    <w:rsid w:val="575056EA"/>
    <w:rsid w:val="5777D4F5"/>
    <w:rsid w:val="59BC044E"/>
    <w:rsid w:val="59DD8326"/>
    <w:rsid w:val="5B4F43E9"/>
    <w:rsid w:val="5B726329"/>
    <w:rsid w:val="5D235B2D"/>
    <w:rsid w:val="5DEF592A"/>
    <w:rsid w:val="5F1020E1"/>
    <w:rsid w:val="5F4A0C6E"/>
    <w:rsid w:val="5F6B37BB"/>
    <w:rsid w:val="5F94132D"/>
    <w:rsid w:val="5FC6BB1E"/>
    <w:rsid w:val="5FCF3D4A"/>
    <w:rsid w:val="5FF720F1"/>
    <w:rsid w:val="600734E4"/>
    <w:rsid w:val="60477D84"/>
    <w:rsid w:val="61BC3E5A"/>
    <w:rsid w:val="61C03CA2"/>
    <w:rsid w:val="62522A10"/>
    <w:rsid w:val="63360B92"/>
    <w:rsid w:val="63A1155A"/>
    <w:rsid w:val="63F773CC"/>
    <w:rsid w:val="64632CB3"/>
    <w:rsid w:val="65DF280D"/>
    <w:rsid w:val="66065FEC"/>
    <w:rsid w:val="66DD4F9F"/>
    <w:rsid w:val="67A61834"/>
    <w:rsid w:val="67FF5C0B"/>
    <w:rsid w:val="68541290"/>
    <w:rsid w:val="688431F8"/>
    <w:rsid w:val="68B166E3"/>
    <w:rsid w:val="68C94248"/>
    <w:rsid w:val="68EC14C9"/>
    <w:rsid w:val="694806C9"/>
    <w:rsid w:val="69B97336"/>
    <w:rsid w:val="69CC709D"/>
    <w:rsid w:val="69EB79D2"/>
    <w:rsid w:val="69FA61A5"/>
    <w:rsid w:val="6A5D01A4"/>
    <w:rsid w:val="6A9E4A45"/>
    <w:rsid w:val="6B1E7934"/>
    <w:rsid w:val="6D210D54"/>
    <w:rsid w:val="6EFC0924"/>
    <w:rsid w:val="6F6A75EB"/>
    <w:rsid w:val="6F946416"/>
    <w:rsid w:val="6FB74722"/>
    <w:rsid w:val="6FEF8B7E"/>
    <w:rsid w:val="703A5210"/>
    <w:rsid w:val="71A6591B"/>
    <w:rsid w:val="71E01CE2"/>
    <w:rsid w:val="73117E36"/>
    <w:rsid w:val="737D59BA"/>
    <w:rsid w:val="73AF381F"/>
    <w:rsid w:val="741E6BF6"/>
    <w:rsid w:val="75A35605"/>
    <w:rsid w:val="76C83C13"/>
    <w:rsid w:val="77274014"/>
    <w:rsid w:val="77BF249E"/>
    <w:rsid w:val="77C37683"/>
    <w:rsid w:val="78615304"/>
    <w:rsid w:val="79A90D10"/>
    <w:rsid w:val="79D19834"/>
    <w:rsid w:val="79FF515B"/>
    <w:rsid w:val="7AB85C65"/>
    <w:rsid w:val="7BA774D1"/>
    <w:rsid w:val="7D341239"/>
    <w:rsid w:val="7D494CE4"/>
    <w:rsid w:val="7D9341B1"/>
    <w:rsid w:val="7E2968C4"/>
    <w:rsid w:val="7E9E1962"/>
    <w:rsid w:val="7E9F11B4"/>
    <w:rsid w:val="7F37EC1E"/>
    <w:rsid w:val="7F7DCD9D"/>
    <w:rsid w:val="7F970A6F"/>
    <w:rsid w:val="7F9F6E3D"/>
    <w:rsid w:val="7FC1FFF3"/>
    <w:rsid w:val="7FC69637"/>
    <w:rsid w:val="7FC93EBA"/>
    <w:rsid w:val="7FD86F6B"/>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9"/>
    <w:link w:val="4"/>
    <w:semiHidden/>
    <w:qFormat/>
    <w:uiPriority w:val="99"/>
    <w:rPr>
      <w:sz w:val="18"/>
      <w:szCs w:val="18"/>
    </w:rPr>
  </w:style>
  <w:style w:type="character" w:customStyle="1" w:styleId="17">
    <w:name w:val="font01"/>
    <w:basedOn w:val="9"/>
    <w:qFormat/>
    <w:uiPriority w:val="0"/>
    <w:rPr>
      <w:rFonts w:hint="eastAsia" w:ascii="宋体" w:hAnsi="宋体" w:eastAsia="宋体" w:cs="宋体"/>
      <w:color w:val="000000"/>
      <w:sz w:val="22"/>
      <w:szCs w:val="22"/>
      <w:u w:val="none"/>
    </w:rPr>
  </w:style>
  <w:style w:type="character" w:customStyle="1" w:styleId="18">
    <w:name w:val="font21"/>
    <w:basedOn w:val="9"/>
    <w:qFormat/>
    <w:uiPriority w:val="0"/>
    <w:rPr>
      <w:rFonts w:hint="eastAsia" w:ascii="宋体" w:hAnsi="宋体" w:eastAsia="宋体" w:cs="宋体"/>
      <w:color w:val="000000"/>
      <w:sz w:val="24"/>
      <w:szCs w:val="24"/>
      <w:u w:val="none"/>
    </w:rPr>
  </w:style>
  <w:style w:type="character" w:customStyle="1" w:styleId="19">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427</Words>
  <Characters>433</Characters>
  <Lines>69</Lines>
  <Paragraphs>19</Paragraphs>
  <TotalTime>231</TotalTime>
  <ScaleCrop>false</ScaleCrop>
  <LinksUpToDate>false</LinksUpToDate>
  <CharactersWithSpaces>440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2025-08-18T18:17:00Z</dcterms:created>
  <dc:creator>李航 null</dc:creator>
  <cp:lastModifiedBy>greatwall</cp:lastModifiedBy>
  <cp:lastPrinted>2024-08-09T02:20:00Z</cp:lastPrinted>
  <dcterms:modified xsi:type="dcterms:W3CDTF">2025-09-25T11:52:33Z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BB7B6AA21D207914D6FDA268992A22D6</vt:lpwstr>
  </property>
  <property fmtid="{D5CDD505-2E9C-101B-9397-08002B2CF9AE}" pid="4" name="KSOTemplateDocerSaveRecord">
    <vt:lpwstr>eyJoZGlkIjoiNWNmZDU1MmZiYmIyNTY3OGMxMWZkMjk1NjQ5YmRmODIifQ==</vt:lpwstr>
  </property>
</Properties>
</file>