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topLinePunct w:val="0"/>
        <w:bidi w:val="0"/>
        <w:spacing w:line="600" w:lineRule="exact"/>
        <w:jc w:val="both"/>
        <w:textAlignment w:val="auto"/>
        <w:rPr>
          <w:rFonts w:hAnsi="黑体"/>
          <w:sz w:val="36"/>
          <w:szCs w:val="36"/>
        </w:rPr>
      </w:pPr>
      <w:r>
        <w:rPr>
          <w:rFonts w:hint="eastAsia" w:hAnsi="黑体"/>
          <w:sz w:val="36"/>
          <w:szCs w:val="36"/>
        </w:rPr>
        <w:t>附件1</w:t>
      </w: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56"/>
          <w:szCs w:val="56"/>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84"/>
          <w:szCs w:val="84"/>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84"/>
          <w:szCs w:val="84"/>
        </w:rPr>
      </w:pP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怀化市民政局</w:t>
      </w:r>
      <w:r>
        <w:rPr>
          <w:rFonts w:ascii="Times New Roman" w:hAnsi="Times New Roman" w:eastAsia="方正小标宋简体" w:cs="Times New Roman"/>
          <w:sz w:val="72"/>
          <w:szCs w:val="72"/>
        </w:rPr>
        <w:t>部门决算</w:t>
      </w: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6"/>
          <w:szCs w:val="56"/>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56"/>
          <w:szCs w:val="56"/>
        </w:rPr>
      </w:pPr>
    </w:p>
    <w:p>
      <w:pPr>
        <w:pStyle w:val="9"/>
        <w:keepNext w:val="0"/>
        <w:keepLines w:val="0"/>
        <w:pageBreakBefore w:val="0"/>
        <w:kinsoku/>
        <w:wordWrap/>
        <w:topLinePunct w:val="0"/>
        <w:bidi w:val="0"/>
        <w:spacing w:line="600" w:lineRule="exact"/>
        <w:textAlignment w:val="auto"/>
        <w:rPr>
          <w:rFonts w:ascii="Times New Roman" w:hAnsi="Times New Roman" w:cs="Times New Roman"/>
          <w:sz w:val="56"/>
          <w:szCs w:val="56"/>
        </w:rPr>
      </w:pPr>
    </w:p>
    <w:p>
      <w:pPr>
        <w:keepNext w:val="0"/>
        <w:keepLines w:val="0"/>
        <w:pageBreakBefore w:val="0"/>
        <w:kinsoku/>
        <w:wordWrap/>
        <w:topLinePunct w:val="0"/>
        <w:bidi w:val="0"/>
        <w:spacing w:line="600" w:lineRule="exact"/>
        <w:textAlignment w:val="auto"/>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9"/>
        <w:keepNext w:val="0"/>
        <w:keepLines w:val="0"/>
        <w:pageBreakBefore w:val="0"/>
        <w:kinsoku/>
        <w:wordWrap/>
        <w:topLinePunct w:val="0"/>
        <w:bidi w:val="0"/>
        <w:spacing w:line="600" w:lineRule="exact"/>
        <w:jc w:val="both"/>
        <w:textAlignment w:val="auto"/>
        <w:rPr>
          <w:rFonts w:ascii="Times New Roman" w:hAnsi="Times New Roman" w:cs="Times New Roman"/>
          <w:b/>
          <w:sz w:val="36"/>
          <w:szCs w:val="28"/>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bCs/>
          <w:sz w:val="36"/>
          <w:szCs w:val="28"/>
        </w:rPr>
      </w:pPr>
      <w:r>
        <w:rPr>
          <w:rFonts w:ascii="Times New Roman" w:hAnsi="Times New Roman" w:cs="Times New Roman"/>
          <w:bCs/>
          <w:sz w:val="36"/>
          <w:szCs w:val="28"/>
        </w:rPr>
        <w:t>目  录</w:t>
      </w: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b/>
          <w:sz w:val="36"/>
          <w:szCs w:val="28"/>
        </w:rPr>
      </w:pPr>
    </w:p>
    <w:p>
      <w:pPr>
        <w:pStyle w:val="9"/>
        <w:keepNext w:val="0"/>
        <w:keepLines w:val="0"/>
        <w:pageBreakBefore w:val="0"/>
        <w:kinsoku/>
        <w:wordWrap/>
        <w:topLinePunct w:val="0"/>
        <w:bidi w:val="0"/>
        <w:spacing w:after="156" w:afterLines="50" w:line="600" w:lineRule="exact"/>
        <w:textAlignment w:val="auto"/>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怀化市民政局</w:t>
      </w:r>
      <w:r>
        <w:rPr>
          <w:rFonts w:ascii="Times New Roman" w:hAnsi="Times New Roman" w:cs="Times New Roman"/>
          <w:bCs/>
          <w:sz w:val="32"/>
          <w:szCs w:val="32"/>
        </w:rPr>
        <w:t>部门概况</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9"/>
        <w:keepNext w:val="0"/>
        <w:keepLines w:val="0"/>
        <w:pageBreakBefore w:val="0"/>
        <w:kinsoku/>
        <w:wordWrap/>
        <w:topLinePunct w:val="0"/>
        <w:bidi w:val="0"/>
        <w:spacing w:before="156" w:beforeLines="50" w:after="156" w:afterLines="50" w:line="600" w:lineRule="exact"/>
        <w:textAlignment w:val="auto"/>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9"/>
        <w:keepNext w:val="0"/>
        <w:keepLines w:val="0"/>
        <w:pageBreakBefore w:val="0"/>
        <w:kinsoku/>
        <w:wordWrap/>
        <w:topLinePunct w:val="0"/>
        <w:bidi w:val="0"/>
        <w:spacing w:before="156" w:beforeLines="50" w:after="156" w:afterLines="50" w:line="600" w:lineRule="exact"/>
        <w:textAlignment w:val="auto"/>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keepNext w:val="0"/>
        <w:keepLines w:val="0"/>
        <w:pageBreakBefore w:val="0"/>
        <w:kinsoku/>
        <w:wordWrap/>
        <w:topLinePunct w:val="0"/>
        <w:bidi w:val="0"/>
        <w:spacing w:line="6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pStyle w:val="9"/>
        <w:keepNext w:val="0"/>
        <w:keepLines w:val="0"/>
        <w:pageBreakBefore w:val="0"/>
        <w:kinsoku/>
        <w:wordWrap/>
        <w:topLinePunct w:val="0"/>
        <w:bidi w:val="0"/>
        <w:spacing w:line="600" w:lineRule="exact"/>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eastAsia="zh-CN"/>
        </w:rPr>
        <w:t>收入支出决算情况</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keepNext w:val="0"/>
        <w:keepLines w:val="0"/>
        <w:pageBreakBefore w:val="0"/>
        <w:kinsoku/>
        <w:wordWrap/>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9"/>
        <w:keepNext w:val="0"/>
        <w:keepLines w:val="0"/>
        <w:pageBreakBefore w:val="0"/>
        <w:kinsoku/>
        <w:wordWrap/>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9"/>
        <w:keepNext w:val="0"/>
        <w:keepLines w:val="0"/>
        <w:pageBreakBefore w:val="0"/>
        <w:kinsoku/>
        <w:wordWrap/>
        <w:topLinePunct w:val="0"/>
        <w:bidi w:val="0"/>
        <w:spacing w:before="156" w:beforeLines="50" w:after="156" w:afterLines="50" w:line="600" w:lineRule="exact"/>
        <w:textAlignment w:val="auto"/>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9"/>
        <w:keepNext w:val="0"/>
        <w:keepLines w:val="0"/>
        <w:pageBreakBefore w:val="0"/>
        <w:kinsoku/>
        <w:wordWrap/>
        <w:topLinePunct w:val="0"/>
        <w:bidi w:val="0"/>
        <w:spacing w:before="156" w:beforeLines="50" w:after="156" w:afterLines="50" w:line="600" w:lineRule="exact"/>
        <w:textAlignment w:val="auto"/>
        <w:rPr>
          <w:rFonts w:ascii="Times New Roman" w:hAnsi="Times New Roman" w:cs="Times New Roman"/>
          <w:bCs/>
          <w:sz w:val="32"/>
          <w:szCs w:val="32"/>
        </w:rPr>
      </w:pPr>
      <w:r>
        <w:rPr>
          <w:rFonts w:ascii="Times New Roman" w:hAnsi="Times New Roman" w:cs="Times New Roman"/>
          <w:bCs/>
          <w:sz w:val="32"/>
          <w:szCs w:val="32"/>
        </w:rPr>
        <w:t>第五部分 附件</w:t>
      </w:r>
    </w:p>
    <w:p>
      <w:pPr>
        <w:pStyle w:val="9"/>
        <w:keepNext w:val="0"/>
        <w:keepLines w:val="0"/>
        <w:pageBreakBefore w:val="0"/>
        <w:kinsoku/>
        <w:wordWrap/>
        <w:topLinePunct w:val="0"/>
        <w:bidi w:val="0"/>
        <w:spacing w:line="600" w:lineRule="exact"/>
        <w:textAlignment w:val="auto"/>
        <w:rPr>
          <w:rFonts w:ascii="Times New Roman" w:hAnsi="Times New Roman" w:cs="Times New Roman"/>
          <w:bCs/>
          <w:sz w:val="28"/>
          <w:szCs w:val="28"/>
        </w:rPr>
      </w:pPr>
    </w:p>
    <w:p>
      <w:pPr>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2"/>
        <w:keepNext w:val="0"/>
        <w:keepLines w:val="0"/>
        <w:pageBreakBefore w:val="0"/>
        <w:kinsoku/>
        <w:wordWrap/>
        <w:topLinePunct w:val="0"/>
        <w:bidi w:val="0"/>
        <w:spacing w:line="600" w:lineRule="exact"/>
        <w:textAlignment w:val="auto"/>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keepNext w:val="0"/>
        <w:keepLines w:val="0"/>
        <w:pageBreakBefore w:val="0"/>
        <w:kinsoku/>
        <w:wordWrap/>
        <w:topLinePunct w:val="0"/>
        <w:bidi w:val="0"/>
        <w:spacing w:line="600" w:lineRule="exact"/>
        <w:textAlignment w:val="auto"/>
        <w:rPr>
          <w:rFonts w:ascii="Times New Roman" w:hAnsi="Times New Roman" w:eastAsia="方正小标宋_GBK" w:cs="Times New Roman"/>
          <w:sz w:val="72"/>
          <w:szCs w:val="72"/>
        </w:rPr>
      </w:pP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lang w:val="en"/>
        </w:rPr>
        <w:t>怀化市民政局</w:t>
      </w:r>
      <w:r>
        <w:rPr>
          <w:rFonts w:ascii="Times New Roman" w:hAnsi="Times New Roman" w:eastAsia="方正小标宋_GBK" w:cs="Times New Roman"/>
          <w:sz w:val="52"/>
          <w:szCs w:val="52"/>
        </w:rPr>
        <w:t>概况</w:t>
      </w:r>
    </w:p>
    <w:p>
      <w:pPr>
        <w:pStyle w:val="3"/>
        <w:keepNext w:val="0"/>
        <w:keepLines w:val="0"/>
        <w:pageBreakBefore w:val="0"/>
        <w:kinsoku/>
        <w:wordWrap/>
        <w:topLinePunct w:val="0"/>
        <w:bidi w:val="0"/>
        <w:spacing w:line="600" w:lineRule="exact"/>
        <w:ind w:left="0" w:leftChars="0" w:firstLine="0" w:firstLineChars="0"/>
        <w:textAlignment w:val="auto"/>
        <w:rPr>
          <w:rFonts w:ascii="Times New Roman" w:hAnsi="Times New Roman" w:cs="Times New Roman"/>
        </w:rPr>
      </w:pPr>
    </w:p>
    <w:p>
      <w:pPr>
        <w:pStyle w:val="10"/>
        <w:keepNext w:val="0"/>
        <w:keepLines w:val="0"/>
        <w:pageBreakBefore w:val="0"/>
        <w:kinsoku/>
        <w:wordWrap/>
        <w:topLinePunct w:val="0"/>
        <w:bidi w:val="0"/>
        <w:spacing w:line="600" w:lineRule="exact"/>
        <w:ind w:firstLine="0" w:firstLineChars="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一</w:t>
      </w:r>
      <w:r>
        <w:rPr>
          <w:rFonts w:hint="eastAsia" w:ascii="Times New Roman Regular" w:hAnsi="Times New Roman Regular" w:eastAsia="仿宋_GB2312" w:cs="Times New Roman Regular"/>
          <w:sz w:val="32"/>
          <w:szCs w:val="32"/>
        </w:rPr>
        <w:t>）拟订全市民政事业发展政策、规划，制定标准并组织实施。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二</w:t>
      </w:r>
      <w:r>
        <w:rPr>
          <w:rFonts w:hint="eastAsia" w:ascii="Times New Roman Regular" w:hAnsi="Times New Roman Regular" w:eastAsia="仿宋_GB2312" w:cs="Times New Roman Regular"/>
          <w:sz w:val="32"/>
          <w:szCs w:val="32"/>
        </w:rPr>
        <w:t>）拟订全市社会团体、社会服务机构等社会组织登记和监督管理办法并组织实施，依法对社会组织进行登记管理和执法监督。</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三</w:t>
      </w:r>
      <w:r>
        <w:rPr>
          <w:rFonts w:hint="eastAsia" w:ascii="Times New Roman Regular" w:hAnsi="Times New Roman Regular" w:eastAsia="仿宋_GB2312" w:cs="Times New Roman Regular"/>
          <w:sz w:val="32"/>
          <w:szCs w:val="32"/>
        </w:rPr>
        <w:t>）拟订全市社会救助政策、标准，统筹社会救助体系建设，负责城乡居民最低生活保障、最低生活保障边缘家庭救助、刚性支出困难家庭救助、特困人员救助供养、临时救助、生活无着流浪乞讨人员救助工作。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四</w:t>
      </w:r>
      <w:r>
        <w:rPr>
          <w:rFonts w:hint="eastAsia" w:ascii="Times New Roman Regular" w:hAnsi="Times New Roman Regular" w:eastAsia="仿宋_GB2312" w:cs="Times New Roman Regular"/>
          <w:sz w:val="32"/>
          <w:szCs w:val="32"/>
        </w:rPr>
        <w:t>）拟订全市行政区划、行政区域界线管理和地名管理政策、标准，组织研究提出全市行政区划规划思路建议，按照管理权限牵头负责行政区划设立、命名、变更和政府驻地迁移等审核工作。组织、指导全市行政区域界线的勘定和管理工作，负责全市地名工作的指导、监督和管理，负责市内重要的或跨县市区的自然地理实体的命名和更名审核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五</w:t>
      </w:r>
      <w:r>
        <w:rPr>
          <w:rFonts w:hint="eastAsia" w:ascii="Times New Roman Regular" w:hAnsi="Times New Roman Regular" w:eastAsia="仿宋_GB2312" w:cs="Times New Roman Regular"/>
          <w:sz w:val="32"/>
          <w:szCs w:val="32"/>
        </w:rPr>
        <w:t>）拟订全市婚姻管理政策并组织实施，推进婚俗改革。</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六</w:t>
      </w:r>
      <w:r>
        <w:rPr>
          <w:rFonts w:hint="eastAsia" w:ascii="Times New Roman Regular" w:hAnsi="Times New Roman Regular" w:eastAsia="仿宋_GB2312" w:cs="Times New Roman Regular"/>
          <w:sz w:val="32"/>
          <w:szCs w:val="32"/>
        </w:rPr>
        <w:t>）拟订全市殡葬管理政策、服务规范并组织实施，推进殡葬改革。</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七</w:t>
      </w:r>
      <w:r>
        <w:rPr>
          <w:rFonts w:hint="eastAsia" w:ascii="Times New Roman Regular" w:hAnsi="Times New Roman Regular" w:eastAsia="仿宋_GB2312" w:cs="Times New Roman Regular"/>
          <w:sz w:val="32"/>
          <w:szCs w:val="32"/>
        </w:rPr>
        <w:t>）拟订全市残疾人权益保护政策，统筹推进残疾人福利制度建设和康复辅助器具产业发展。</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八</w:t>
      </w:r>
      <w:r>
        <w:rPr>
          <w:rFonts w:hint="eastAsia" w:ascii="Times New Roman Regular" w:hAnsi="Times New Roman Regular" w:eastAsia="仿宋_GB2312" w:cs="Times New Roman Regular"/>
          <w:sz w:val="32"/>
          <w:szCs w:val="32"/>
        </w:rPr>
        <w:t>）承担市老龄工作委员会的具体工作。承担加强老年健康、养老服务、养老保险、养老产业等方面统筹协调工作。组织拟订并协调落实积极应对人口老龄化的政策措施。指导协调老年人权益保障工作。组织拟订老年人社会参与政策并组织实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九</w:t>
      </w:r>
      <w:r>
        <w:rPr>
          <w:rFonts w:hint="eastAsia" w:ascii="Times New Roman Regular" w:hAnsi="Times New Roman Regular" w:eastAsia="仿宋_GB2312" w:cs="Times New Roman Regular"/>
          <w:sz w:val="32"/>
          <w:szCs w:val="32"/>
        </w:rPr>
        <w:t>）组织拟订并协调落实促进全市养老事业发展的政策措施。统筹推进、督促指导、监督管理养老服务工作，拟订全市养老服务体系建设规划、政策、标准并组织实施，承担老年人福利和特殊困难老年人救助工作。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十</w:t>
      </w:r>
      <w:r>
        <w:rPr>
          <w:rFonts w:hint="eastAsia" w:ascii="Times New Roman Regular" w:hAnsi="Times New Roman Regular" w:eastAsia="仿宋_GB2312" w:cs="Times New Roman Regular"/>
          <w:sz w:val="32"/>
          <w:szCs w:val="32"/>
        </w:rPr>
        <w:t>）拟订全市儿童福利、孤弃儿童保障、儿童收养、儿童救助保护政策和标准，健全农村留守儿童关爱服务体系和困境儿童保障制度。</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十一</w:t>
      </w:r>
      <w:r>
        <w:rPr>
          <w:rFonts w:hint="eastAsia" w:ascii="Times New Roman Regular" w:hAnsi="Times New Roman Regular" w:eastAsia="仿宋_GB2312" w:cs="Times New Roman Regular"/>
          <w:sz w:val="32"/>
          <w:szCs w:val="32"/>
        </w:rPr>
        <w:t>）组织拟订全市促进慈善事业发展政策，指导社会捐助工作，负责福利彩票管理工作。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十二</w:t>
      </w:r>
      <w:r>
        <w:rPr>
          <w:rFonts w:hint="eastAsia" w:ascii="Times New Roman Regular" w:hAnsi="Times New Roman Regular" w:eastAsia="仿宋_GB2312" w:cs="Times New Roman Regular"/>
          <w:sz w:val="32"/>
          <w:szCs w:val="32"/>
        </w:rPr>
        <w:t>）依照有关法律法规，在职责范围内对民政行业、领域的安全生产工作实施监督管理。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CN"/>
        </w:rPr>
        <w:t>十三</w:t>
      </w:r>
      <w:r>
        <w:rPr>
          <w:rFonts w:hint="eastAsia" w:ascii="Times New Roman Regular" w:hAnsi="Times New Roman Regular" w:eastAsia="仿宋_GB2312" w:cs="Times New Roman Regular"/>
          <w:sz w:val="32"/>
          <w:szCs w:val="32"/>
        </w:rPr>
        <w:t>）完成市委、市政府交办的其他任务。</w:t>
      </w:r>
    </w:p>
    <w:p>
      <w:pPr>
        <w:keepNext w:val="0"/>
        <w:keepLines w:val="0"/>
        <w:pageBreakBefore w:val="0"/>
        <w:widowControl/>
        <w:kinsoku/>
        <w:wordWrap/>
        <w:topLinePunct w:val="0"/>
        <w:bidi w:val="0"/>
        <w:spacing w:line="600" w:lineRule="exact"/>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topLinePunct w:val="0"/>
        <w:bidi w:val="0"/>
        <w:spacing w:line="600" w:lineRule="exact"/>
        <w:ind w:firstLine="640" w:firstLineChars="200"/>
        <w:textAlignment w:val="auto"/>
        <w:rPr>
          <w:rFonts w:hint="eastAsia" w:ascii="仿宋_GB2312" w:hAnsi="仿宋_GB2312"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bCs/>
          <w:kern w:val="0"/>
          <w:sz w:val="32"/>
          <w:szCs w:val="32"/>
          <w:lang w:eastAsia="zh-CN"/>
        </w:rPr>
        <w:t>怀化市民政局内设机构包括：办公室（政策法规科）、规划财务科、社会组织管理科（社会组织执法监督局、行政审批服务科）、社会救助科、区划地名和慈善事业促进科、社会事务科、老龄工作科、养老服务和儿童福利科，机关党委（人事科）。直属二级单位</w:t>
      </w:r>
      <w:r>
        <w:rPr>
          <w:rFonts w:hint="default" w:ascii="仿宋_GB2312" w:hAnsi="仿宋_GB2312" w:eastAsia="仿宋_GB2312" w:cs="仿宋_GB2312"/>
          <w:bCs/>
          <w:kern w:val="0"/>
          <w:sz w:val="32"/>
          <w:szCs w:val="32"/>
          <w:lang w:val="en" w:eastAsia="zh-CN"/>
        </w:rPr>
        <w:t>6</w:t>
      </w:r>
      <w:r>
        <w:rPr>
          <w:rFonts w:hint="eastAsia" w:ascii="仿宋_GB2312" w:hAnsi="仿宋_GB2312" w:eastAsia="仿宋_GB2312" w:cs="仿宋_GB2312"/>
          <w:bCs/>
          <w:kern w:val="0"/>
          <w:sz w:val="32"/>
          <w:szCs w:val="32"/>
          <w:lang w:eastAsia="zh-CN"/>
        </w:rPr>
        <w:t>个，</w:t>
      </w:r>
      <w:r>
        <w:rPr>
          <w:rFonts w:hint="eastAsia" w:ascii="Times New Roman Regular" w:hAnsi="Times New Roman Regular" w:eastAsia="仿宋_GB2312" w:cs="Times New Roman Regular"/>
          <w:sz w:val="32"/>
          <w:szCs w:val="32"/>
        </w:rPr>
        <w:t>市民政事务中心</w:t>
      </w:r>
      <w:r>
        <w:rPr>
          <w:rFonts w:hint="eastAsia" w:ascii="Times New Roman Regular" w:hAnsi="Times New Roman Regular" w:eastAsia="仿宋_GB2312" w:cs="Times New Roman Regular"/>
          <w:sz w:val="32"/>
          <w:szCs w:val="32"/>
          <w:lang w:eastAsia="zh-CN"/>
        </w:rPr>
        <w:t>（财务不独立）</w:t>
      </w:r>
      <w:r>
        <w:rPr>
          <w:rFonts w:hint="eastAsia" w:ascii="Times New Roman Regular" w:hAnsi="Times New Roman Regular" w:eastAsia="仿宋_GB2312" w:cs="Times New Roman Regular"/>
          <w:sz w:val="32"/>
          <w:szCs w:val="32"/>
        </w:rPr>
        <w:t>、市殡葬事务中心、市救助站、市社会福利院、市特困家庭大病医疗慈善救助服务中心</w:t>
      </w:r>
      <w:r>
        <w:rPr>
          <w:rFonts w:hint="eastAsia" w:ascii="Times New Roman Regular" w:hAnsi="Times New Roman Regular" w:eastAsia="仿宋_GB2312" w:cs="Times New Roman Regular"/>
          <w:sz w:val="32"/>
          <w:szCs w:val="32"/>
          <w:lang w:eastAsia="zh-CN"/>
        </w:rPr>
        <w:t>（财务不独立）</w:t>
      </w:r>
      <w:r>
        <w:rPr>
          <w:rFonts w:hint="eastAsia" w:ascii="Times New Roman Regular" w:hAnsi="Times New Roman Regular" w:eastAsia="仿宋_GB2312" w:cs="Times New Roman Regular"/>
          <w:sz w:val="32"/>
          <w:szCs w:val="32"/>
        </w:rPr>
        <w:t>、市福利彩票发行中心</w:t>
      </w:r>
      <w:r>
        <w:rPr>
          <w:rFonts w:hint="eastAsia" w:ascii="Times New Roman Regular" w:hAnsi="Times New Roman Regular" w:eastAsia="仿宋_GB2312" w:cs="Times New Roman Regular"/>
          <w:sz w:val="32"/>
          <w:szCs w:val="32"/>
          <w:lang w:eastAsia="zh-CN"/>
        </w:rPr>
        <w:t>（财务独立的非部门预算单位）</w:t>
      </w:r>
      <w:r>
        <w:rPr>
          <w:rFonts w:hint="eastAsia" w:ascii="Times New Roman Regular" w:hAnsi="Times New Roman Regular" w:eastAsia="仿宋_GB2312" w:cs="Times New Roman Regular"/>
          <w:sz w:val="32"/>
          <w:szCs w:val="32"/>
        </w:rPr>
        <w:t>。</w:t>
      </w:r>
    </w:p>
    <w:p>
      <w:pPr>
        <w:keepNext w:val="0"/>
        <w:keepLines w:val="0"/>
        <w:pageBreakBefore w:val="0"/>
        <w:widowControl/>
        <w:kinsoku/>
        <w:wordWrap/>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bCs/>
          <w:kern w:val="0"/>
          <w:sz w:val="32"/>
          <w:szCs w:val="32"/>
          <w:lang w:eastAsia="zh-CN"/>
        </w:rPr>
        <w:t>怀化市民政局</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 w:eastAsia="zh-CN"/>
        </w:rPr>
        <w:t>4</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sz w:val="32"/>
          <w:szCs w:val="32"/>
        </w:rPr>
        <w:t>市民政局本级、市救助站、市社会福利院、市殡葬事务中心。</w:t>
      </w:r>
    </w:p>
    <w:p>
      <w:pPr>
        <w:pStyle w:val="2"/>
        <w:keepNext w:val="0"/>
        <w:keepLines w:val="0"/>
        <w:pageBreakBefore w:val="0"/>
        <w:kinsoku/>
        <w:wordWrap/>
        <w:topLinePunct w:val="0"/>
        <w:bidi w:val="0"/>
        <w:spacing w:line="600" w:lineRule="exact"/>
        <w:textAlignment w:val="auto"/>
        <w:rPr>
          <w:rFonts w:hint="eastAsia" w:ascii="仿宋_GB2312" w:hAnsi="仿宋_GB2312" w:eastAsia="仿宋_GB2312" w:cs="仿宋_GB2312"/>
        </w:rPr>
        <w:sectPr>
          <w:footerReference r:id="rId5" w:type="default"/>
          <w:pgSz w:w="11906" w:h="16838"/>
          <w:pgMar w:top="1417" w:right="1588" w:bottom="1417" w:left="1588" w:header="851" w:footer="992" w:gutter="0"/>
          <w:pgNumType w:start="1"/>
          <w:cols w:space="425" w:num="1"/>
          <w:docGrid w:type="lines" w:linePitch="312" w:charSpace="0"/>
        </w:sect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第二部分</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hint="default" w:ascii="Times New Roman" w:hAnsi="Times New Roman" w:cs="Times New Roman"/>
          <w:sz w:val="48"/>
          <w:szCs w:val="48"/>
          <w:lang w:val="en"/>
        </w:rPr>
      </w:pPr>
      <w:r>
        <w:rPr>
          <w:rFonts w:ascii="Times New Roman" w:hAnsi="Times New Roman" w:cs="Times New Roman"/>
          <w:sz w:val="48"/>
          <w:szCs w:val="48"/>
          <w:lang w:val="en"/>
        </w:rPr>
        <w:t>（公开表附后）</w:t>
      </w: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_GBK" w:cs="Times New Roman"/>
          <w:sz w:val="52"/>
          <w:szCs w:val="5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_GBK" w:cs="Times New Roman"/>
          <w:sz w:val="52"/>
          <w:szCs w:val="52"/>
        </w:rPr>
      </w:pP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9"/>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keepNext w:val="0"/>
        <w:keepLines w:val="0"/>
        <w:pageBreakBefore w:val="0"/>
        <w:widowControl/>
        <w:kinsoku/>
        <w:wordWrap/>
        <w:topLinePunct w:val="0"/>
        <w:bidi w:val="0"/>
        <w:spacing w:line="600" w:lineRule="exact"/>
        <w:jc w:val="left"/>
        <w:textAlignment w:val="auto"/>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9828.95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1783.94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%，主要是因为</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落实厉行节约</w:t>
      </w:r>
      <w:r>
        <w:rPr>
          <w:rFonts w:hint="eastAsia" w:ascii="仿宋_GB2312" w:hAnsi="仿宋_GB2312" w:eastAsia="仿宋_GB2312" w:cs="仿宋_GB2312"/>
          <w:sz w:val="32"/>
          <w:szCs w:val="32"/>
          <w:lang w:eastAsia="zh-CN"/>
        </w:rPr>
        <w:t>和“过紧日子”</w:t>
      </w:r>
      <w:r>
        <w:rPr>
          <w:rFonts w:hint="eastAsia" w:ascii="仿宋_GB2312" w:hAnsi="仿宋_GB2312" w:eastAsia="仿宋_GB2312" w:cs="仿宋_GB2312"/>
          <w:sz w:val="32"/>
          <w:szCs w:val="32"/>
        </w:rPr>
        <w:t>的要求，进一步从严控制</w:t>
      </w:r>
      <w:r>
        <w:rPr>
          <w:rFonts w:hint="eastAsia" w:ascii="仿宋_GB2312" w:hAnsi="仿宋_GB2312" w:eastAsia="仿宋_GB2312" w:cs="仿宋_GB2312"/>
          <w:sz w:val="32"/>
          <w:szCs w:val="32"/>
          <w:lang w:eastAsia="zh-CN"/>
        </w:rPr>
        <w:t>各项经费开支。</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9791.22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7293.71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907.91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1589.6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9825.34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2596.89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7228.45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7293.71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3055.09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认真</w:t>
      </w:r>
      <w:r>
        <w:rPr>
          <w:rFonts w:hint="eastAsia" w:ascii="仿宋_GB2312" w:hAnsi="仿宋_GB2312" w:eastAsia="仿宋_GB2312" w:cs="仿宋_GB2312"/>
          <w:sz w:val="32"/>
          <w:szCs w:val="32"/>
        </w:rPr>
        <w:t>落实厉行节约</w:t>
      </w:r>
      <w:r>
        <w:rPr>
          <w:rFonts w:hint="eastAsia" w:ascii="仿宋_GB2312" w:hAnsi="仿宋_GB2312" w:eastAsia="仿宋_GB2312" w:cs="仿宋_GB2312"/>
          <w:sz w:val="32"/>
          <w:szCs w:val="32"/>
          <w:lang w:eastAsia="zh-CN"/>
        </w:rPr>
        <w:t>和“过紧日子”</w:t>
      </w:r>
      <w:r>
        <w:rPr>
          <w:rFonts w:hint="eastAsia" w:ascii="仿宋_GB2312" w:hAnsi="仿宋_GB2312" w:eastAsia="仿宋_GB2312" w:cs="仿宋_GB2312"/>
          <w:sz w:val="32"/>
          <w:szCs w:val="32"/>
        </w:rPr>
        <w:t>的要求，进一步从严控制</w:t>
      </w:r>
      <w:r>
        <w:rPr>
          <w:rFonts w:hint="eastAsia" w:ascii="仿宋_GB2312" w:hAnsi="仿宋_GB2312" w:eastAsia="仿宋_GB2312" w:cs="仿宋_GB2312"/>
          <w:sz w:val="32"/>
          <w:szCs w:val="32"/>
          <w:lang w:eastAsia="zh-CN"/>
        </w:rPr>
        <w:t>各项经费开支。</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6426.94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88.1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822.56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认真</w:t>
      </w:r>
      <w:r>
        <w:rPr>
          <w:rFonts w:hint="eastAsia" w:ascii="仿宋_GB2312" w:hAnsi="仿宋_GB2312" w:eastAsia="仿宋_GB2312" w:cs="仿宋_GB2312"/>
          <w:sz w:val="32"/>
          <w:szCs w:val="32"/>
        </w:rPr>
        <w:t>落实厉行节约</w:t>
      </w:r>
      <w:r>
        <w:rPr>
          <w:rFonts w:hint="eastAsia" w:ascii="仿宋_GB2312" w:hAnsi="仿宋_GB2312" w:eastAsia="仿宋_GB2312" w:cs="仿宋_GB2312"/>
          <w:sz w:val="32"/>
          <w:szCs w:val="32"/>
          <w:lang w:eastAsia="zh-CN"/>
        </w:rPr>
        <w:t>和“过紧日子”</w:t>
      </w:r>
      <w:r>
        <w:rPr>
          <w:rFonts w:hint="eastAsia" w:ascii="仿宋_GB2312" w:hAnsi="仿宋_GB2312" w:eastAsia="仿宋_GB2312" w:cs="仿宋_GB2312"/>
          <w:sz w:val="32"/>
          <w:szCs w:val="32"/>
        </w:rPr>
        <w:t>的要求，进一步从严控制</w:t>
      </w:r>
      <w:r>
        <w:rPr>
          <w:rFonts w:hint="eastAsia" w:ascii="仿宋_GB2312" w:hAnsi="仿宋_GB2312" w:eastAsia="仿宋_GB2312" w:cs="仿宋_GB2312"/>
          <w:sz w:val="32"/>
          <w:szCs w:val="32"/>
          <w:lang w:eastAsia="zh-CN"/>
        </w:rPr>
        <w:t>一般公共预算财政拨款开支。</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lang w:val="en"/>
        </w:rPr>
        <w:t>6426.94</w:t>
      </w:r>
      <w:r>
        <w:rPr>
          <w:rFonts w:ascii="Times New Roman" w:hAnsi="Times New Roman" w:eastAsia="仿宋_GB2312" w:cs="Times New Roman"/>
          <w:sz w:val="32"/>
          <w:szCs w:val="32"/>
        </w:rPr>
        <w:t>万元，主要用于以下方面：一般公共服务（类）支出</w:t>
      </w:r>
      <w:r>
        <w:rPr>
          <w:rFonts w:hint="default" w:ascii="Times New Roman" w:hAnsi="Times New Roman" w:eastAsia="仿宋_GB2312" w:cs="Times New Roman"/>
          <w:sz w:val="32"/>
          <w:szCs w:val="32"/>
          <w:lang w:val="en"/>
        </w:rPr>
        <w:t>349.84</w:t>
      </w:r>
      <w:r>
        <w:rPr>
          <w:rFonts w:ascii="Times New Roman" w:hAnsi="Times New Roman" w:eastAsia="仿宋_GB2312" w:cs="Times New Roman"/>
          <w:sz w:val="32"/>
          <w:szCs w:val="32"/>
        </w:rPr>
        <w:t>万，占</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6016.33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18.67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2072.14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6426.94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322.4</w:t>
      </w:r>
      <w:r>
        <w:rPr>
          <w:rFonts w:ascii="Times New Roman" w:hAnsi="Times New Roman" w:eastAsia="仿宋_GB2312" w:cs="Times New Roman"/>
          <w:sz w:val="32"/>
          <w:szCs w:val="32"/>
        </w:rPr>
        <w:t>%，其中：</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其他一般公共服务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w:t>
      </w:r>
      <w:r>
        <w:rPr>
          <w:rFonts w:ascii="Times New Roman" w:hAnsi="Times New Roman" w:eastAsia="仿宋_GB2312" w:cs="Times New Roman"/>
          <w:sz w:val="32"/>
          <w:szCs w:val="32"/>
        </w:rPr>
        <w:t>（项）。</w:t>
      </w:r>
    </w:p>
    <w:p>
      <w:pPr>
        <w:keepNext w:val="0"/>
        <w:keepLines w:val="0"/>
        <w:pageBreakBefore w:val="0"/>
        <w:kinsoku/>
        <w:wordWrap/>
        <w:topLinePunct w:val="0"/>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349.84</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pPr>
        <w:keepNext w:val="0"/>
        <w:keepLines w:val="0"/>
        <w:pageBreakBefore w:val="0"/>
        <w:kinsoku/>
        <w:wordWrap/>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1578.56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1511.41</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95.7</w:t>
      </w:r>
      <w:r>
        <w:rPr>
          <w:rFonts w:ascii="Times New Roman" w:hAnsi="Times New Roman" w:eastAsia="仿宋_GB2312" w:cs="Times New Roman"/>
          <w:sz w:val="32"/>
          <w:szCs w:val="32"/>
        </w:rPr>
        <w:t>%，决算数小于年初预算数的主要原因是：</w:t>
      </w:r>
      <w:r>
        <w:rPr>
          <w:rFonts w:hint="eastAsia" w:ascii="仿宋_GB2312" w:hAnsi="仿宋_GB2312" w:eastAsia="仿宋_GB2312" w:cs="仿宋_GB2312"/>
          <w:sz w:val="32"/>
          <w:szCs w:val="32"/>
        </w:rPr>
        <w:t>根据工作要求，年中</w:t>
      </w:r>
      <w:r>
        <w:rPr>
          <w:rFonts w:hint="eastAsia" w:ascii="仿宋_GB2312" w:hAnsi="仿宋_GB2312" w:eastAsia="仿宋_GB2312" w:cs="仿宋_GB2312"/>
          <w:sz w:val="32"/>
          <w:szCs w:val="32"/>
          <w:lang w:eastAsia="zh-CN"/>
        </w:rPr>
        <w:t>缩减</w:t>
      </w:r>
      <w:r>
        <w:rPr>
          <w:rFonts w:hint="eastAsia" w:ascii="仿宋_GB2312" w:hAnsi="仿宋_GB2312" w:eastAsia="仿宋_GB2312" w:cs="仿宋_GB2312"/>
          <w:sz w:val="32"/>
          <w:szCs w:val="32"/>
        </w:rPr>
        <w:t>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21.94</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行政区划和地名管理</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其他民政管理事务</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56.12</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561.2</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行政单位离退休</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27.92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27.92</w:t>
      </w:r>
      <w:r>
        <w:rPr>
          <w:rFonts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44.69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95.5</w:t>
      </w:r>
      <w:r>
        <w:rPr>
          <w:rFonts w:ascii="Times New Roman" w:hAnsi="Times New Roman" w:eastAsia="仿宋_GB2312" w:cs="Times New Roman"/>
          <w:sz w:val="32"/>
          <w:szCs w:val="32"/>
        </w:rPr>
        <w:t>%，决算数小于年初预算数的主要原因是：</w:t>
      </w:r>
      <w:r>
        <w:rPr>
          <w:rFonts w:hint="eastAsia" w:ascii="仿宋_GB2312" w:hAnsi="仿宋_GB2312" w:eastAsia="仿宋_GB2312" w:cs="仿宋_GB2312"/>
          <w:sz w:val="32"/>
          <w:szCs w:val="32"/>
          <w:u w:val="none"/>
          <w:lang w:eastAsia="zh-CN"/>
        </w:rPr>
        <w:t>年初根据人员数进行测算，上报财政后拨付额度</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因单位人员异动实际支出金额小于预算数</w:t>
      </w:r>
      <w:r>
        <w:rPr>
          <w:rFonts w:hint="eastAsia" w:ascii="仿宋_GB2312" w:hAnsi="仿宋_GB2312" w:eastAsia="仿宋_GB2312" w:cs="仿宋_GB2312"/>
          <w:sz w:val="32"/>
          <w:szCs w:val="32"/>
          <w:u w:val="none"/>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其他行政事业单位养老</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u w:val="none"/>
          <w:lang w:eastAsia="zh-CN"/>
        </w:rPr>
        <w:t>年初根据人员数进行测算，上报财政后拨付额度</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因单位人员异动实际支出金额大于预算数</w:t>
      </w:r>
      <w:r>
        <w:rPr>
          <w:rFonts w:hint="eastAsia" w:ascii="仿宋_GB2312" w:hAnsi="仿宋_GB2312" w:eastAsia="仿宋_GB2312" w:cs="仿宋_GB2312"/>
          <w:sz w:val="32"/>
          <w:szCs w:val="32"/>
          <w:u w:val="none"/>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1542.17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%，决算数大于（小于）年初预算数的主要原因是：</w:t>
      </w:r>
      <w:r>
        <w:rPr>
          <w:rFonts w:hint="eastAsia" w:ascii="仿宋_GB2312" w:hAnsi="仿宋_GB2312" w:eastAsia="仿宋_GB2312" w:cs="仿宋_GB2312"/>
          <w:sz w:val="32"/>
          <w:szCs w:val="32"/>
        </w:rPr>
        <w:t>此项支出用于发放一次性抚恤费，财政部门根据抚恤费实际审批情况按进度予以拨付。</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儿童福利</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346.52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770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45</w:t>
      </w:r>
      <w:r>
        <w:rPr>
          <w:rFonts w:hint="eastAsia" w:ascii="仿宋_GB2312" w:hAnsi="仿宋_GB2312" w:eastAsia="仿宋_GB2312" w:cs="仿宋_GB2312"/>
          <w:sz w:val="32"/>
          <w:szCs w:val="32"/>
        </w:rPr>
        <w:t>万为市本级财政预算，其余为中央省级下拨资金，未列入市本级年初预算。</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殡葬</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175.41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444.35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253.3</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社会福利事业单位</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89.27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157.9</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临时救助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流浪乞讨人员救助</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144.1</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其他城市生活救助</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168.44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根据工作要求，年中追加相关业务经费支出。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其他社会保障和就业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其他社会保障和就业</w:t>
      </w:r>
      <w:r>
        <w:rPr>
          <w:rFonts w:ascii="Times New Roman" w:hAnsi="Times New Roman" w:eastAsia="仿宋_GB2312" w:cs="Times New Roman"/>
          <w:sz w:val="32"/>
          <w:szCs w:val="32"/>
        </w:rPr>
        <w:t>（项）。</w:t>
      </w:r>
    </w:p>
    <w:p>
      <w:pPr>
        <w:keepNext w:val="0"/>
        <w:keepLines w:val="0"/>
        <w:pageBreakBefore w:val="0"/>
        <w:kinsoku/>
        <w:wordWrap/>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1642.88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u w:val="none"/>
        </w:rPr>
        <w:t>额度的下拨需年初上报基数，经财政及人社部门审批后，年中拨付相关经费。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13.17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102.2</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u w:val="none"/>
          <w:lang w:eastAsia="zh-CN"/>
        </w:rPr>
        <w:t>年初根据人员数进行测算，上报财政后拨付额度</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因单位人员异动实际支出金额大于预算数</w:t>
      </w:r>
      <w:r>
        <w:rPr>
          <w:rFonts w:hint="eastAsia" w:ascii="仿宋_GB2312" w:hAnsi="仿宋_GB2312" w:eastAsia="仿宋_GB2312" w:cs="仿宋_GB2312"/>
          <w:sz w:val="32"/>
          <w:szCs w:val="32"/>
          <w:u w:val="none"/>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事业单位医疗</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5.21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
        </w:rPr>
        <w:t>37.91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u w:val="none"/>
          <w:lang w:eastAsia="zh-CN"/>
        </w:rPr>
        <w:t>年初根据人员数进行测算，上报财政后拨付额度</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因单位人员级系数异动实际支出金额大于预算数</w:t>
      </w:r>
      <w:r>
        <w:rPr>
          <w:rFonts w:hint="eastAsia" w:ascii="仿宋_GB2312" w:hAnsi="仿宋_GB2312" w:eastAsia="仿宋_GB2312" w:cs="仿宋_GB2312"/>
          <w:sz w:val="32"/>
          <w:szCs w:val="32"/>
          <w:u w:val="none"/>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2087.44</w:t>
      </w:r>
      <w:r>
        <w:rPr>
          <w:rFonts w:ascii="Times New Roman" w:hAnsi="Times New Roman" w:eastAsia="仿宋_GB2312" w:cs="Times New Roman"/>
          <w:sz w:val="32"/>
          <w:szCs w:val="32"/>
        </w:rPr>
        <w:t>万元，其中：</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1776.37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、绩效工资、机关事业单位基本养老保险缴费、职业年金缴费、职工基本医疗补助缴费、其他社会保障缴费、住房公积金、医疗费、其他工资福利支出、生活补助、救济费、奖励金、其他对个人和家庭的补助</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311.07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水费、电费、邮电费、物业管理费、差旅费、维修（护）费、租赁费、会议费、培训费、公务接待费、劳务费、委托业务费、工会经费、福利费、公务用车运行维护费、其他交通费用、其他商品和服务支出、办公设备购置、信息网络及软件购置更新</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34.44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39.1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3.66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27.4</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认真落实厉行节约</w:t>
      </w:r>
      <w:r>
        <w:rPr>
          <w:rFonts w:hint="eastAsia" w:ascii="仿宋_GB2312" w:hAnsi="仿宋_GB2312" w:eastAsia="仿宋_GB2312" w:cs="仿宋_GB2312"/>
          <w:sz w:val="32"/>
          <w:szCs w:val="32"/>
          <w:lang w:eastAsia="zh-CN"/>
        </w:rPr>
        <w:t>和“过紧日子”</w:t>
      </w:r>
      <w:r>
        <w:rPr>
          <w:rFonts w:hint="eastAsia" w:ascii="仿宋_GB2312" w:hAnsi="仿宋_GB2312" w:eastAsia="仿宋_GB2312" w:cs="仿宋_GB2312"/>
          <w:sz w:val="32"/>
          <w:szCs w:val="32"/>
        </w:rPr>
        <w:t>的要求，进一步从严控制“三公”经费开支</w:t>
      </w:r>
      <w:r>
        <w:rPr>
          <w:rFonts w:hint="eastAsia" w:ascii="Times New Roman" w:hAnsi="Times New Roman" w:eastAsia="仿宋_GB2312"/>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的主要原因是</w:t>
      </w:r>
      <w:r>
        <w:rPr>
          <w:rFonts w:hint="eastAsia" w:ascii="仿宋_GB2312" w:hAnsi="仿宋_GB2312" w:eastAsia="仿宋_GB2312" w:cs="仿宋_GB2312"/>
          <w:color w:val="000000"/>
          <w:sz w:val="32"/>
          <w:szCs w:val="32"/>
        </w:rPr>
        <w:t>按预算执行</w:t>
      </w:r>
      <w:r>
        <w:rPr>
          <w:rFonts w:ascii="Times New Roman" w:hAnsi="Times New Roman" w:eastAsia="仿宋_GB2312" w:cs="Times New Roman"/>
          <w:sz w:val="32"/>
          <w:szCs w:val="32"/>
        </w:rPr>
        <w:t>。2024年度</w:t>
      </w:r>
      <w:r>
        <w:rPr>
          <w:rFonts w:hint="eastAsia" w:ascii="仿宋_GB2312" w:hAnsi="仿宋_GB2312" w:eastAsia="仿宋_GB2312" w:cs="仿宋_GB2312"/>
          <w:color w:val="000000"/>
          <w:sz w:val="32"/>
          <w:szCs w:val="32"/>
        </w:rPr>
        <w:t>未安排因公出国（境）</w:t>
      </w:r>
      <w:r>
        <w:rPr>
          <w:rFonts w:hint="eastAsia" w:ascii="Times New Roman" w:hAnsi="Times New Roman" w:eastAsia="仿宋_GB2312" w:cs="Times New Roman"/>
          <w:sz w:val="32"/>
          <w:szCs w:val="32"/>
          <w:lang w:eastAsia="zh-CN"/>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30.69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%。其中：</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的主要原因是</w:t>
      </w:r>
      <w:r>
        <w:rPr>
          <w:rFonts w:hint="eastAsia" w:ascii="仿宋_GB2312" w:hAnsi="仿宋_GB2312" w:eastAsia="仿宋_GB2312" w:cs="仿宋_GB2312"/>
          <w:color w:val="000000"/>
          <w:sz w:val="32"/>
          <w:szCs w:val="32"/>
        </w:rPr>
        <w:t>本年度未安排</w:t>
      </w:r>
      <w:r>
        <w:rPr>
          <w:rFonts w:hint="eastAsia" w:ascii="仿宋_GB2312" w:hAnsi="仿宋_GB2312" w:eastAsia="仿宋_GB2312" w:cs="仿宋_GB2312"/>
          <w:color w:val="000000"/>
          <w:sz w:val="32"/>
          <w:szCs w:val="32"/>
          <w:lang w:eastAsia="zh-CN"/>
        </w:rPr>
        <w:t>公务用车购置费</w:t>
      </w:r>
      <w:r>
        <w:rPr>
          <w:rFonts w:hint="eastAsia" w:ascii="仿宋_GB2312" w:hAnsi="仿宋_GB2312" w:eastAsia="仿宋_GB2312" w:cs="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30.69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车辆保险费、过路过桥费、燃油费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认真落实中央八项规定和厉行节约的各项要求，进一步从严控制公务用车运行维护费开支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辆。</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51.7</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认真落实中央八项规定和厉行节约的各项要求，进一步从严控制</w:t>
      </w:r>
      <w:r>
        <w:rPr>
          <w:rFonts w:hint="eastAsia" w:ascii="仿宋_GB2312" w:hAnsi="仿宋_GB2312" w:eastAsia="仿宋_GB2312" w:cs="仿宋_GB2312"/>
          <w:sz w:val="32"/>
          <w:szCs w:val="32"/>
          <w:lang w:eastAsia="zh-CN"/>
        </w:rPr>
        <w:t>公务接待</w:t>
      </w:r>
      <w:r>
        <w:rPr>
          <w:rFonts w:hint="eastAsia" w:ascii="仿宋_GB2312" w:hAnsi="仿宋_GB2312" w:eastAsia="仿宋_GB2312" w:cs="仿宋_GB2312"/>
          <w:sz w:val="32"/>
          <w:szCs w:val="32"/>
        </w:rPr>
        <w:t>费开支</w:t>
      </w:r>
      <w:r>
        <w:rPr>
          <w:rFonts w:hint="eastAsia" w:ascii="仿宋_GB2312" w:hAnsi="仿宋_GB2312" w:eastAsia="仿宋_GB2312" w:cs="仿宋_GB2312"/>
          <w:sz w:val="32"/>
          <w:szCs w:val="32"/>
          <w:lang w:eastAsia="zh-CN"/>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人次，主要是</w:t>
      </w:r>
      <w:r>
        <w:rPr>
          <w:rFonts w:hint="eastAsia" w:ascii="仿宋_GB2312" w:hAnsi="仿宋_GB2312" w:eastAsia="仿宋_GB2312" w:cs="仿宋_GB2312"/>
          <w:sz w:val="32"/>
          <w:szCs w:val="32"/>
        </w:rPr>
        <w:t>上级部门调研、检查，县市区工作人员前来衔接相关业务工作发生的接待支出</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default" w:ascii="Times New Roman" w:hAnsi="Times New Roman" w:eastAsia="仿宋_GB2312" w:cs="Times New Roman"/>
          <w:sz w:val="32"/>
          <w:szCs w:val="32"/>
          <w:lang w:val="en"/>
        </w:rPr>
        <w:t>866.77</w:t>
      </w:r>
      <w:r>
        <w:rPr>
          <w:rFonts w:ascii="Times New Roman" w:hAnsi="Times New Roman" w:eastAsia="仿宋_GB2312" w:cs="Times New Roman"/>
          <w:sz w:val="32"/>
          <w:szCs w:val="32"/>
        </w:rPr>
        <w:t>万元；年初结转和结余</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万元；支出</w:t>
      </w:r>
      <w:r>
        <w:rPr>
          <w:rFonts w:hint="default" w:ascii="Times New Roman" w:hAnsi="Times New Roman" w:eastAsia="仿宋_GB2312" w:cs="Times New Roman"/>
          <w:sz w:val="32"/>
          <w:szCs w:val="32"/>
          <w:lang w:val="en"/>
        </w:rPr>
        <w:t>866.77</w:t>
      </w:r>
      <w:r>
        <w:rPr>
          <w:rFonts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
        </w:rPr>
        <w:t>866.77</w:t>
      </w:r>
      <w:r>
        <w:rPr>
          <w:rFonts w:ascii="Times New Roman" w:hAnsi="Times New Roman" w:eastAsia="仿宋_GB2312" w:cs="Times New Roman"/>
          <w:sz w:val="32"/>
          <w:szCs w:val="32"/>
        </w:rPr>
        <w:t>万元；年末结转和结余</w:t>
      </w:r>
      <w:r>
        <w:rPr>
          <w:rFonts w:hint="default" w:ascii="Times New Roman" w:hAnsi="Times New Roman" w:eastAsia="仿宋_GB2312" w:cs="Times New Roman"/>
          <w:sz w:val="32"/>
          <w:szCs w:val="32"/>
          <w:lang w:val="en"/>
        </w:rPr>
        <w:t>0</w:t>
      </w:r>
      <w:r>
        <w:rPr>
          <w:rFonts w:ascii="Times New Roman" w:hAnsi="Times New Roman" w:eastAsia="仿宋_GB2312" w:cs="Times New Roman"/>
          <w:sz w:val="32"/>
          <w:szCs w:val="32"/>
        </w:rPr>
        <w:t>万元。具体情况如下：</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其他</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用于社会福利的彩票公益金</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863.57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此项为中央省级下拨资金，未列入市本级年初预算。</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用于残疾人事业的彩票公益金</w:t>
      </w:r>
      <w:r>
        <w:rPr>
          <w:rFonts w:ascii="Times New Roman" w:hAnsi="Times New Roman" w:eastAsia="仿宋_GB2312" w:cs="Times New Roman"/>
          <w:sz w:val="32"/>
          <w:szCs w:val="32"/>
        </w:rPr>
        <w:t>（项）。</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_GB2312" w:hAnsi="仿宋_GB2312" w:eastAsia="仿宋_GB2312" w:cs="仿宋_GB2312"/>
          <w:sz w:val="32"/>
          <w:szCs w:val="32"/>
        </w:rPr>
        <w:t>此项为中央省级下拨资金，未列入市本级年初预算。</w:t>
      </w:r>
    </w:p>
    <w:p>
      <w:pPr>
        <w:pStyle w:val="9"/>
        <w:keepNext w:val="0"/>
        <w:keepLines w:val="0"/>
        <w:pageBreakBefore w:val="0"/>
        <w:numPr>
          <w:ilvl w:val="0"/>
          <w:numId w:val="1"/>
        </w:numPr>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国有资本经营预算</w:t>
      </w:r>
      <w:r>
        <w:rPr>
          <w:rFonts w:hint="eastAsia" w:ascii="黑体" w:hAnsi="黑体" w:eastAsia="黑体" w:cs="黑体"/>
          <w:sz w:val="32"/>
          <w:szCs w:val="32"/>
          <w:lang w:eastAsia="zh-CN"/>
        </w:rPr>
        <w:t>收入支出决算情况</w:t>
      </w:r>
    </w:p>
    <w:p>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lang w:val="en"/>
        </w:rPr>
      </w:pPr>
      <w:r>
        <w:rPr>
          <w:rFonts w:hint="eastAsia" w:ascii="Times New Roman" w:hAnsi="Times New Roman" w:eastAsia="仿宋_GB2312"/>
          <w:b w:val="0"/>
          <w:bCs/>
          <w:sz w:val="32"/>
          <w:szCs w:val="32"/>
          <w:lang w:eastAsia="zh-CN"/>
        </w:rPr>
        <w:t>本单位无国有资本经营预算财政拨款收入支出。</w:t>
      </w:r>
    </w:p>
    <w:p>
      <w:pPr>
        <w:pStyle w:val="9"/>
        <w:keepNext w:val="0"/>
        <w:keepLines w:val="0"/>
        <w:pageBreakBefore w:val="0"/>
        <w:numPr>
          <w:ilvl w:val="0"/>
          <w:numId w:val="0"/>
        </w:numPr>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lang w:val="en"/>
        </w:rPr>
        <w:t>十</w:t>
      </w:r>
      <w:r>
        <w:rPr>
          <w:rFonts w:ascii="Times New Roman" w:hAnsi="Times New Roman" w:cs="Times New Roman"/>
          <w:bCs/>
          <w:sz w:val="32"/>
          <w:szCs w:val="32"/>
        </w:rPr>
        <w:t>、关于机关运行经费支出说明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297.68</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36.02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10.8</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eastAsia="zh-CN"/>
        </w:rPr>
        <w:t>根据财政要求缩减行政运行经费</w:t>
      </w:r>
      <w:r>
        <w:rPr>
          <w:rFonts w:hint="eastAsia" w:ascii="Times New Roman" w:hAnsi="Times New Roman" w:eastAsia="仿宋_GB2312"/>
          <w:sz w:val="32"/>
          <w:szCs w:val="32"/>
        </w:rPr>
        <w:t>。</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bCs/>
          <w:sz w:val="32"/>
          <w:szCs w:val="32"/>
          <w:lang w:val="en"/>
        </w:rPr>
        <w:t>一</w:t>
      </w:r>
      <w:r>
        <w:rPr>
          <w:rFonts w:ascii="Times New Roman" w:hAnsi="Times New Roman" w:cs="Times New Roman"/>
          <w:bCs/>
          <w:sz w:val="32"/>
          <w:szCs w:val="32"/>
        </w:rPr>
        <w:t>、一般性支出情况说明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行政区划调整工作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评估怀化市行政区划调整相关工作</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社会组织</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社会组织工作人员参加上级培训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bCs/>
          <w:sz w:val="32"/>
          <w:szCs w:val="32"/>
          <w:lang w:val="en"/>
        </w:rPr>
        <w:t>二</w:t>
      </w:r>
      <w:r>
        <w:rPr>
          <w:rFonts w:ascii="Times New Roman" w:hAnsi="Times New Roman" w:cs="Times New Roman"/>
          <w:bCs/>
          <w:sz w:val="32"/>
          <w:szCs w:val="32"/>
        </w:rPr>
        <w:t>、关于政府采购支出说明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906.11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164.99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86.47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654.65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852.27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608.37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71.4</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91.8</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bCs/>
          <w:color w:val="auto"/>
          <w:sz w:val="32"/>
          <w:szCs w:val="32"/>
          <w:lang w:val="en"/>
        </w:rPr>
        <w:t>三</w:t>
      </w:r>
      <w:r>
        <w:rPr>
          <w:rFonts w:ascii="Times New Roman" w:hAnsi="Times New Roman" w:cs="Times New Roman"/>
          <w:bCs/>
          <w:color w:val="auto"/>
          <w:sz w:val="32"/>
          <w:szCs w:val="32"/>
        </w:rPr>
        <w:t>、关于国有资产占用情况说明</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截至2024年12月31日，部门共有车辆</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辆，其他用车主要是</w:t>
      </w:r>
      <w:r>
        <w:rPr>
          <w:rFonts w:hint="eastAsia" w:ascii="仿宋_GB2312" w:hAnsi="仿宋_GB2312" w:eastAsia="仿宋_GB2312" w:cs="仿宋_GB2312"/>
          <w:sz w:val="32"/>
          <w:szCs w:val="32"/>
        </w:rPr>
        <w:t>流浪乞讨救助专用车及殡葬服务用车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bCs/>
          <w:color w:val="auto"/>
          <w:sz w:val="32"/>
          <w:szCs w:val="32"/>
          <w:lang w:val="e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kinsoku/>
        <w:wordWrap/>
        <w:overflowPunct w:val="0"/>
        <w:topLinePunct w:val="0"/>
        <w:bidi w:val="0"/>
        <w:spacing w:line="600" w:lineRule="exact"/>
        <w:ind w:firstLine="640" w:firstLineChars="200"/>
        <w:textAlignment w:val="auto"/>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9825.34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885.5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13.8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78.55</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9.1</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ascii="Times New Roman" w:hAnsi="Times New Roman" w:eastAsia="方正仿宋_GBK" w:cs="Times New Roman"/>
          <w:color w:val="auto"/>
          <w:sz w:val="32"/>
          <w:szCs w:val="32"/>
        </w:rPr>
        <w:t>迎新春送温暖</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keepNext w:val="0"/>
        <w:keepLines w:val="0"/>
        <w:pageBreakBefore w:val="0"/>
        <w:kinsoku/>
        <w:wordWrap/>
        <w:overflowPunct w:val="0"/>
        <w:topLinePunct w:val="0"/>
        <w:bidi w:val="0"/>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9825.34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9825.34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w:t>
      </w:r>
      <w:r>
        <w:rPr>
          <w:rFonts w:ascii="Times New Roman" w:hAnsi="Times New Roman" w:eastAsia="仿宋_GB2312" w:cs="Times New Roman"/>
          <w:kern w:val="0"/>
          <w:sz w:val="32"/>
          <w:szCs w:val="32"/>
        </w:rPr>
        <w:t>效目标完成情况：一是</w:t>
      </w:r>
      <w:r>
        <w:rPr>
          <w:rFonts w:hint="eastAsia" w:ascii="Times New Roman" w:hAnsi="Times New Roman" w:eastAsia="仿宋_GB2312" w:cs="Times New Roman"/>
          <w:kern w:val="0"/>
          <w:sz w:val="32"/>
          <w:szCs w:val="32"/>
        </w:rPr>
        <w:t>社会救助动态核对人数</w:t>
      </w:r>
      <w:r>
        <w:rPr>
          <w:rFonts w:hint="eastAsia" w:ascii="Times New Roman" w:hAnsi="Times New Roman" w:eastAsia="仿宋_GB2312" w:cs="Times New Roman"/>
          <w:kern w:val="0"/>
          <w:sz w:val="32"/>
          <w:szCs w:val="32"/>
          <w:lang w:val="en-US" w:eastAsia="zh-CN"/>
        </w:rPr>
        <w:t>289万人次</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困难家庭适老化改造</w:t>
      </w:r>
      <w:r>
        <w:rPr>
          <w:rFonts w:hint="eastAsia" w:ascii="Times New Roman" w:hAnsi="Times New Roman" w:eastAsia="仿宋_GB2312" w:cs="Times New Roman"/>
          <w:kern w:val="0"/>
          <w:sz w:val="32"/>
          <w:szCs w:val="32"/>
          <w:lang w:val="en-US" w:eastAsia="zh-CN"/>
        </w:rPr>
        <w:t>2388户；三是</w:t>
      </w:r>
      <w:r>
        <w:rPr>
          <w:rFonts w:hint="eastAsia" w:ascii="Times New Roman" w:hAnsi="Times New Roman" w:eastAsia="仿宋_GB2312" w:cs="Times New Roman"/>
          <w:kern w:val="0"/>
          <w:sz w:val="32"/>
          <w:szCs w:val="32"/>
        </w:rPr>
        <w:t>救助保障政策覆盖率</w:t>
      </w:r>
      <w:r>
        <w:rPr>
          <w:rFonts w:hint="eastAsia" w:ascii="Times New Roman" w:hAnsi="Times New Roman" w:eastAsia="仿宋_GB2312" w:cs="Times New Roman"/>
          <w:kern w:val="0"/>
          <w:sz w:val="32"/>
          <w:szCs w:val="32"/>
          <w:lang w:eastAsia="zh-CN"/>
        </w:rPr>
        <w:t>及</w:t>
      </w:r>
      <w:r>
        <w:rPr>
          <w:rFonts w:hint="eastAsia" w:ascii="Times New Roman" w:hAnsi="Times New Roman" w:eastAsia="仿宋_GB2312" w:cs="Times New Roman"/>
          <w:kern w:val="0"/>
          <w:sz w:val="32"/>
          <w:szCs w:val="32"/>
        </w:rPr>
        <w:t>补贴发放到位率</w:t>
      </w:r>
      <w:r>
        <w:rPr>
          <w:rFonts w:hint="eastAsia" w:ascii="Times New Roman" w:hAnsi="Times New Roman" w:eastAsia="仿宋_GB2312" w:cs="Times New Roman"/>
          <w:kern w:val="0"/>
          <w:sz w:val="32"/>
          <w:szCs w:val="32"/>
          <w:lang w:eastAsia="zh-CN"/>
        </w:rPr>
        <w:t>达</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。发现的主要问题及原因：一是</w:t>
      </w:r>
      <w:r>
        <w:rPr>
          <w:rFonts w:hint="eastAsia" w:ascii="Times New Roman" w:hAnsi="Times New Roman" w:eastAsia="仿宋_GB2312" w:cs="Times New Roman"/>
          <w:kern w:val="0"/>
          <w:sz w:val="32"/>
          <w:szCs w:val="32"/>
        </w:rPr>
        <w:t>预算安排与实际支出存在一定差异，主要原因是预算前瞻性、科学性、精准性还有欠缺，造成了预算数与执行数的偏差</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绩效指标设置不够完善，年初未能对绩效目标与指标进行统筹设置，产出性指标量化值设置不完善，且缺少可量化的社会经济效益指标</w:t>
      </w:r>
      <w:r>
        <w:rPr>
          <w:rFonts w:ascii="Times New Roman" w:hAnsi="Times New Roman" w:eastAsia="仿宋_GB2312" w:cs="Times New Roman"/>
          <w:kern w:val="0"/>
          <w:sz w:val="32"/>
          <w:szCs w:val="32"/>
        </w:rPr>
        <w:t>。下一步改进措施：一是</w:t>
      </w:r>
      <w:r>
        <w:rPr>
          <w:rFonts w:hint="eastAsia" w:ascii="Times New Roman" w:hAnsi="Times New Roman" w:eastAsia="仿宋_GB2312" w:cs="Times New Roman"/>
          <w:kern w:val="0"/>
          <w:sz w:val="32"/>
          <w:szCs w:val="32"/>
        </w:rPr>
        <w:t>科学合理编制预算，严格执行预算。加强预算编制的前瞻性，按照新《预算法》及其实施条例的相关规定，及本单位的发展规划，结合上一年度预算执行情况和本年度预算收支变化因素，科学、合理地编制本年预算</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加强绩效管理学习，科学设定目标。在明确绩效目标设置依据及方法的基础上，对项目实施内容及成果的预期使用效果进行梳理，完成目标设定，目标设定既要有可操作性又要有前瞻性，对产出和效益指标要尽可能量化，提升绩效目标的可考核性和可实现性</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eastAsia="zh-CN"/>
        </w:rPr>
        <w:t>“迎新春送温暖”</w:t>
      </w:r>
      <w:r>
        <w:rPr>
          <w:rFonts w:hint="eastAsia" w:ascii="Times New Roman" w:hAnsi="Times New Roman" w:eastAsia="仿宋_GB2312" w:cs="Times New Roman"/>
          <w:kern w:val="0"/>
          <w:sz w:val="32"/>
          <w:szCs w:val="32"/>
        </w:rPr>
        <w:t>项目全年预算数</w:t>
      </w:r>
      <w:r>
        <w:rPr>
          <w:rFonts w:hint="eastAsia" w:ascii="Times New Roman" w:hAnsi="Times New Roman" w:eastAsia="仿宋_GB2312" w:cs="Times New Roman"/>
          <w:kern w:val="0"/>
          <w:sz w:val="32"/>
          <w:szCs w:val="32"/>
          <w:lang w:val="en-US" w:eastAsia="zh-CN"/>
        </w:rPr>
        <w:t>30</w:t>
      </w:r>
      <w:r>
        <w:rPr>
          <w:rFonts w:hint="eastAsia"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30</w:t>
      </w:r>
      <w:r>
        <w:rPr>
          <w:rFonts w:hint="eastAsia"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100</w:t>
      </w:r>
      <w:r>
        <w:rPr>
          <w:rFonts w:hint="eastAsia" w:ascii="Times New Roman" w:hAnsi="Times New Roman" w:eastAsia="仿宋_GB2312" w:cs="Times New Roman"/>
          <w:kern w:val="0"/>
          <w:sz w:val="32"/>
          <w:szCs w:val="32"/>
        </w:rPr>
        <w:t>%，部门评价得分</w:t>
      </w:r>
      <w:r>
        <w:rPr>
          <w:rFonts w:hint="eastAsia" w:ascii="Times New Roman" w:hAnsi="Times New Roman" w:eastAsia="仿宋_GB2312" w:cs="Times New Roman"/>
          <w:kern w:val="0"/>
          <w:sz w:val="32"/>
          <w:szCs w:val="32"/>
          <w:lang w:val="en-US" w:eastAsia="zh-CN"/>
        </w:rPr>
        <w:t>99</w:t>
      </w:r>
      <w:r>
        <w:rPr>
          <w:rFonts w:hint="eastAsia"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eastAsia="zh-CN"/>
        </w:rPr>
        <w:t>优</w:t>
      </w:r>
      <w:r>
        <w:rPr>
          <w:rFonts w:hint="eastAsia" w:ascii="Times New Roman" w:hAnsi="Times New Roman" w:eastAsia="仿宋_GB2312" w:cs="Times New Roman"/>
          <w:kern w:val="0"/>
          <w:sz w:val="32"/>
          <w:szCs w:val="32"/>
        </w:rPr>
        <w:t>”。发现的主要问题及原因：一是个别县区困难群众摸排不够细致，存在少量遗漏现象；二是项目宣传覆盖面有限，部分群众对慈善政策了解不足。下一步改进措施：一是将持续优化项目实施流程，完善困难群众动态数据库；二是加强上下联动对接、数据共享，提高摸排精准度，借助媒体、社区平台等扩大慈善公益宣传，全面提升怀化慈善事业知晓率和影响力。</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根据2024年度绩效自评、部门评价</w:t>
      </w:r>
      <w:r>
        <w:rPr>
          <w:rFonts w:hint="eastAsia" w:ascii="Times New Roman" w:hAnsi="Times New Roman" w:eastAsia="仿宋_GB2312" w:cs="Times New Roman"/>
          <w:color w:val="auto"/>
          <w:sz w:val="32"/>
          <w:szCs w:val="32"/>
          <w:lang w:eastAsia="zh-CN"/>
        </w:rPr>
        <w:t>及</w:t>
      </w:r>
      <w:r>
        <w:rPr>
          <w:rFonts w:ascii="Times New Roman" w:hAnsi="Times New Roman" w:eastAsia="仿宋_GB2312" w:cs="Times New Roman"/>
          <w:color w:val="auto"/>
          <w:sz w:val="32"/>
          <w:szCs w:val="32"/>
        </w:rPr>
        <w:t>财政评价结果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对2025年度预算</w:t>
      </w:r>
      <w:r>
        <w:rPr>
          <w:rFonts w:hint="eastAsia" w:ascii="Times New Roman" w:hAnsi="Times New Roman" w:eastAsia="仿宋_GB2312" w:cs="Times New Roman"/>
          <w:color w:val="auto"/>
          <w:sz w:val="32"/>
          <w:szCs w:val="32"/>
          <w:lang w:eastAsia="zh-CN"/>
        </w:rPr>
        <w:t>进行差异化</w:t>
      </w:r>
      <w:r>
        <w:rPr>
          <w:rFonts w:ascii="Times New Roman" w:hAnsi="Times New Roman" w:eastAsia="仿宋_GB2312" w:cs="Times New Roman"/>
          <w:color w:val="auto"/>
          <w:sz w:val="32"/>
          <w:szCs w:val="32"/>
        </w:rPr>
        <w:t>安排</w:t>
      </w:r>
      <w:r>
        <w:rPr>
          <w:rFonts w:hint="eastAsia" w:ascii="Times New Roman" w:hAnsi="Times New Roman" w:eastAsia="仿宋_GB2312" w:cs="Times New Roman"/>
          <w:color w:val="auto"/>
          <w:sz w:val="32"/>
          <w:szCs w:val="32"/>
          <w:lang w:eastAsia="zh-CN"/>
        </w:rPr>
        <w:t>。对评价等级为优秀的业务板块，优先保障预算需求并增加投入；对议价中暴露出资源使用效率偏低的项目，压缩其预算规模。</w:t>
      </w:r>
      <w:r>
        <w:rPr>
          <w:rFonts w:hint="eastAsia" w:ascii="Times New Roman" w:hAnsi="Times New Roman" w:eastAsia="仿宋_GB2312" w:cs="Times New Roman"/>
          <w:b/>
          <w:bCs/>
          <w:kern w:val="0"/>
          <w:sz w:val="32"/>
          <w:szCs w:val="32"/>
          <w:lang w:val="en-US" w:eastAsia="zh-CN" w:bidi="ar-SA"/>
        </w:rPr>
        <w:t xml:space="preserve">支出结构 </w:t>
      </w:r>
      <w:r>
        <w:rPr>
          <w:rFonts w:hint="eastAsia" w:ascii="Times New Roman" w:hAnsi="Times New Roman" w:eastAsia="仿宋_GB2312" w:cs="Times New Roman"/>
          <w:color w:val="auto"/>
          <w:sz w:val="32"/>
          <w:szCs w:val="32"/>
          <w:lang w:eastAsia="zh-CN"/>
        </w:rPr>
        <w:t>结合评价结果，优化</w:t>
      </w:r>
      <w:r>
        <w:rPr>
          <w:rFonts w:hint="eastAsia" w:ascii="Times New Roman" w:hAnsi="Times New Roman" w:eastAsia="仿宋_GB2312" w:cs="Times New Roman"/>
          <w:color w:val="auto"/>
          <w:sz w:val="32"/>
          <w:szCs w:val="32"/>
          <w:lang w:val="en-US" w:eastAsia="zh-CN"/>
        </w:rPr>
        <w:t>2025年度支出结构。加大对绩效突出领域的支出比例，减少对评价中存在问题领域的支出。</w:t>
      </w:r>
      <w:r>
        <w:rPr>
          <w:rFonts w:hint="eastAsia" w:ascii="Times New Roman" w:hAnsi="Times New Roman" w:eastAsia="仿宋_GB2312" w:cs="Times New Roman"/>
          <w:b/>
          <w:bCs/>
          <w:kern w:val="0"/>
          <w:sz w:val="32"/>
          <w:szCs w:val="32"/>
          <w:lang w:val="en-US" w:eastAsia="zh-CN" w:bidi="ar-SA"/>
        </w:rPr>
        <w:t xml:space="preserve">资金管理 </w:t>
      </w:r>
      <w:r>
        <w:rPr>
          <w:rFonts w:hint="eastAsia" w:ascii="Times New Roman" w:hAnsi="Times New Roman" w:eastAsia="仿宋_GB2312" w:cs="Times New Roman"/>
          <w:color w:val="auto"/>
          <w:sz w:val="32"/>
          <w:szCs w:val="32"/>
          <w:lang w:eastAsia="zh-CN"/>
        </w:rPr>
        <w:t>依据评价结果强化资金管理。坚持尽力而为、量力而行，把惠民生、暖民心、顺民意的工作做到群众心坎上。在保障基本民生项目实施的同时，又保障了局机关正常运转。</w:t>
      </w:r>
      <w:r>
        <w:rPr>
          <w:rFonts w:hint="eastAsia" w:ascii="Times New Roman" w:hAnsi="Times New Roman" w:eastAsia="仿宋_GB2312" w:cs="Times New Roman"/>
          <w:b/>
          <w:bCs/>
          <w:kern w:val="0"/>
          <w:sz w:val="32"/>
          <w:szCs w:val="32"/>
          <w:lang w:val="en-US" w:eastAsia="zh-CN" w:bidi="ar-SA"/>
        </w:rPr>
        <w:t xml:space="preserve">制度建设 </w:t>
      </w:r>
      <w:r>
        <w:rPr>
          <w:rFonts w:hint="eastAsia" w:ascii="Times New Roman" w:hAnsi="Times New Roman" w:eastAsia="仿宋_GB2312" w:cs="Times New Roman"/>
          <w:color w:val="auto"/>
          <w:sz w:val="32"/>
          <w:szCs w:val="32"/>
          <w:lang w:eastAsia="zh-CN"/>
        </w:rPr>
        <w:t>建立科学合理的资金绩效评价指标体系，定期对项目资金的使用效益进行评价。评价内容包括资金使用效率、项目完成情况等。根据绩效评价结果，总结经验教训，改进资金管理工作，提高资金使用效益。</w:t>
      </w: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both"/>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both"/>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keepNext w:val="0"/>
        <w:keepLines w:val="0"/>
        <w:pageBreakBefore w:val="0"/>
        <w:widowControl/>
        <w:kinsoku/>
        <w:wordWrap/>
        <w:topLinePunct w:val="0"/>
        <w:bidi w:val="0"/>
        <w:spacing w:line="600" w:lineRule="exact"/>
        <w:jc w:val="left"/>
        <w:textAlignment w:val="auto"/>
        <w:rPr>
          <w:rFonts w:ascii="Times New Roman" w:hAnsi="Times New Roman" w:cs="Times New Roman"/>
          <w:color w:val="000000"/>
          <w:kern w:val="0"/>
          <w:sz w:val="32"/>
          <w:szCs w:val="32"/>
        </w:rPr>
      </w:pP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一、财政拨款收入：指财政当年拨付的资金。</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二、事业收入：指事业单位开展专业业务活动及辅助活动所取得的收入。如：中国财政杂志社的刊物发行收入，中国注册会计师协会、中国资产评估协会、中国国债协会、中国会计学会你和别人会费收入等。</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三、经营收入：指事业单位在专业业务活动及其辅助活动之外开展非独立核算经营活动取得的收入。如：中国财政杂志社广告收入等。</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四、其他收入：指除上述：“财政拨款收入”、“事业收入”、“经营收入”等以外的收入。主要是按规定动用的售房收入、存款利息收入等。</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用事业基金弥补收支差额：指事业单位在当年的“财政拨款收入”、“事业收入”、“经营收入”、“其他收入”不足以安排当年支出的情况下，使用以前年度积累的基金（事业单位当年收支相抵后按国家规定提取、用于弥补以后年度收支差额的基金）弥补本年度收支缺口的资金。</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六、年初结转和结余：指以前年度尚未完成、结转到本年按有关规定继续使用的资金。</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七、结余分配：指事业单位按规定提取的职工福利基金、事业基金和缴纳的所得税，以及建设单位按规定应交回的基本建设竣工项目结余资金。</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八、年末结转和结余：指本年度或以前年度预算安排、因客观条件发生变化无法按原计划实施，需要延迟到以后年度按有关规定继续使用的资金。</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九、基本支出：指为保障机构正常运转、完成日常工作任务而发生的人员支出和公用支出。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十、项目支出：指在基本支出之外完成特定行政任务和事业发展目标所发生的支出。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十一、经营支出：指事业单位在专业业务活动及其辅助活动之外开展非独立核算经营活动发生的支出。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十二、“三公”经费：</w:t>
      </w:r>
      <w:r>
        <w:rPr>
          <w:rFonts w:hint="eastAsia" w:ascii="仿宋_GB2312" w:hAnsi="仿宋_GB2312" w:eastAsia="仿宋_GB2312" w:cs="仿宋_GB2312"/>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keepNext w:val="0"/>
        <w:keepLines w:val="0"/>
        <w:pageBreakBefore w:val="0"/>
        <w:kinsoku/>
        <w:wordWrap/>
        <w:overflowPunct w:val="0"/>
        <w:topLinePunct w:val="0"/>
        <w:autoSpaceDE/>
        <w:autoSpaceDN/>
        <w:bidi w:val="0"/>
        <w:spacing w:line="600" w:lineRule="exact"/>
        <w:ind w:firstLine="640" w:firstLineChars="200"/>
        <w:jc w:val="both"/>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val="en-US" w:eastAsia="zh-CN"/>
        </w:rPr>
        <w:t>十三、机关运行经费：</w:t>
      </w:r>
      <w:r>
        <w:rPr>
          <w:rFonts w:hint="eastAsia" w:ascii="仿宋_GB2312" w:hAnsi="仿宋_GB2312" w:eastAsia="仿宋_GB2312" w:cs="仿宋_GB231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9"/>
        <w:keepNext w:val="0"/>
        <w:keepLines w:val="0"/>
        <w:pageBreakBefore w:val="0"/>
        <w:kinsoku/>
        <w:wordWrap/>
        <w:topLinePunct w:val="0"/>
        <w:bidi w:val="0"/>
        <w:spacing w:line="600" w:lineRule="exact"/>
        <w:jc w:val="both"/>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keepNext w:val="0"/>
        <w:keepLines w:val="0"/>
        <w:pageBreakBefore w:val="0"/>
        <w:kinsoku/>
        <w:wordWrap/>
        <w:topLinePunct w:val="0"/>
        <w:bidi w:val="0"/>
        <w:spacing w:line="600" w:lineRule="exact"/>
        <w:textAlignment w:val="auto"/>
        <w:rPr>
          <w:rFonts w:ascii="Times New Roman" w:hAnsi="Times New Roman" w:cs="Times New Roman"/>
          <w:sz w:val="72"/>
          <w:szCs w:val="72"/>
        </w:rPr>
      </w:pPr>
    </w:p>
    <w:p>
      <w:pPr>
        <w:pStyle w:val="9"/>
        <w:keepNext w:val="0"/>
        <w:keepLines w:val="0"/>
        <w:pageBreakBefore w:val="0"/>
        <w:kinsoku/>
        <w:wordWrap/>
        <w:topLinePunct w:val="0"/>
        <w:bidi w:val="0"/>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ascii="Times New Roman" w:hAnsi="Times New Roman" w:eastAsia="仿宋_GB2312" w:cs="Times New Roman"/>
          <w:b/>
          <w:bCs/>
          <w:sz w:val="32"/>
          <w:szCs w:val="32"/>
        </w:rPr>
        <w:t>一、</w:t>
      </w:r>
      <w:r>
        <w:rPr>
          <w:rFonts w:hint="eastAsia" w:ascii="Times New Roman" w:hAnsi="Times New Roman" w:eastAsia="仿宋_GB2312" w:cs="Times New Roman"/>
          <w:b w:val="0"/>
          <w:bCs w:val="0"/>
          <w:sz w:val="32"/>
          <w:szCs w:val="32"/>
          <w:lang w:val="en-US" w:eastAsia="zh-CN"/>
        </w:rPr>
        <w:t>2024年度怀化市民政局部门决算公开表格；</w:t>
      </w:r>
    </w:p>
    <w:p>
      <w:pPr>
        <w:pStyle w:val="9"/>
        <w:keepNext w:val="0"/>
        <w:keepLines w:val="0"/>
        <w:pageBreakBefore w:val="0"/>
        <w:kinsoku/>
        <w:wordWrap/>
        <w:topLinePunct w:val="0"/>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二、</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怀化市民政局</w:t>
      </w:r>
      <w:r>
        <w:rPr>
          <w:rFonts w:ascii="Times New Roman" w:hAnsi="Times New Roman" w:eastAsia="仿宋_GB2312" w:cs="Times New Roman"/>
          <w:sz w:val="32"/>
          <w:szCs w:val="32"/>
        </w:rPr>
        <w:t>部门整体支出绩效自评报告</w:t>
      </w:r>
      <w:r>
        <w:rPr>
          <w:rFonts w:hint="eastAsia" w:ascii="Times New Roman" w:hAnsi="Times New Roman" w:eastAsia="仿宋_GB2312" w:cs="Times New Roman"/>
          <w:sz w:val="32"/>
          <w:szCs w:val="32"/>
          <w:lang w:eastAsia="zh-CN"/>
        </w:rPr>
        <w:t>；</w:t>
      </w:r>
    </w:p>
    <w:p>
      <w:pPr>
        <w:pStyle w:val="9"/>
        <w:keepNext w:val="0"/>
        <w:keepLines w:val="0"/>
        <w:pageBreakBefore w:val="0"/>
        <w:kinsoku/>
        <w:wordWrap/>
        <w:topLinePunct w:val="0"/>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eastAsia="zh-CN"/>
        </w:rPr>
        <w:t>三、</w:t>
      </w:r>
      <w:r>
        <w:rPr>
          <w:rFonts w:hint="eastAsia" w:ascii="Times New Roman" w:hAnsi="Times New Roman" w:eastAsia="仿宋_GB2312" w:cs="Times New Roman"/>
          <w:sz w:val="32"/>
          <w:szCs w:val="32"/>
          <w:lang w:eastAsia="zh-CN"/>
        </w:rPr>
        <w:t>2024年度怀化市民政局项目支出绩效自评报告。</w:t>
      </w:r>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bookmarkStart w:id="0" w:name="_GoBack"/>
      <w:bookmarkEnd w:id="0"/>
    </w:p>
    <w:p>
      <w:pPr>
        <w:pStyle w:val="9"/>
        <w:keepNext w:val="0"/>
        <w:keepLines w:val="0"/>
        <w:pageBreakBefore w:val="0"/>
        <w:kinsoku/>
        <w:wordWrap/>
        <w:topLinePunct w:val="0"/>
        <w:bidi w:val="0"/>
        <w:spacing w:line="600" w:lineRule="exact"/>
        <w:jc w:val="center"/>
        <w:textAlignment w:val="auto"/>
        <w:rPr>
          <w:rFonts w:ascii="Times New Roman" w:hAnsi="Times New Roman" w:cs="Times New Roman"/>
          <w:sz w:val="72"/>
          <w:szCs w:val="72"/>
        </w:rPr>
      </w:pPr>
    </w:p>
    <w:p>
      <w:pPr>
        <w:keepNext w:val="0"/>
        <w:keepLines w:val="0"/>
        <w:pageBreakBefore w:val="0"/>
        <w:kinsoku/>
        <w:wordWrap/>
        <w:topLinePunct w:val="0"/>
        <w:bidi w:val="0"/>
        <w:spacing w:line="600" w:lineRule="exact"/>
        <w:jc w:val="left"/>
        <w:textAlignment w:val="auto"/>
        <w:rPr>
          <w:rFonts w:ascii="Times New Roman" w:hAnsi="Times New Roman" w:cs="Times New Roman"/>
          <w:color w:val="000000"/>
          <w:kern w:val="0"/>
          <w:sz w:val="32"/>
          <w:szCs w:val="32"/>
        </w:rPr>
      </w:pPr>
    </w:p>
    <w:p>
      <w:pPr>
        <w:keepNext w:val="0"/>
        <w:keepLines w:val="0"/>
        <w:pageBreakBefore w:val="0"/>
        <w:kinsoku/>
        <w:wordWrap/>
        <w:topLinePunct w:val="0"/>
        <w:bidi w:val="0"/>
        <w:spacing w:line="600" w:lineRule="exact"/>
        <w:textAlignment w:val="auto"/>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0000000000000000000"/>
    <w:charset w:val="00"/>
    <w:family w:val="auto"/>
    <w:pitch w:val="default"/>
    <w:sig w:usb0="00000000" w:usb1="00000000"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6D35"/>
    <w:multiLevelType w:val="singleLevel"/>
    <w:tmpl w:val="DDFF6D3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6DE6FF"/>
    <w:rsid w:val="0F65C705"/>
    <w:rsid w:val="1D9F915F"/>
    <w:rsid w:val="1FDFC143"/>
    <w:rsid w:val="3BD346A2"/>
    <w:rsid w:val="3DE3971B"/>
    <w:rsid w:val="5BDBC8B7"/>
    <w:rsid w:val="66F010CD"/>
    <w:rsid w:val="6FBE29EA"/>
    <w:rsid w:val="76B2EE6A"/>
    <w:rsid w:val="77FF3740"/>
    <w:rsid w:val="7BFFFB55"/>
    <w:rsid w:val="7C9FA48C"/>
    <w:rsid w:val="7DFA85B6"/>
    <w:rsid w:val="7E7E959C"/>
    <w:rsid w:val="7F741E3E"/>
    <w:rsid w:val="7F9F03CD"/>
    <w:rsid w:val="7FFF2F6A"/>
    <w:rsid w:val="9F6DE6FF"/>
    <w:rsid w:val="9FDF6C3E"/>
    <w:rsid w:val="AF944E02"/>
    <w:rsid w:val="B5E34DDF"/>
    <w:rsid w:val="BA7B23C6"/>
    <w:rsid w:val="BBBF0FBD"/>
    <w:rsid w:val="BFF6F74E"/>
    <w:rsid w:val="DFCB4A9B"/>
    <w:rsid w:val="E3F759B7"/>
    <w:rsid w:val="E6F795F9"/>
    <w:rsid w:val="E73F49C3"/>
    <w:rsid w:val="F73FFCB7"/>
    <w:rsid w:val="F7759FA3"/>
    <w:rsid w:val="F7BB074E"/>
    <w:rsid w:val="F7BFC91E"/>
    <w:rsid w:val="F979DDF2"/>
    <w:rsid w:val="FA7FE791"/>
    <w:rsid w:val="FAF7A842"/>
    <w:rsid w:val="FDFD31E3"/>
    <w:rsid w:val="FE734873"/>
    <w:rsid w:val="FEFB9261"/>
    <w:rsid w:val="FFD3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5"/>
    <w:basedOn w:val="1"/>
    <w:next w:val="1"/>
    <w:unhideWhenUsed/>
    <w:qFormat/>
    <w:uiPriority w:val="99"/>
    <w:pPr>
      <w:ind w:left="1680"/>
    </w:pPr>
    <w:rPr>
      <w:rFonts w:ascii="Calibri" w:hAnsi="Calibri" w:eastAsia="宋体" w:cs="Times New Roman"/>
      <w:szCs w:val="22"/>
    </w:rPr>
  </w:style>
  <w:style w:type="paragraph" w:styleId="6">
    <w:name w:val="footer"/>
    <w:basedOn w:val="1"/>
    <w:next w:val="5"/>
    <w:unhideWhenUsed/>
    <w:qFormat/>
    <w:uiPriority w:val="99"/>
    <w:pPr>
      <w:tabs>
        <w:tab w:val="center" w:pos="4153"/>
        <w:tab w:val="right" w:pos="8306"/>
      </w:tabs>
      <w:snapToGrid w:val="0"/>
      <w:jc w:val="left"/>
    </w:pPr>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4"/>
      <w:szCs w:val="24"/>
      <w:u w:val="none"/>
    </w:rPr>
  </w:style>
  <w:style w:type="character" w:customStyle="1" w:styleId="13">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2025-09-24T09:22:00Z</dcterms:created>
  <dc:creator>greatwall</dc:creator>
  <cp:lastModifiedBy>greatwall</cp:lastModifiedBy>
  <dcterms:modified xsi:type="dcterms:W3CDTF">2025-09-26T16:06:11Z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