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r>
        <w:rPr>
          <w:rFonts w:hint="eastAsia" w:hAnsi="黑体"/>
          <w:sz w:val="36"/>
          <w:szCs w:val="36"/>
        </w:rPr>
        <w:t>附件1</w:t>
      </w: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hint="eastAsia"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怀化市殡葬事务中心</w:t>
      </w:r>
    </w:p>
    <w:p>
      <w:pPr>
        <w:pStyle w:val="16"/>
        <w:jc w:val="center"/>
        <w:rPr>
          <w:rFonts w:ascii="Times New Roman" w:hAnsi="Times New Roman" w:eastAsia="方正小标宋简体" w:cs="Times New Roman"/>
          <w:sz w:val="72"/>
          <w:szCs w:val="72"/>
        </w:rPr>
      </w:pPr>
      <w:bookmarkStart w:id="3" w:name="_GoBack"/>
      <w:bookmarkEnd w:id="3"/>
      <w:r>
        <w:rPr>
          <w:rFonts w:ascii="Times New Roman" w:hAnsi="Times New Roman" w:eastAsia="方正小标宋简体" w:cs="Times New Roman"/>
          <w:sz w:val="72"/>
          <w:szCs w:val="72"/>
        </w:rPr>
        <w:t>部门决算</w:t>
      </w: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怀化市殡葬事务中心</w:t>
      </w:r>
      <w:r>
        <w:rPr>
          <w:rFonts w:ascii="Times New Roman" w:hAnsi="Times New Roman" w:cs="Times New Roman"/>
          <w:bCs/>
          <w:sz w:val="32"/>
          <w:szCs w:val="32"/>
        </w:rPr>
        <w:t>部门（单位）概况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lang w:eastAsia="zh-CN"/>
        </w:rPr>
        <w:t>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十二、</w:t>
      </w:r>
      <w:r>
        <w:rPr>
          <w:rFonts w:ascii="Times New Roman" w:hAnsi="Times New Roman" w:eastAsia="仿宋_GB2312" w:cs="Times New Roman"/>
          <w:color w:val="000000"/>
          <w:kern w:val="0"/>
          <w:sz w:val="32"/>
          <w:szCs w:val="32"/>
        </w:rPr>
        <w:t>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怀化市殡葬事务中心</w:t>
      </w:r>
      <w:r>
        <w:rPr>
          <w:rFonts w:ascii="Times New Roman" w:hAnsi="Times New Roman" w:eastAsia="方正小标宋_GBK" w:cs="Times New Roman"/>
          <w:sz w:val="52"/>
          <w:szCs w:val="52"/>
        </w:rPr>
        <w:t>部门（单位）概况</w:t>
      </w:r>
    </w:p>
    <w:p>
      <w:pPr>
        <w:pStyle w:val="3"/>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负责提供遗体接运、存放、整容、防腐、治丧、告别、火化等系列殡仪服务工作。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（二）负责公墓运营维护，提供墓地安葬、骨灰寄存等服务工作。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（三）负责承办城区无名遗体、刑事犯罪及意外事故遗体处理工作。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（四）负责特殊人群殡葬费用减、免、补等事务性工作。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（五）负责惠民殡葬政策的相关落实工作。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（六）配合做好殡葬改革、移风易俗的宣传、落实等工作。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（七）承担市民政局交办的其他工作。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怀化市殡葬事务中心单位内设机构包括：办公室、殡仪服务部、安全保障部、财务部、公墓服务部5个副科级内设机构，本单位为二级部门预算单位。</w:t>
      </w:r>
    </w:p>
    <w:p>
      <w:pPr>
        <w:widowControl/>
        <w:spacing w:line="600" w:lineRule="exact"/>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怀化市殡葬事务中心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怀化市殡葬事务中心本级。</w:t>
      </w:r>
    </w:p>
    <w:p>
      <w:pP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怀化市殡葬事务中心</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rPr>
        <w:t xml:space="preserve">                                           </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253"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1850.59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372.31</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907.91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0" w:firstLineChars="200"/>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278.07</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2383.18</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2"/>
              </w:rPr>
              <w:t>九、其他支出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284.32</w:t>
            </w:r>
          </w:p>
        </w:tc>
      </w:tr>
      <w:tr>
        <w:tblPrEx>
          <w:tblCellMar>
            <w:top w:w="0" w:type="dxa"/>
            <w:left w:w="108" w:type="dxa"/>
            <w:bottom w:w="0" w:type="dxa"/>
            <w:right w:w="108" w:type="dxa"/>
          </w:tblCellMar>
        </w:tblPrEx>
        <w:trPr>
          <w:trHeight w:val="305"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3036.57</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3039.80</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6.24</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3.01</w:t>
            </w: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3042.82</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3042.82</w:t>
            </w:r>
          </w:p>
        </w:tc>
      </w:tr>
    </w:tbl>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r>
        <w:br w:type="page"/>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怀化市殡葬事务中心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05"/>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rPr>
              <w:tab/>
            </w:r>
            <w:r>
              <w:rPr>
                <w:rFonts w:hint="eastAsia" w:ascii="Times New Roman" w:hAnsi="Times New Roman" w:eastAsia="仿宋_GB2312" w:cs="Times New Roman"/>
              </w:rPr>
              <w:t>3036.57</w:t>
            </w:r>
            <w:r>
              <w:rPr>
                <w:rFonts w:hint="eastAsia" w:ascii="Times New Roman" w:hAnsi="Times New Roman" w:eastAsia="仿宋_GB2312" w:cs="Times New Roma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1850.59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907.91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278.07</w:t>
            </w:r>
            <w:r>
              <w:rPr>
                <w:rFonts w:ascii="Times New Roman" w:hAnsi="Times New Roman" w:eastAsia="仿宋_GB2312" w:cs="Times New Roman"/>
              </w:rPr>
              <w:t>　</w:t>
            </w:r>
          </w:p>
        </w:tc>
      </w:tr>
      <w:tr>
        <w:tblPrEx>
          <w:tblCellMar>
            <w:top w:w="0" w:type="dxa"/>
            <w:left w:w="0" w:type="dxa"/>
            <w:bottom w:w="0" w:type="dxa"/>
            <w:right w:w="0" w:type="dxa"/>
          </w:tblCellMar>
        </w:tblPrEx>
        <w:trPr>
          <w:trHeight w:val="1004"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372.31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269.62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102.69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3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20199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450"/>
              </w:tabs>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ab/>
            </w:r>
            <w:r>
              <w:rPr>
                <w:rFonts w:hint="eastAsia" w:ascii="Times New Roman" w:hAnsi="Times New Roman" w:eastAsia="仿宋_GB2312" w:cs="Times New Roman"/>
              </w:rPr>
              <w:t>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372.31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269.62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102.69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963"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2019999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45"/>
              </w:tabs>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ab/>
            </w:r>
            <w:r>
              <w:rPr>
                <w:rFonts w:hint="eastAsia" w:ascii="Times New Roman" w:hAnsi="Times New Roman" w:eastAsia="仿宋_GB2312" w:cs="Times New Roman"/>
              </w:rPr>
              <w:t xml:space="preserve"> 其他一般公共服务支出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372.31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269.62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102.69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2,386.19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1,580.97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805.22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20805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2080599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sz w:val="24"/>
                <w:szCs w:val="24"/>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20810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社会福利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1,260.23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455.00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805.22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2081004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 xml:space="preserve"> 殡葬</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1,249.57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444.35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805.22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2081005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社会福利事业单位</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10.66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10.66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20899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1,125.96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1,125.96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2089999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 xml:space="preserve">  其他社会保障和就业支出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1,125.96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1,125.96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229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278.07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278.07</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22999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278.07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278.07</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imes New Roman" w:hAnsi="Times New Roman" w:eastAsia="仿宋_GB2312" w:cs="Times New Roman"/>
              </w:rPr>
            </w:pPr>
            <w:r>
              <w:rPr>
                <w:rFonts w:hint="eastAsia" w:ascii="宋体" w:hAnsi="宋体" w:eastAsia="宋体" w:cs="宋体"/>
                <w:color w:val="000000"/>
                <w:kern w:val="0"/>
                <w:sz w:val="22"/>
              </w:rPr>
              <w:t>2299999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 xml:space="preserve"> 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278.07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Times New Roman" w:hAnsi="Times New Roman" w:eastAsia="仿宋_GB2312" w:cs="Times New Roman"/>
              </w:rPr>
            </w:pPr>
            <w:r>
              <w:rPr>
                <w:rFonts w:hint="eastAsia" w:ascii="宋体" w:hAnsi="宋体" w:eastAsia="宋体" w:cs="宋体"/>
                <w:color w:val="000000"/>
                <w:kern w:val="0"/>
                <w:sz w:val="22"/>
              </w:rPr>
              <w:t>278.07</w:t>
            </w:r>
          </w:p>
        </w:tc>
      </w:tr>
    </w:tbl>
    <w:p>
      <w:pPr>
        <w:spacing w:before="120"/>
        <w:rPr>
          <w:rFonts w:ascii="Times New Roman" w:hAnsi="Times New Roman" w:eastAsia="黑体" w:cs="Times New Roman"/>
          <w:bCs/>
          <w:kern w:val="0"/>
          <w:sz w:val="32"/>
          <w:szCs w:val="32"/>
        </w:rPr>
      </w:pPr>
      <w:r>
        <w:rPr>
          <w:rFonts w:ascii="Times New Roman" w:hAnsi="Times New Roman" w:eastAsia="仿宋_GB2312" w:cs="Times New Roman"/>
        </w:rPr>
        <w:t>注：本表反映部门本年度取得的各项收入情况。</w:t>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怀化市殡葬事务中心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8" w:type="pct"/>
        <w:jc w:val="center"/>
        <w:tblLayout w:type="autofit"/>
        <w:tblCellMar>
          <w:top w:w="0" w:type="dxa"/>
          <w:left w:w="108" w:type="dxa"/>
          <w:bottom w:w="0" w:type="dxa"/>
          <w:right w:w="108" w:type="dxa"/>
        </w:tblCellMar>
      </w:tblPr>
      <w:tblGrid>
        <w:gridCol w:w="2426"/>
        <w:gridCol w:w="1337"/>
        <w:gridCol w:w="1877"/>
        <w:gridCol w:w="1334"/>
        <w:gridCol w:w="1333"/>
        <w:gridCol w:w="1876"/>
        <w:gridCol w:w="1333"/>
        <w:gridCol w:w="2698"/>
      </w:tblGrid>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6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rPr>
              <w:t>3,039.80</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rPr>
              <w:t>846.15</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rPr>
              <w:t>2,193.66</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rPr>
              <w:t>0.00</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b/>
                <w:bCs/>
                <w:color w:val="000000"/>
                <w:kern w:val="0"/>
                <w:sz w:val="22"/>
              </w:rPr>
              <w:t>0.00</w:t>
            </w:r>
          </w:p>
        </w:tc>
      </w:tr>
      <w:tr>
        <w:tblPrEx>
          <w:tblCellMar>
            <w:top w:w="0" w:type="dxa"/>
            <w:left w:w="108" w:type="dxa"/>
            <w:bottom w:w="0" w:type="dxa"/>
            <w:right w:w="108" w:type="dxa"/>
          </w:tblCellMar>
        </w:tblPrEx>
        <w:trPr>
          <w:trHeight w:val="90"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201</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一般公共服务支出</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372.31</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372.31</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20199</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372.31</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372.31</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2019999</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 xml:space="preserve">  其他一般公共服务支出</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372.31</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372.31</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社会保障和就业支出</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2,383.18</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761.83</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1,621.35</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20805</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0.01</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0.01</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2080599</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 xml:space="preserve">  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0.01</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20810</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社会福利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1,257.21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761.82</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495.39</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2081004</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 xml:space="preserve">  殡葬</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1,246.56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751.16</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495.39</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2081005</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 xml:space="preserve">  社会福利事业单位</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10.66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10.66</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20899</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其他社会保障和就业支出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1,125.96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1,125.96</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2089999</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 xml:space="preserve">  其他社会保障和就业支出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1,125.96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1,125.96</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229</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284.32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84.32</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200.00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22999</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284.32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84.32</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200.00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2299999</w:t>
            </w:r>
          </w:p>
        </w:tc>
        <w:tc>
          <w:tcPr>
            <w:tcW w:w="133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 xml:space="preserve">  其他支出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284.32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84.32</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200.00</w:t>
            </w:r>
          </w:p>
        </w:tc>
        <w:tc>
          <w:tcPr>
            <w:tcW w:w="18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kern w:val="0"/>
                <w:sz w:val="24"/>
                <w:szCs w:val="24"/>
              </w:rPr>
            </w:pPr>
            <w:r>
              <w:rPr>
                <w:rFonts w:hint="eastAsia" w:ascii="宋体" w:hAnsi="宋体" w:eastAsia="宋体" w:cs="宋体"/>
                <w:color w:val="000000"/>
                <w:kern w:val="0"/>
                <w:sz w:val="22"/>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怀化市殡葬事务中心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516"/>
        <w:gridCol w:w="616"/>
        <w:gridCol w:w="931"/>
        <w:gridCol w:w="2856"/>
        <w:gridCol w:w="616"/>
        <w:gridCol w:w="931"/>
        <w:gridCol w:w="1804"/>
        <w:gridCol w:w="1300"/>
        <w:gridCol w:w="1650"/>
      </w:tblGrid>
      <w:tr>
        <w:tblPrEx>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13"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0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1850.59</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269.62</w:t>
            </w: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269.62</w:t>
            </w: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七、社会保障和就业支出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1580.97</w:t>
            </w: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1580.97</w:t>
            </w: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1850.59</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1850.59</w:t>
            </w: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1850.59</w:t>
            </w: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0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hint="eastAsia" w:ascii="Times New Roman" w:hAnsi="Times New Roman" w:eastAsia="黑体" w:cs="Times New Roman"/>
          <w:color w:val="000000"/>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ind w:left="11970" w:hanging="11970" w:hangingChars="5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怀化市殡葬事务中心</w:t>
      </w:r>
      <w:r>
        <w:rPr>
          <w:rFonts w:ascii="Times New Roman" w:hAnsi="Times New Roman" w:eastAsia="仿宋_GB2312" w:cs="Times New Roman"/>
          <w:color w:val="000000"/>
          <w:kern w:val="0"/>
          <w:szCs w:val="21"/>
        </w:rPr>
        <w:t xml:space="preserve">                                                                                            公开05表</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8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1,850.59</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370.68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1,479.91</w:t>
            </w:r>
          </w:p>
        </w:tc>
      </w:tr>
      <w:tr>
        <w:tblPrEx>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269.62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269.62</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269.62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269.62</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2019999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269.62</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269.62</w:t>
            </w:r>
          </w:p>
        </w:tc>
      </w:tr>
      <w:tr>
        <w:tblPrEx>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1,580.97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370.68</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1,210.29</w:t>
            </w:r>
          </w:p>
        </w:tc>
      </w:tr>
      <w:tr>
        <w:tblPrEx>
          <w:tblCellMar>
            <w:top w:w="0" w:type="dxa"/>
            <w:left w:w="108" w:type="dxa"/>
            <w:bottom w:w="0" w:type="dxa"/>
            <w:right w:w="108" w:type="dxa"/>
          </w:tblCellMar>
        </w:tblPrEx>
        <w:trPr>
          <w:trHeight w:val="31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0.01</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0.01</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0.01</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20810</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社会福利</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455.00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370.67</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84.33</w:t>
            </w:r>
          </w:p>
        </w:tc>
      </w:tr>
      <w:tr>
        <w:tblPrEx>
          <w:tblCellMar>
            <w:top w:w="0" w:type="dxa"/>
            <w:left w:w="108" w:type="dxa"/>
            <w:bottom w:w="0" w:type="dxa"/>
            <w:right w:w="108" w:type="dxa"/>
          </w:tblCellMar>
        </w:tblPrEx>
        <w:trPr>
          <w:trHeight w:val="37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2081004</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殡葬</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444.35</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360.02</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84.33</w:t>
            </w:r>
          </w:p>
        </w:tc>
      </w:tr>
      <w:tr>
        <w:tblPrEx>
          <w:tblCellMar>
            <w:top w:w="0" w:type="dxa"/>
            <w:left w:w="108" w:type="dxa"/>
            <w:bottom w:w="0" w:type="dxa"/>
            <w:right w:w="108" w:type="dxa"/>
          </w:tblCellMar>
        </w:tblPrEx>
        <w:trPr>
          <w:trHeight w:val="34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2081005</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社会福利事业单位</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10.66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10.66</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39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20899</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1,125.96</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1,125.96</w:t>
            </w:r>
          </w:p>
        </w:tc>
      </w:tr>
      <w:tr>
        <w:tblPrEx>
          <w:tblCellMar>
            <w:top w:w="0" w:type="dxa"/>
            <w:left w:w="108" w:type="dxa"/>
            <w:bottom w:w="0" w:type="dxa"/>
            <w:right w:w="108" w:type="dxa"/>
          </w:tblCellMar>
        </w:tblPrEx>
        <w:trPr>
          <w:trHeight w:val="34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2089999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 xml:space="preserve">  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1,125.96</w:t>
            </w:r>
          </w:p>
        </w:tc>
        <w:tc>
          <w:tcPr>
            <w:tcW w:w="3492"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1,125.96</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怀化市殡葬事务中心</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346.31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3.77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60.43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46.00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37.73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5.15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33.31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15.84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11.61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6.40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55.72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74.11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20.60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15.13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3.77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5.47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3.77</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怀化市殡葬事务中心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本表无数据</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怀化市殡葬事务中心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9"/>
        <w:gridCol w:w="1831"/>
        <w:gridCol w:w="3096"/>
        <w:gridCol w:w="3097"/>
      </w:tblGrid>
      <w:tr>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本表无数据</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怀化市殡葬事务中心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21.00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20.00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20.00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0.00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3042.82</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378.28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14.20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单位原址新建项目投资力度加大，工程进度加快。</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3036.57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1850.59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60.94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907.91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29.90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278.07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9.16</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3039.80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846.15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27.84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2193.66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72.16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1850.59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311.39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16.83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单位原址新建项目投资力度加大，工程进度加快。</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1850.59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60.88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682.01</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58.36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单位原址新建项目投资力度加大，工程进度加快。</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1850.59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269.62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社会保障和就业支出1580.97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84.43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889.97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1850.59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207.97</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703.90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269.62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38.30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rPr>
        <w:t>单位原址新建项目建设自筹资金部分受财政困难影响，资金暂时未实现全额拨付。</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年初预算安排未考虑周到，导致少报、漏报预算。</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殡葬</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175.41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444.35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253.32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年初预算安排未考虑周到，导致少报、漏报预算。</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社会福利事业单位</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10.66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rPr>
        <w:t>预算范围内，无偏差。</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1125.96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年初预算安排未考虑周到，导致少报、漏报预算。</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370.68</w:t>
      </w:r>
      <w:r>
        <w:rPr>
          <w:rFonts w:ascii="Times New Roman" w:hAnsi="Times New Roman" w:eastAsia="仿宋_GB2312" w:cs="Times New Roman"/>
          <w:sz w:val="32"/>
          <w:szCs w:val="32"/>
        </w:rPr>
        <w:t>万元，其中：</w:t>
      </w:r>
    </w:p>
    <w:p>
      <w:pPr>
        <w:pStyle w:val="16"/>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366.91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98.98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绩效工资、机关事业单位基本养老保险、职业年金缴费、职业基本医疗保险缴费、其他社会保障缴费、住房公积金、其他工资福利支出</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3.77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1.02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工会经费</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预算编报与实际支出存在偏差</w:t>
      </w:r>
      <w:r>
        <w:rPr>
          <w:rFonts w:ascii="Times New Roman" w:hAnsi="Times New Roman" w:eastAsia="仿宋_GB2312" w:cs="Times New Roman"/>
          <w:sz w:val="32"/>
          <w:szCs w:val="32"/>
        </w:rPr>
        <w:t>。决算数大于上年数的主要原因</w:t>
      </w:r>
      <w:r>
        <w:rPr>
          <w:rFonts w:hint="eastAsia" w:ascii="Times New Roman" w:hAnsi="Times New Roman" w:eastAsia="仿宋_GB2312" w:cs="Times New Roman"/>
          <w:sz w:val="32"/>
          <w:szCs w:val="32"/>
        </w:rPr>
        <w:t>是在合理范围内，且符合相关规定和预算管理要求</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rPr>
        <w:t>无预算无支出</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rPr>
        <w:t>无预算无支出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hint="eastAsia" w:ascii="Times New Roman" w:hAnsi="Times New Roman" w:eastAsia="仿宋_GB2312" w:cs="Times New Roman"/>
          <w:sz w:val="32"/>
          <w:szCs w:val="32"/>
        </w:rPr>
        <w:t>无预算无支出。</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rPr>
        <w:t>无预算无支出</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rPr>
        <w:t>无预算无支出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怀化市殡葬事务中心</w:t>
      </w:r>
      <w:r>
        <w:rPr>
          <w:rFonts w:ascii="Times New Roman" w:hAnsi="Times New Roman" w:eastAsia="仿宋_GB2312" w:cs="Times New Roman"/>
          <w:sz w:val="32"/>
          <w:szCs w:val="32"/>
        </w:rPr>
        <w:t>（单位本级或某二级机构）更新公务用车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0.01</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高速路过路费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0.05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本年“三公”经费主要以事业收入列支，并受单位业务活动浮动影响</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rPr>
        <w:t>受单位业务活动浮动影响</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辆。</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rPr>
        <w:t>无支出，无偏差</w:t>
      </w:r>
      <w:r>
        <w:rPr>
          <w:rFonts w:ascii="Times New Roman" w:hAnsi="Times New Roman" w:eastAsia="仿宋_GB2312" w:cs="Times New Roman"/>
          <w:sz w:val="32"/>
          <w:szCs w:val="32"/>
        </w:rPr>
        <w:t>。决算数大于（小于）上年数的主要原因是</w:t>
      </w:r>
      <w:r>
        <w:rPr>
          <w:rFonts w:hint="eastAsia" w:ascii="Times New Roman" w:hAnsi="Times New Roman" w:eastAsia="仿宋_GB2312" w:cs="Times New Roman"/>
          <w:sz w:val="32"/>
          <w:szCs w:val="32"/>
        </w:rPr>
        <w:t>无支出，无偏差</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人次，主要</w:t>
      </w:r>
      <w:r>
        <w:rPr>
          <w:rFonts w:hint="eastAsia" w:ascii="Times New Roman" w:hAnsi="Times New Roman" w:eastAsia="仿宋_GB2312" w:cs="Times New Roman"/>
          <w:sz w:val="32"/>
          <w:szCs w:val="32"/>
        </w:rPr>
        <w:t>是无</w:t>
      </w:r>
      <w:r>
        <w:rPr>
          <w:rFonts w:ascii="Times New Roman" w:hAnsi="Times New Roman" w:eastAsia="仿宋_GB2312" w:cs="Times New Roman"/>
          <w:sz w:val="32"/>
          <w:szCs w:val="32"/>
        </w:rPr>
        <w:t>发生的接待支出。</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万元。具体情况如下：</w:t>
      </w:r>
      <w:r>
        <w:rPr>
          <w:rFonts w:hint="eastAsia" w:ascii="Times New Roman" w:hAnsi="Times New Roman" w:eastAsia="仿宋_GB2312" w:cs="Times New Roman"/>
          <w:sz w:val="32"/>
          <w:szCs w:val="32"/>
        </w:rPr>
        <w:t>无政府性基金收支</w:t>
      </w:r>
      <w:r>
        <w:rPr>
          <w:rFonts w:hint="eastAsia" w:ascii="Times New Roman" w:hAnsi="Times New Roman" w:eastAsia="楷体_GB2312" w:cs="Times New Roman"/>
          <w:b/>
          <w:bCs/>
          <w:i/>
          <w:color w:val="auto"/>
          <w:sz w:val="32"/>
          <w:szCs w:val="32"/>
        </w:rPr>
        <w:t>。</w:t>
      </w:r>
    </w:p>
    <w:p>
      <w:pPr>
        <w:pStyle w:val="16"/>
        <w:numPr>
          <w:ilvl w:val="0"/>
          <w:numId w:val="1"/>
        </w:numPr>
        <w:overflowPunct w:val="0"/>
        <w:autoSpaceDE/>
        <w:autoSpaceDN/>
        <w:spacing w:line="600" w:lineRule="exact"/>
        <w:ind w:firstLine="640" w:firstLineChars="200"/>
        <w:jc w:val="both"/>
        <w:rPr>
          <w:rFonts w:hint="eastAsia" w:ascii="Times New Roman" w:hAnsi="Times New Roman" w:cs="Times New Roman"/>
          <w:bCs/>
          <w:sz w:val="32"/>
          <w:szCs w:val="32"/>
          <w:lang w:eastAsia="zh-CN"/>
        </w:rPr>
      </w:pPr>
      <w:r>
        <w:rPr>
          <w:rFonts w:hint="eastAsia" w:ascii="Times New Roman" w:hAnsi="Times New Roman" w:cs="Times New Roman"/>
          <w:bCs/>
          <w:sz w:val="32"/>
          <w:szCs w:val="32"/>
          <w:lang w:eastAsia="zh-CN"/>
        </w:rPr>
        <w:t>国有资本经营预算收入支出决算情况</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年度国有资本经营预算收入、支出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。主要原因是：无国有资本经营预算收入、支出。</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pPr>
        <w:pStyle w:val="16"/>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万元，比年初预算数（或者上年决算数）增加（减少）</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无机关运行经费支出。</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6.37</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单位在职工作人员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rPr>
        <w:t>47</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遗体火化师和公墓管理员培训及殡葬行业交流培训</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无活动</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327.36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308.36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327.36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327.36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无</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880.30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625.5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rPr>
        <w:t>71.06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单位日常运行维护费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原址新建项目</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5659.95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3039.81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53.71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82.37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良好</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圆满完成年度殡葬基本服务保障任务</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原址新建项目进程得到一定程度的推进</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预算执行率偏低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绩效监控力度不足</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提升预算执行效能，提前谋划项目前期工作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强化绩效动态管理，建立绩效监控常态化机制</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核减执行滞后项目预算，重点投向核心服务和设施升级；压减非必要支出，增加民生投入，整合取消低效项目；建立全流程管控机制，明确责任时限；完善预算、项目衔接制度，将评价结果与考核挂钩。</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8"/>
        <w:shd w:val="clear" w:color="auto" w:fill="FFFFFF"/>
        <w:spacing w:before="0" w:beforeAutospacing="0" w:after="94" w:afterAutospacing="0" w:line="636" w:lineRule="atLeast"/>
        <w:ind w:firstLine="480"/>
        <w:jc w:val="both"/>
        <w:rPr>
          <w:rFonts w:ascii="微软雅黑" w:hAnsi="微软雅黑" w:eastAsia="微软雅黑"/>
          <w:color w:val="3D3D3D"/>
          <w:sz w:val="30"/>
          <w:szCs w:val="30"/>
        </w:rPr>
      </w:pPr>
      <w:r>
        <w:rPr>
          <w:rFonts w:hint="eastAsia" w:cs="黑体" w:asciiTheme="minorEastAsia" w:hAnsiTheme="minorEastAsia"/>
          <w:color w:val="000000"/>
          <w:sz w:val="32"/>
          <w:szCs w:val="32"/>
        </w:rPr>
        <w:t>一、</w:t>
      </w:r>
      <w:r>
        <w:rPr>
          <w:rFonts w:hint="eastAsia" w:ascii="微软雅黑" w:hAnsi="微软雅黑" w:eastAsia="微软雅黑"/>
          <w:color w:val="3D3D3D"/>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ind w:firstLine="640" w:firstLineChars="200"/>
        <w:jc w:val="left"/>
        <w:rPr>
          <w:rFonts w:ascii="楷体" w:hAnsi="楷体" w:eastAsia="楷体" w:cs="楷体"/>
          <w:b/>
          <w:bCs/>
          <w:i/>
          <w:sz w:val="32"/>
          <w:szCs w:val="32"/>
        </w:rPr>
      </w:pPr>
      <w:r>
        <w:rPr>
          <w:rFonts w:hint="eastAsia" w:cs="黑体" w:asciiTheme="minorEastAsia" w:hAnsiTheme="minorEastAsia"/>
          <w:color w:val="000000"/>
          <w:sz w:val="32"/>
          <w:szCs w:val="32"/>
        </w:rPr>
        <w:t>二、</w:t>
      </w:r>
      <w:r>
        <w:rPr>
          <w:rFonts w:hint="eastAsia" w:ascii="微软雅黑" w:hAnsi="微软雅黑" w:eastAsia="微软雅黑"/>
          <w:color w:val="3D3D3D"/>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Times New Roman" w:hAnsi="Times New Roman" w:eastAsia="楷体_GB2312" w:cs="Times New Roman"/>
          <w:b/>
          <w:bCs/>
          <w:i/>
          <w:sz w:val="32"/>
          <w:szCs w:val="32"/>
        </w:rPr>
        <w:t>（名词解释应包含本部门专有名词，如省财政厅应有对“财政事务”科目的解释，可参考中央相关部门的名词解释）</w:t>
      </w: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6"/>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6"/>
        <w:spacing w:line="600" w:lineRule="exact"/>
        <w:ind w:firstLine="640" w:firstLineChars="200"/>
        <w:rPr>
          <w:rFonts w:ascii="Times New Roman" w:hAnsi="Times New Roman" w:eastAsia="仿宋_GB2312" w:cs="Times New Roman"/>
          <w:sz w:val="32"/>
          <w:szCs w:val="3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中宋">
    <w:altName w:val="方正书宋_GBK"/>
    <w:panose1 w:val="00000000000000000000"/>
    <w:charset w:val="86"/>
    <w:family w:val="auto"/>
    <w:pitch w:val="default"/>
    <w:sig w:usb0="00000000" w:usb1="00000000" w:usb2="00000010" w:usb3="00000000" w:csb0="0004009F" w:csb1="DFD7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文本框 5" o:spid="_x0000_s123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15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58174"/>
    <w:multiLevelType w:val="singleLevel"/>
    <w:tmpl w:val="B995817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61006"/>
    <w:rsid w:val="00080C80"/>
    <w:rsid w:val="00080DCC"/>
    <w:rsid w:val="0008228B"/>
    <w:rsid w:val="000A6A6B"/>
    <w:rsid w:val="000E54B1"/>
    <w:rsid w:val="00190F45"/>
    <w:rsid w:val="00194860"/>
    <w:rsid w:val="001B671A"/>
    <w:rsid w:val="00203918"/>
    <w:rsid w:val="002B7E94"/>
    <w:rsid w:val="0031544E"/>
    <w:rsid w:val="0033379B"/>
    <w:rsid w:val="004040E3"/>
    <w:rsid w:val="0048677E"/>
    <w:rsid w:val="004E6FC8"/>
    <w:rsid w:val="00570E11"/>
    <w:rsid w:val="00581F49"/>
    <w:rsid w:val="005A1A2E"/>
    <w:rsid w:val="005C74D5"/>
    <w:rsid w:val="00605AD2"/>
    <w:rsid w:val="00630DFD"/>
    <w:rsid w:val="0065145C"/>
    <w:rsid w:val="00692F04"/>
    <w:rsid w:val="006B6DAE"/>
    <w:rsid w:val="00761006"/>
    <w:rsid w:val="007B1713"/>
    <w:rsid w:val="007B6E7D"/>
    <w:rsid w:val="00821AD1"/>
    <w:rsid w:val="008339F6"/>
    <w:rsid w:val="00836213"/>
    <w:rsid w:val="00844375"/>
    <w:rsid w:val="00847C26"/>
    <w:rsid w:val="00932F1A"/>
    <w:rsid w:val="00960710"/>
    <w:rsid w:val="009E3519"/>
    <w:rsid w:val="00A5761E"/>
    <w:rsid w:val="00C268B3"/>
    <w:rsid w:val="00D27FAD"/>
    <w:rsid w:val="00D44338"/>
    <w:rsid w:val="00D6290F"/>
    <w:rsid w:val="00D62CB3"/>
    <w:rsid w:val="00D87378"/>
    <w:rsid w:val="00E00CBD"/>
    <w:rsid w:val="00EA74C5"/>
    <w:rsid w:val="00EB1037"/>
    <w:rsid w:val="12A7719E"/>
    <w:rsid w:val="143A247B"/>
    <w:rsid w:val="1EE111CD"/>
    <w:rsid w:val="47650171"/>
    <w:rsid w:val="485B6005"/>
    <w:rsid w:val="4F9E612B"/>
    <w:rsid w:val="5265143E"/>
    <w:rsid w:val="57947A7F"/>
    <w:rsid w:val="60AF6886"/>
    <w:rsid w:val="611761E6"/>
    <w:rsid w:val="66DA6F11"/>
    <w:rsid w:val="69B46CBE"/>
    <w:rsid w:val="6A613A70"/>
    <w:rsid w:val="7F9FB69C"/>
    <w:rsid w:val="7FA35BB5"/>
    <w:rsid w:val="FD0B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2">
    <w:name w:val="Footer"/>
    <w:basedOn w:val="1"/>
    <w:link w:val="15"/>
    <w:unhideWhenUsed/>
    <w:qFormat/>
    <w:uiPriority w:val="99"/>
    <w:pPr>
      <w:tabs>
        <w:tab w:val="center" w:pos="4153"/>
        <w:tab w:val="right" w:pos="8306"/>
      </w:tabs>
      <w:snapToGrid w:val="0"/>
      <w:jc w:val="left"/>
    </w:pPr>
    <w:rPr>
      <w:sz w:val="18"/>
      <w:szCs w:val="18"/>
    </w:rPr>
  </w:style>
  <w:style w:type="paragraph" w:customStyle="1" w:styleId="1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页眉 Char"/>
    <w:basedOn w:val="11"/>
    <w:link w:val="13"/>
    <w:qFormat/>
    <w:uiPriority w:val="99"/>
    <w:rPr>
      <w:sz w:val="18"/>
      <w:szCs w:val="18"/>
    </w:rPr>
  </w:style>
  <w:style w:type="character" w:customStyle="1" w:styleId="15">
    <w:name w:val="页脚 Char"/>
    <w:basedOn w:val="11"/>
    <w:link w:val="12"/>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character" w:customStyle="1" w:styleId="22">
    <w:name w:val="页眉 Char1"/>
    <w:basedOn w:val="11"/>
    <w:link w:val="7"/>
    <w:qFormat/>
    <w:uiPriority w:val="99"/>
    <w:rPr>
      <w:rFonts w:asciiTheme="minorHAnsi" w:hAnsiTheme="minorHAnsi" w:eastAsiaTheme="minorEastAsia" w:cstheme="minorBidi"/>
      <w:kern w:val="2"/>
      <w:sz w:val="18"/>
      <w:szCs w:val="18"/>
    </w:rPr>
  </w:style>
  <w:style w:type="character" w:customStyle="1" w:styleId="23">
    <w:name w:val="页脚 Char1"/>
    <w:basedOn w:val="11"/>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2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3119</Words>
  <Characters>4807</Characters>
  <Lines>88</Lines>
  <Paragraphs>24</Paragraphs>
  <TotalTime>6</TotalTime>
  <ScaleCrop>false</ScaleCrop>
  <LinksUpToDate>false</LinksUpToDate>
  <CharactersWithSpaces>5678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2025-09-15T17:37:00Z</dcterms:created>
  <dc:creator>李航 null</dc:creator>
  <cp:lastModifiedBy>greatwall</cp:lastModifiedBy>
  <cp:lastPrinted>2024-08-09T10:20:00Z</cp:lastPrinted>
  <dcterms:modified xsi:type="dcterms:W3CDTF">2025-09-26T16:04:19Z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BB7B6AA21D207914D6FDA268992A22D6</vt:lpwstr>
  </property>
  <property fmtid="{D5CDD505-2E9C-101B-9397-08002B2CF9AE}" pid="4" name="KSOTemplateDocerSaveRecord">
    <vt:lpwstr>eyJoZGlkIjoiNDA5ZTYxNzYxOGIyMmI5M2I3Mzg2MzJmODAzMzVkNGMiLCJ1c2VySWQiOiI2NDE3NjU2MjkifQ==</vt:lpwstr>
  </property>
</Properties>
</file>