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both"/>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怀化市救助站</w:t>
      </w:r>
      <w:r>
        <w:rPr>
          <w:rFonts w:hint="eastAsia" w:ascii="方正小标宋_GBK" w:hAnsi="方正小标宋_GBK" w:eastAsia="方正小标宋_GBK" w:cs="方正小标宋_GBK"/>
          <w:sz w:val="84"/>
          <w:szCs w:val="84"/>
        </w:rPr>
        <w:t>部门决算</w:t>
      </w: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both"/>
        <w:rPr>
          <w:b/>
          <w:sz w:val="36"/>
          <w:szCs w:val="28"/>
        </w:rPr>
      </w:pPr>
    </w:p>
    <w:p>
      <w:pPr>
        <w:pStyle w:val="10"/>
        <w:spacing w:line="500" w:lineRule="exact"/>
        <w:jc w:val="both"/>
        <w:rPr>
          <w:b/>
          <w:sz w:val="36"/>
          <w:szCs w:val="28"/>
        </w:rPr>
      </w:pPr>
    </w:p>
    <w:p>
      <w:pPr>
        <w:pStyle w:val="10"/>
        <w:spacing w:line="500" w:lineRule="exact"/>
        <w:jc w:val="both"/>
        <w:rPr>
          <w:b/>
          <w:sz w:val="36"/>
          <w:szCs w:val="28"/>
        </w:rPr>
      </w:pPr>
    </w:p>
    <w:p>
      <w:pPr>
        <w:pStyle w:val="10"/>
        <w:spacing w:line="500" w:lineRule="exact"/>
        <w:jc w:val="both"/>
        <w:rPr>
          <w:b/>
          <w:sz w:val="36"/>
          <w:szCs w:val="28"/>
        </w:rPr>
      </w:pPr>
    </w:p>
    <w:p>
      <w:pPr>
        <w:pStyle w:val="10"/>
        <w:spacing w:line="500" w:lineRule="exact"/>
        <w:jc w:val="both"/>
        <w:rPr>
          <w:b/>
          <w:sz w:val="36"/>
          <w:szCs w:val="28"/>
        </w:rPr>
      </w:pPr>
    </w:p>
    <w:p>
      <w:pPr>
        <w:pStyle w:val="10"/>
        <w:spacing w:line="500" w:lineRule="exact"/>
        <w:jc w:val="both"/>
        <w:rPr>
          <w:b/>
          <w:sz w:val="36"/>
          <w:szCs w:val="28"/>
        </w:rPr>
      </w:pPr>
    </w:p>
    <w:p>
      <w:pPr>
        <w:pStyle w:val="10"/>
        <w:spacing w:line="500" w:lineRule="exact"/>
        <w:jc w:val="both"/>
        <w:rPr>
          <w:b/>
          <w:sz w:val="36"/>
          <w:szCs w:val="28"/>
        </w:rPr>
      </w:pPr>
    </w:p>
    <w:p>
      <w:pPr>
        <w:pStyle w:val="10"/>
        <w:spacing w:line="500" w:lineRule="exact"/>
        <w:jc w:val="both"/>
        <w:rPr>
          <w:b/>
          <w:sz w:val="36"/>
          <w:szCs w:val="28"/>
        </w:rPr>
      </w:pPr>
    </w:p>
    <w:p>
      <w:pPr>
        <w:pStyle w:val="10"/>
        <w:spacing w:line="500" w:lineRule="exact"/>
        <w:jc w:val="both"/>
        <w:rPr>
          <w:b/>
          <w:sz w:val="36"/>
          <w:szCs w:val="28"/>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怀化市救助站</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九、</w:t>
      </w:r>
      <w:r>
        <w:rPr>
          <w:rFonts w:hint="eastAsia" w:ascii="仿宋_GB2312" w:hAnsi="仿宋_GB2312" w:eastAsia="仿宋_GB2312" w:cs="仿宋_GB2312"/>
          <w:color w:val="000000"/>
          <w:kern w:val="0"/>
          <w:sz w:val="28"/>
          <w:szCs w:val="28"/>
        </w:rPr>
        <w:t>国有资本经营预算收入支出决算情况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十</w:t>
      </w:r>
      <w:r>
        <w:rPr>
          <w:rFonts w:hint="eastAsia" w:ascii="仿宋_GB2312" w:hAnsi="仿宋_GB2312" w:eastAsia="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一</w:t>
      </w:r>
      <w:r>
        <w:rPr>
          <w:rFonts w:hint="eastAsia" w:ascii="仿宋_GB2312" w:hAnsi="仿宋_GB2312" w:eastAsia="仿宋_GB2312" w:cs="仿宋_GB2312"/>
          <w:color w:val="000000"/>
          <w:kern w:val="0"/>
          <w:sz w:val="28"/>
          <w:szCs w:val="28"/>
        </w:rPr>
        <w:t>、一般性支出情况说明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二</w:t>
      </w:r>
      <w:r>
        <w:rPr>
          <w:rFonts w:hint="eastAsia" w:ascii="仿宋_GB2312" w:hAnsi="仿宋_GB2312" w:eastAsia="仿宋_GB2312" w:cs="仿宋_GB2312"/>
          <w:color w:val="000000"/>
          <w:kern w:val="0"/>
          <w:sz w:val="28"/>
          <w:szCs w:val="28"/>
        </w:rPr>
        <w:t>、关于政府采购支出说明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0"/>
        <w:spacing w:line="500" w:lineRule="exact"/>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第五部分 附件</w:t>
      </w: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怀化市救助站</w:t>
      </w: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bookmarkStart w:id="2" w:name="_GoBack"/>
      <w:bookmarkEnd w:id="2"/>
    </w:p>
    <w:p>
      <w:pPr>
        <w:jc w:val="center"/>
        <w:rPr>
          <w:sz w:val="72"/>
          <w:szCs w:val="72"/>
        </w:rPr>
      </w:pPr>
    </w:p>
    <w:p>
      <w:pPr>
        <w:jc w:val="center"/>
        <w:rPr>
          <w:sz w:val="72"/>
          <w:szCs w:val="72"/>
        </w:rPr>
      </w:pPr>
    </w:p>
    <w:p>
      <w:pPr>
        <w:jc w:val="center"/>
        <w:rPr>
          <w:sz w:val="72"/>
          <w:szCs w:val="72"/>
        </w:rPr>
      </w:pP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怀化市救助站在怀化市民政局的直接领导下，代表政府对流浪乞讨人员的合法权益提供保障，维护社会稳定，为政府分忧，为群众解愁；为自身无力解决食宿、无亲友可以投靠、正在城市流浪乞讨度日的对象提供临时救济；为城市生活无着落的流浪乞讨人员提供符合食品卫生标准的食物、符合基本条件的住处及社会救助；做好流浪儿童妇女的救助服务工作。</w:t>
      </w:r>
    </w:p>
    <w:p>
      <w:pPr>
        <w:widowControl/>
        <w:numPr>
          <w:ilvl w:val="0"/>
          <w:numId w:val="2"/>
        </w:numPr>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机构设置及决算单位构成</w:t>
      </w:r>
    </w:p>
    <w:p>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怀化市救助站</w:t>
      </w:r>
      <w:r>
        <w:rPr>
          <w:rFonts w:hint="eastAsia" w:ascii="Times New Roman" w:hAnsi="Times New Roman" w:eastAsia="仿宋_GB2312" w:cs="仿宋_GB2312"/>
          <w:bCs/>
          <w:kern w:val="0"/>
          <w:sz w:val="32"/>
          <w:szCs w:val="32"/>
        </w:rPr>
        <w:t>单位内设机构包括：办公室、财务部、救助服务部、儿童妇女救助服务部、后勤保障部。</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怀化市救助站</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怀化市救助站</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rFonts w:ascii="黑体" w:hAnsi="黑体" w:eastAsia="黑体"/>
          <w:sz w:val="28"/>
          <w:szCs w:val="28"/>
        </w:rPr>
      </w:pPr>
    </w:p>
    <w:p>
      <w:pPr>
        <w:jc w:val="center"/>
        <w:rPr>
          <w:rFonts w:ascii="黑体" w:hAnsi="黑体" w:eastAsia="黑体"/>
          <w:sz w:val="28"/>
          <w:szCs w:val="28"/>
        </w:rPr>
      </w:pPr>
    </w:p>
    <w:p>
      <w:pPr>
        <w:pStyle w:val="10"/>
        <w:jc w:val="both"/>
        <w:rPr>
          <w:rFonts w:hint="eastAsia" w:ascii="方正小标宋_GBK" w:hAnsi="方正小标宋_GBK" w:eastAsia="方正小标宋_GBK" w:cs="方正小标宋_GBK"/>
          <w:sz w:val="84"/>
          <w:szCs w:val="84"/>
        </w:rPr>
      </w:pPr>
    </w:p>
    <w:p>
      <w:pPr>
        <w:pStyle w:val="10"/>
        <w:jc w:val="both"/>
        <w:rPr>
          <w:rFonts w:hint="eastAsia" w:ascii="方正小标宋_GBK" w:hAnsi="方正小标宋_GBK" w:eastAsia="方正小标宋_GBK" w:cs="方正小标宋_GBK"/>
          <w:sz w:val="84"/>
          <w:szCs w:val="84"/>
        </w:rPr>
      </w:pPr>
    </w:p>
    <w:p>
      <w:pPr>
        <w:pStyle w:val="10"/>
        <w:jc w:val="both"/>
        <w:rPr>
          <w:rFonts w:hint="eastAsia" w:ascii="方正小标宋_GBK" w:hAnsi="方正小标宋_GBK" w:eastAsia="方正小标宋_GBK" w:cs="方正小标宋_GBK"/>
          <w:sz w:val="84"/>
          <w:szCs w:val="84"/>
        </w:rPr>
      </w:pPr>
    </w:p>
    <w:p>
      <w:pPr>
        <w:pStyle w:val="10"/>
        <w:jc w:val="both"/>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bookmarkStart w:id="0" w:name="RANGE!A1:I22"/>
      <w:bookmarkEnd w:id="0"/>
      <w:bookmarkStart w:id="1" w:name="RANGE!A1:F16"/>
    </w:p>
    <w:p>
      <w:pPr>
        <w:pStyle w:val="10"/>
        <w:jc w:val="center"/>
        <w:rPr>
          <w:rFonts w:hint="eastAsia" w:ascii="方正小标宋_GBK" w:hAnsi="方正小标宋_GBK" w:eastAsia="方正小标宋_GBK" w:cs="方正小标宋_GBK"/>
          <w:sz w:val="84"/>
          <w:szCs w:val="84"/>
        </w:rPr>
      </w:pPr>
    </w:p>
    <w:bookmarkEnd w:id="1"/>
    <w:p>
      <w:pPr>
        <w:pStyle w:val="5"/>
        <w:shd w:val="clear" w:color="auto" w:fill="FFFFFF"/>
        <w:spacing w:line="360" w:lineRule="auto"/>
        <w:ind w:firstLine="2242" w:firstLineChars="801"/>
        <w:jc w:val="both"/>
        <w:rPr>
          <w:sz w:val="28"/>
          <w:szCs w:val="28"/>
        </w:rPr>
      </w:pPr>
      <w:r>
        <w:rPr>
          <w:rFonts w:hint="eastAsia"/>
          <w:sz w:val="28"/>
          <w:szCs w:val="28"/>
        </w:rPr>
        <w:t>（</w:t>
      </w:r>
      <w:r>
        <w:rPr>
          <w:rFonts w:hint="eastAsia"/>
          <w:sz w:val="28"/>
          <w:szCs w:val="28"/>
          <w:shd w:val="clear" w:color="auto" w:fill="FFFFFF"/>
        </w:rPr>
        <w:t>见附件一: 怀化市救助站202</w:t>
      </w:r>
      <w:r>
        <w:rPr>
          <w:rFonts w:hint="eastAsia"/>
          <w:sz w:val="28"/>
          <w:szCs w:val="28"/>
          <w:shd w:val="clear" w:color="auto" w:fill="FFFFFF"/>
          <w:lang w:val="en-US" w:eastAsia="zh-CN"/>
        </w:rPr>
        <w:t>2</w:t>
      </w:r>
      <w:r>
        <w:rPr>
          <w:rFonts w:hint="eastAsia"/>
          <w:sz w:val="28"/>
          <w:szCs w:val="28"/>
          <w:shd w:val="clear" w:color="auto" w:fill="FFFFFF"/>
        </w:rPr>
        <w:t>年决算公开表）</w:t>
      </w:r>
    </w:p>
    <w:p>
      <w:pPr>
        <w:widowControl/>
        <w:jc w:val="left"/>
        <w:rPr>
          <w:sz w:val="72"/>
          <w:szCs w:val="72"/>
        </w:rPr>
        <w:sectPr>
          <w:pgSz w:w="11906" w:h="16838"/>
          <w:pgMar w:top="720" w:right="720" w:bottom="720" w:left="720" w:header="851" w:footer="992" w:gutter="0"/>
          <w:cols w:space="425" w:num="1"/>
          <w:docGrid w:type="lines" w:linePitch="312" w:charSpace="0"/>
        </w:sectPr>
      </w:pPr>
      <w:r>
        <w:rPr>
          <w:rFonts w:ascii="Times New Roman" w:hAnsi="Times New Roman" w:eastAsia="仿宋_GB2312" w:cs="Times New Roman"/>
          <w:bCs/>
          <w:kern w:val="0"/>
          <w:szCs w:val="21"/>
        </w:rPr>
        <w:br w:type="page"/>
      </w: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年度收、支总计1,247.59万元。与上年相比，增加119.84万元，增长</w:t>
      </w:r>
      <w:r>
        <w:rPr>
          <w:rFonts w:hint="eastAsia" w:ascii="Times New Roman" w:hAnsi="Times New Roman" w:eastAsia="仿宋_GB2312"/>
          <w:sz w:val="32"/>
          <w:szCs w:val="32"/>
          <w:lang w:val="en-US" w:eastAsia="zh-CN"/>
        </w:rPr>
        <w:t>10.63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人员较上年增加1人，人员经费增加，并且政府性基金预算财政拨款收入较上年增加。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1247.59</w:t>
      </w:r>
      <w:r>
        <w:rPr>
          <w:rFonts w:hint="eastAsia" w:ascii="Times New Roman" w:hAnsi="Times New Roman" w:eastAsia="仿宋_GB2312"/>
          <w:sz w:val="32"/>
          <w:szCs w:val="32"/>
        </w:rPr>
        <w:t>万元，其中：财政拨款收入1,247.59万元，占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年度支出合计1,247.59万元，其中：基本支出363.98万元，占29.17%；项目支出883.61万元，占</w:t>
      </w:r>
      <w:r>
        <w:rPr>
          <w:rFonts w:hint="eastAsia" w:ascii="Times New Roman" w:hAnsi="Times New Roman" w:eastAsia="仿宋_GB2312"/>
          <w:sz w:val="32"/>
          <w:szCs w:val="32"/>
          <w:lang w:val="en-US" w:eastAsia="zh-CN"/>
        </w:rPr>
        <w:t>70.83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年度财政拨款收、支总计1,247.59万元，与上年相比，增加124.12万元,增长</w:t>
      </w:r>
      <w:r>
        <w:rPr>
          <w:rFonts w:hint="eastAsia" w:ascii="Times New Roman" w:hAnsi="Times New Roman" w:eastAsia="仿宋_GB2312"/>
          <w:sz w:val="32"/>
          <w:szCs w:val="32"/>
          <w:lang w:val="en-US" w:eastAsia="zh-CN"/>
        </w:rPr>
        <w:t>11.05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人员较上年增加1人，人员经费增加，并且政府性基金预算财政拨款收入较上年增加，本年新增福彩公益金项目。</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1194.79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70.91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6.31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人员较上年增加1人，人员经费增加，并且政府性基金预算财政拨款收入较上年增加。</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1194.79</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（类）支出1,183.05万元，占</w:t>
      </w:r>
      <w:r>
        <w:rPr>
          <w:rFonts w:hint="eastAsia" w:ascii="Times New Roman" w:hAnsi="Times New Roman" w:eastAsia="仿宋_GB2312"/>
          <w:sz w:val="32"/>
          <w:szCs w:val="32"/>
          <w:lang w:val="en-US" w:eastAsia="zh-CN"/>
        </w:rPr>
        <w:t>99.02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11.74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0.98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297.11</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支出决算数为</w:t>
      </w:r>
      <w:r>
        <w:rPr>
          <w:rFonts w:hint="eastAsia" w:ascii="Times New Roman" w:hAnsi="Times New Roman" w:eastAsia="仿宋_GB2312"/>
          <w:sz w:val="32"/>
          <w:szCs w:val="32"/>
          <w:highlight w:val="none"/>
          <w:lang w:val="en-US" w:eastAsia="zh-CN"/>
        </w:rPr>
        <w:t>1194.79</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402.14</w:t>
      </w:r>
      <w:r>
        <w:rPr>
          <w:rFonts w:hint="eastAsia" w:ascii="Times New Roman" w:hAnsi="Times New Roman" w:eastAsia="仿宋_GB2312"/>
          <w:sz w:val="32"/>
          <w:szCs w:val="32"/>
          <w:highlight w:val="none"/>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社会保障和就业支出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val="en-US" w:eastAsia="zh-CN"/>
        </w:rPr>
        <w:t>民政管理事务</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val="en-US" w:eastAsia="zh-CN"/>
        </w:rPr>
        <w:t>行政运行</w:t>
      </w:r>
      <w:r>
        <w:rPr>
          <w:rFonts w:hint="eastAsia" w:ascii="Times New Roman" w:hAnsi="Times New Roman" w:eastAsia="仿宋_GB2312"/>
          <w:sz w:val="32"/>
          <w:szCs w:val="32"/>
          <w:highlight w:val="none"/>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5.66</w:t>
      </w:r>
      <w:r>
        <w:rPr>
          <w:rFonts w:hint="eastAsia" w:ascii="Times New Roman" w:hAnsi="Times New Roman" w:eastAsia="仿宋_GB2312"/>
          <w:sz w:val="32"/>
          <w:szCs w:val="32"/>
          <w:highlight w:val="none"/>
        </w:rPr>
        <w:t>万元，决算数大于年初预算数的主要原因是：</w:t>
      </w:r>
      <w:r>
        <w:rPr>
          <w:rFonts w:hint="eastAsia" w:ascii="Times New Roman" w:hAnsi="Times New Roman" w:eastAsia="仿宋_GB2312"/>
          <w:sz w:val="32"/>
          <w:szCs w:val="32"/>
          <w:highlight w:val="none"/>
          <w:lang w:val="en-US" w:eastAsia="zh-CN"/>
        </w:rPr>
        <w:t>追加预算。</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w:t>
      </w:r>
      <w:r>
        <w:rPr>
          <w:rFonts w:hint="eastAsia" w:ascii="Times New Roman" w:hAnsi="Times New Roman" w:eastAsia="仿宋_GB2312"/>
          <w:sz w:val="32"/>
          <w:szCs w:val="32"/>
          <w:highlight w:val="none"/>
          <w:lang w:val="en-US" w:eastAsia="zh-CN"/>
        </w:rPr>
        <w:t>社会保障和就业支出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val="en-US" w:eastAsia="zh-CN"/>
        </w:rPr>
        <w:t>民政管理事务</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其他民政管理事务支出</w:t>
      </w:r>
      <w:r>
        <w:rPr>
          <w:rFonts w:hint="eastAsia" w:ascii="Times New Roman" w:hAnsi="Times New Roman" w:eastAsia="仿宋_GB2312"/>
          <w:sz w:val="32"/>
          <w:szCs w:val="32"/>
          <w:highlight w:val="none"/>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62.21</w:t>
      </w:r>
      <w:r>
        <w:rPr>
          <w:rFonts w:hint="eastAsia" w:ascii="Times New Roman" w:hAnsi="Times New Roman" w:eastAsia="仿宋_GB2312"/>
          <w:sz w:val="32"/>
          <w:szCs w:val="32"/>
          <w:highlight w:val="none"/>
        </w:rPr>
        <w:t>万元，决算数大于年初预算数的主要原因是：</w:t>
      </w:r>
      <w:r>
        <w:rPr>
          <w:rFonts w:hint="eastAsia" w:ascii="Times New Roman" w:hAnsi="Times New Roman" w:eastAsia="仿宋_GB2312"/>
          <w:sz w:val="32"/>
          <w:szCs w:val="32"/>
          <w:highlight w:val="none"/>
          <w:lang w:val="en-US" w:eastAsia="zh-CN"/>
        </w:rPr>
        <w:t>上级补助资金未纳入年初预算。</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社会保障和就业支出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val="en-US" w:eastAsia="zh-CN"/>
        </w:rPr>
        <w:t>行政事业单位养老支出</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机关事业单位基本养老保险缴费支出</w:t>
      </w:r>
      <w:r>
        <w:rPr>
          <w:rFonts w:hint="eastAsia" w:ascii="Times New Roman" w:hAnsi="Times New Roman" w:eastAsia="仿宋_GB2312"/>
          <w:sz w:val="32"/>
          <w:szCs w:val="32"/>
          <w:highlight w:val="none"/>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23.49</w:t>
      </w:r>
      <w:r>
        <w:rPr>
          <w:rFonts w:hint="eastAsia" w:ascii="Times New Roman" w:hAnsi="Times New Roman" w:eastAsia="仿宋_GB2312"/>
          <w:sz w:val="32"/>
          <w:szCs w:val="32"/>
          <w:highlight w:val="none"/>
        </w:rPr>
        <w:t>万元，决算数大于年初预算数的主要原因是：行政事业单位养老保险缴费额度的下拨需年初上报基数，经财政及人社部门审批后，年中拨付相关经费。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社会保障和就业支出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val="en-US" w:eastAsia="zh-CN"/>
        </w:rPr>
        <w:t>行政事业单位养老支出</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其他行政事业单位养老支出</w:t>
      </w:r>
      <w:r>
        <w:rPr>
          <w:rFonts w:hint="eastAsia" w:ascii="Times New Roman" w:hAnsi="Times New Roman" w:eastAsia="仿宋_GB2312"/>
          <w:sz w:val="32"/>
          <w:szCs w:val="32"/>
          <w:highlight w:val="none"/>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30.00</w:t>
      </w:r>
      <w:r>
        <w:rPr>
          <w:rFonts w:hint="eastAsia" w:ascii="Times New Roman" w:hAnsi="Times New Roman" w:eastAsia="仿宋_GB2312"/>
          <w:sz w:val="32"/>
          <w:szCs w:val="32"/>
          <w:highlight w:val="none"/>
        </w:rPr>
        <w:t>万元，决算数大于年初预算数的主要原因是：行政事业单位养老保险缴费额度的下拨需年初上报基数，经财政及人社部门审批后，年中拨付相关经费。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社会保障和就业支出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val="en-US" w:eastAsia="zh-CN"/>
        </w:rPr>
        <w:t>临时救助</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临时救助支出</w:t>
      </w:r>
      <w:r>
        <w:rPr>
          <w:rFonts w:hint="eastAsia" w:ascii="Times New Roman" w:hAnsi="Times New Roman" w:eastAsia="仿宋_GB2312"/>
          <w:sz w:val="32"/>
          <w:szCs w:val="32"/>
          <w:highlight w:val="none"/>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199.56</w:t>
      </w:r>
      <w:r>
        <w:rPr>
          <w:rFonts w:hint="eastAsia" w:ascii="Times New Roman" w:hAnsi="Times New Roman" w:eastAsia="仿宋_GB2312"/>
          <w:sz w:val="32"/>
          <w:szCs w:val="32"/>
          <w:highlight w:val="none"/>
        </w:rPr>
        <w:t>万元，决算数大于年初预算数的主要原因是：中央省级下拨专项资金未列入市本级年初预算。</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社会保障和就业支出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val="en-US" w:eastAsia="zh-CN"/>
        </w:rPr>
        <w:t>临时救助</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流浪乞讨人员救助支出</w:t>
      </w:r>
      <w:r>
        <w:rPr>
          <w:rFonts w:hint="eastAsia" w:ascii="Times New Roman" w:hAnsi="Times New Roman" w:eastAsia="仿宋_GB2312"/>
          <w:sz w:val="32"/>
          <w:szCs w:val="32"/>
          <w:highlight w:val="none"/>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297.11</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854.14</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287.48</w:t>
      </w:r>
      <w:r>
        <w:rPr>
          <w:rFonts w:hint="eastAsia" w:ascii="Times New Roman" w:hAnsi="Times New Roman" w:eastAsia="仿宋_GB2312"/>
          <w:sz w:val="32"/>
          <w:szCs w:val="32"/>
          <w:highlight w:val="none"/>
        </w:rPr>
        <w:t>%，决算数大于年初预算数的主要原因是：中央省级下拨专项资金未列入市本级年初预算。</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社会保障和就业支出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val="en-US" w:eastAsia="zh-CN"/>
        </w:rPr>
        <w:t>其他社会保障和就业支出</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其他社会保障和就业支出（</w:t>
      </w:r>
      <w:r>
        <w:rPr>
          <w:rFonts w:hint="eastAsia" w:ascii="Times New Roman" w:hAnsi="Times New Roman" w:eastAsia="仿宋_GB2312"/>
          <w:sz w:val="32"/>
          <w:szCs w:val="32"/>
          <w:highlight w:val="none"/>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8.00</w:t>
      </w:r>
      <w:r>
        <w:rPr>
          <w:rFonts w:hint="eastAsia" w:ascii="Times New Roman" w:hAnsi="Times New Roman" w:eastAsia="仿宋_GB2312"/>
          <w:sz w:val="32"/>
          <w:szCs w:val="32"/>
          <w:highlight w:val="none"/>
        </w:rPr>
        <w:t>万元，决算数大于年初预算数的主要原因是：</w:t>
      </w:r>
      <w:r>
        <w:rPr>
          <w:rFonts w:hint="eastAsia" w:ascii="Times New Roman" w:hAnsi="Times New Roman" w:eastAsia="仿宋_GB2312"/>
          <w:sz w:val="32"/>
          <w:szCs w:val="32"/>
          <w:highlight w:val="none"/>
          <w:lang w:val="en-US" w:eastAsia="zh-CN"/>
        </w:rPr>
        <w:t>追加指标用于救助站站内设施设备维修维护，指标文号为怀财社字〔2022〕0030号5.00万元、怀财社字〔2022〕0031号3.00万元。</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卫生健康支出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val="en-US" w:eastAsia="zh-CN"/>
        </w:rPr>
        <w:t>行政事业单位医疗</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行政单位医疗（</w:t>
      </w:r>
      <w:r>
        <w:rPr>
          <w:rFonts w:hint="eastAsia" w:ascii="Times New Roman" w:hAnsi="Times New Roman" w:eastAsia="仿宋_GB2312"/>
          <w:sz w:val="32"/>
          <w:szCs w:val="32"/>
          <w:highlight w:val="none"/>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黑体"/>
          <w:b w:val="0"/>
          <w:bCs/>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11.74</w:t>
      </w:r>
      <w:r>
        <w:rPr>
          <w:rFonts w:hint="eastAsia" w:ascii="Times New Roman" w:hAnsi="Times New Roman" w:eastAsia="仿宋_GB2312"/>
          <w:sz w:val="32"/>
          <w:szCs w:val="32"/>
          <w:highlight w:val="none"/>
        </w:rPr>
        <w:t>万元，决算数大于年初预算数的主要原因是：事业单位医疗保险缴费额度的下拨需年初上报基数，经财政及人社部门审批后，年中拨付相关经费。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363.98</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328.34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90.21</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机关事业单位基本养老保险缴费、职工基本医疗保险缴费、其他社会保险缴费、其他工资福利支出、退休费、生活补助、奖励金、其他对和个人和家庭的补助</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b/>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35.64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9.79</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电费、邮电费、差旅费、维修（护）费、公务接待费、劳务费、工会经费、公务用车运行维护费、其他交通费用、其他商品和服务支出。</w:t>
      </w:r>
    </w:p>
    <w:p>
      <w:pPr>
        <w:pStyle w:val="10"/>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财政拨款三公经费支出决算情况说明</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8.78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8.78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1.30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37.25</w:t>
      </w:r>
      <w:r>
        <w:rPr>
          <w:rFonts w:hint="eastAsia" w:ascii="Times New Roman" w:hAnsi="Times New Roman" w:eastAsia="仿宋_GB2312"/>
          <w:sz w:val="32"/>
          <w:szCs w:val="32"/>
        </w:rPr>
        <w:t>%,减少的主要原因是严格按照中央八项规定以及省、市有关规定，缩减公务接待支出。</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6.59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6.59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3.18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93.26</w:t>
      </w:r>
      <w:r>
        <w:rPr>
          <w:rFonts w:hint="eastAsia" w:ascii="Times New Roman" w:hAnsi="Times New Roman" w:eastAsia="仿宋_GB2312"/>
          <w:sz w:val="32"/>
          <w:szCs w:val="32"/>
        </w:rPr>
        <w:t>%,增长的主要原因是护送救助对象返乡的人数较上年增加，</w:t>
      </w:r>
      <w:r>
        <w:rPr>
          <w:rFonts w:hint="eastAsia" w:ascii="Times New Roman" w:hAnsi="Times New Roman" w:eastAsia="仿宋_GB2312"/>
          <w:sz w:val="32"/>
          <w:szCs w:val="32"/>
          <w:lang w:val="en-US" w:eastAsia="zh-CN"/>
        </w:rPr>
        <w:t>疫情期间在城内进行24小时街面救助，</w:t>
      </w:r>
      <w:r>
        <w:rPr>
          <w:rFonts w:hint="eastAsia" w:ascii="Times New Roman" w:hAnsi="Times New Roman" w:eastAsia="仿宋_GB2312"/>
          <w:sz w:val="32"/>
          <w:szCs w:val="32"/>
        </w:rPr>
        <w:t>车辆使用较上年频繁，费用相应增加。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2.19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24.94</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6.59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75.06</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2.19</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281</w:t>
      </w:r>
      <w:r>
        <w:rPr>
          <w:rFonts w:hint="eastAsia" w:ascii="Times New Roman" w:hAnsi="Times New Roman" w:eastAsia="仿宋_GB2312"/>
          <w:sz w:val="32"/>
          <w:szCs w:val="32"/>
        </w:rPr>
        <w:t>人次，主要是全国各地救助站护送救助对象至我站发生的接待支出。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6.59</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怀化市救助站</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6.59</w:t>
      </w:r>
      <w:r>
        <w:rPr>
          <w:rFonts w:hint="eastAsia" w:ascii="Times New Roman" w:hAnsi="Times New Roman" w:eastAsia="仿宋_GB2312"/>
          <w:sz w:val="32"/>
          <w:szCs w:val="32"/>
        </w:rPr>
        <w:t>万元，主要是车辆燃油费、维修费、车辆保险、驾驶安全奖等支出，截止202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52.80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52.80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52.80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1、其他支出（类）彩票公益金安排的支出（款）用于社会福利的彩票公益金支出（项）。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52.80</w:t>
      </w:r>
      <w:r>
        <w:rPr>
          <w:rFonts w:hint="eastAsia" w:ascii="Times New Roman" w:hAnsi="Times New Roman" w:eastAsia="仿宋_GB2312"/>
          <w:sz w:val="32"/>
          <w:szCs w:val="32"/>
        </w:rPr>
        <w:t>万元，决算数大于年初预算数的主要原因是：彩票公益金支出</w:t>
      </w:r>
      <w:r>
        <w:rPr>
          <w:rFonts w:hint="eastAsia" w:ascii="Times New Roman" w:hAnsi="Times New Roman" w:eastAsia="仿宋_GB2312"/>
          <w:sz w:val="32"/>
          <w:szCs w:val="32"/>
          <w:lang w:val="en-US" w:eastAsia="zh-CN"/>
        </w:rPr>
        <w:t>未纳入年初预算。</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val="en-US" w:eastAsia="zh-CN"/>
        </w:rPr>
        <w:t>九、</w:t>
      </w:r>
      <w:r>
        <w:rPr>
          <w:rFonts w:hint="eastAsia" w:ascii="黑体" w:hAnsi="黑体" w:eastAsia="黑体" w:cs="黑体"/>
          <w:b w:val="0"/>
          <w:bCs/>
          <w:sz w:val="32"/>
          <w:szCs w:val="32"/>
        </w:rPr>
        <w:t>国有资本经营预算收入支出决算情况</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b/>
          <w:sz w:val="32"/>
          <w:szCs w:val="32"/>
        </w:rPr>
      </w:pPr>
      <w:r>
        <w:rPr>
          <w:rFonts w:hint="eastAsia" w:ascii="Times New Roman" w:hAnsi="Times New Roman" w:eastAsia="仿宋_GB2312"/>
          <w:sz w:val="32"/>
          <w:szCs w:val="32"/>
          <w:lang w:val="en-US" w:eastAsia="zh-CN"/>
        </w:rPr>
        <w:t>本单位无国有资本经营预算收支。</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hAnsi="黑体" w:cs="黑体"/>
          <w:b w:val="0"/>
          <w:bCs/>
          <w:sz w:val="32"/>
          <w:szCs w:val="32"/>
          <w:lang w:val="en-US" w:eastAsia="zh-CN"/>
        </w:rPr>
      </w:pPr>
      <w:r>
        <w:rPr>
          <w:rFonts w:hint="eastAsia" w:hAnsi="黑体" w:cs="黑体"/>
          <w:b w:val="0"/>
          <w:bCs/>
          <w:sz w:val="32"/>
          <w:szCs w:val="32"/>
          <w:lang w:val="en-US" w:eastAsia="zh-CN"/>
        </w:rPr>
        <w:t>十、关于机关运行经费支出说明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年度机关运行经费支出35.64万元比上年决算数减少</w:t>
      </w:r>
      <w:r>
        <w:rPr>
          <w:rFonts w:hint="eastAsia" w:ascii="Times New Roman" w:hAnsi="Times New Roman" w:eastAsia="仿宋_GB2312"/>
          <w:sz w:val="32"/>
          <w:szCs w:val="32"/>
          <w:lang w:val="en-US" w:eastAsia="zh-CN"/>
        </w:rPr>
        <w:t>24.03</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40.27</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根据本年实际发生业务填列。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本年未举办</w:t>
      </w:r>
      <w:r>
        <w:rPr>
          <w:rFonts w:hint="eastAsia" w:ascii="Times New Roman" w:hAnsi="Times New Roman" w:eastAsia="仿宋_GB2312"/>
          <w:sz w:val="32"/>
          <w:szCs w:val="32"/>
        </w:rPr>
        <w:t>等节庆、晚会、论坛、赛事活动。</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240.59</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49.62</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15.17</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175.80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210.00</w:t>
      </w:r>
      <w:r>
        <w:rPr>
          <w:rFonts w:hint="eastAsia" w:ascii="Times New Roman" w:hAnsi="Times New Roman" w:eastAsia="仿宋_GB2312"/>
          <w:sz w:val="32"/>
          <w:szCs w:val="32"/>
        </w:rPr>
        <w:t>万元，占政府采</w:t>
      </w:r>
      <w:r>
        <w:rPr>
          <w:rFonts w:hint="eastAsia" w:ascii="Times New Roman" w:hAnsi="Times New Roman" w:eastAsia="仿宋_GB2312"/>
          <w:color w:val="auto"/>
          <w:sz w:val="32"/>
          <w:szCs w:val="32"/>
        </w:rPr>
        <w:t>购支出总额的</w:t>
      </w:r>
      <w:r>
        <w:rPr>
          <w:rFonts w:hint="eastAsia" w:ascii="Times New Roman" w:hAnsi="Times New Roman" w:eastAsia="仿宋_GB2312"/>
          <w:color w:val="auto"/>
          <w:sz w:val="32"/>
          <w:szCs w:val="32"/>
          <w:lang w:val="en-US" w:eastAsia="zh-CN"/>
        </w:rPr>
        <w:t>87.29</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210.00</w:t>
      </w:r>
      <w:r>
        <w:rPr>
          <w:rFonts w:hint="eastAsia" w:ascii="Times New Roman" w:hAnsi="Times New Roman" w:eastAsia="仿宋_GB2312"/>
          <w:color w:val="auto"/>
          <w:sz w:val="32"/>
          <w:szCs w:val="32"/>
        </w:rPr>
        <w:t>万元，占政府采购支出总额的</w:t>
      </w:r>
      <w:r>
        <w:rPr>
          <w:rFonts w:hint="eastAsia" w:ascii="Times New Roman" w:hAnsi="Times New Roman" w:eastAsia="仿宋_GB2312"/>
          <w:color w:val="auto"/>
          <w:sz w:val="32"/>
          <w:szCs w:val="32"/>
          <w:lang w:val="en-US" w:eastAsia="zh-CN"/>
        </w:rPr>
        <w:t>87.29</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82.09</w:t>
      </w:r>
      <w:r>
        <w:rPr>
          <w:rFonts w:hint="eastAsia" w:ascii="Times New Roman" w:hAnsi="Times New Roman" w:eastAsia="仿宋_GB2312"/>
          <w:color w:val="auto"/>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辆，其他用车主要是流浪乞讨救助专用车；单位价值50万元以上通用设备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本部门2022年按财政局要求认真开展落实绩效管理工作，切实完成年度绩效目标和绩效评价工作。自评报告见附件。</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无</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一、财政拨款收入：指财政当年拨付的资金。 </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三、经营收入：指事业单位在专业业务活动及其辅助活动之外开展非独立核算经营活动取得的收入。如：中国财政杂志社广告收入等。 </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四、其他收入：指除上述“财政拨款收入”、“事业收入”、“经营收入”等以外的收入。主要是按规定动用的售房收入、存款利息收入等。 </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六、年初结转和结余：指以前年度尚未完成、结转到本年按有关规定继续使用的资金。 </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七、结余分配：指事业单位按规定提取的职工福利基金、事业基金和缴纳的所得税，以及建设单位按规定应交回的基本建设竣工项目结余资金。</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八、年末结转和结余：指本年度或以前年度预算安排、因客观条件发生变化无法按原计划实施，需要延迟到以后年度按有关规定继续使用的资金。 </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九、基本支出：指为保障机构正常运转、完成日常工作任务而发生的人员支出和公用支出。 </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十、项目支出：指在基本支出之外为完成特定行政任务和事业发展目标所发生的支出。 </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十一、经营支出：指事业单位在专业业务活动及其辅助活动之外开展非独立核算经营活动发生的支出。 </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sz w:val="72"/>
          <w:szCs w:val="72"/>
          <w:lang w:val="en-US" w:eastAsia="zh-CN"/>
        </w:rPr>
      </w:pPr>
    </w:p>
    <w:p>
      <w:pPr>
        <w:pStyle w:val="10"/>
        <w:jc w:val="center"/>
        <w:rPr>
          <w:rFonts w:hint="eastAsia"/>
          <w:sz w:val="72"/>
          <w:szCs w:val="72"/>
          <w:lang w:val="en-US" w:eastAsia="zh-CN"/>
        </w:rPr>
      </w:pPr>
    </w:p>
    <w:p>
      <w:pPr>
        <w:pStyle w:val="10"/>
        <w:jc w:val="center"/>
        <w:rPr>
          <w:rFonts w:hint="eastAsia"/>
          <w:sz w:val="72"/>
          <w:szCs w:val="72"/>
          <w:lang w:val="en-US" w:eastAsia="zh-CN"/>
        </w:rPr>
      </w:pPr>
    </w:p>
    <w:p>
      <w:pPr>
        <w:pStyle w:val="10"/>
        <w:jc w:val="center"/>
        <w:rPr>
          <w:rFonts w:hint="eastAsia"/>
          <w:sz w:val="72"/>
          <w:szCs w:val="72"/>
          <w:lang w:val="en-US" w:eastAsia="zh-CN"/>
        </w:rPr>
      </w:pPr>
    </w:p>
    <w:p>
      <w:pPr>
        <w:pStyle w:val="10"/>
        <w:jc w:val="center"/>
        <w:rPr>
          <w:rFonts w:hint="eastAsia"/>
          <w:sz w:val="72"/>
          <w:szCs w:val="72"/>
          <w:lang w:val="en-US" w:eastAsia="zh-CN"/>
        </w:rPr>
      </w:pPr>
    </w:p>
    <w:p>
      <w:pPr>
        <w:pStyle w:val="10"/>
        <w:jc w:val="center"/>
        <w:rPr>
          <w:rFonts w:hint="eastAsia"/>
          <w:sz w:val="72"/>
          <w:szCs w:val="72"/>
          <w:lang w:val="en-US" w:eastAsia="zh-CN"/>
        </w:rPr>
      </w:pPr>
    </w:p>
    <w:p>
      <w:pPr>
        <w:pStyle w:val="10"/>
        <w:jc w:val="center"/>
        <w:rPr>
          <w:rFonts w:hint="default" w:eastAsia="黑体"/>
          <w:sz w:val="72"/>
          <w:szCs w:val="72"/>
          <w:lang w:val="en-US" w:eastAsia="zh-CN"/>
        </w:rPr>
      </w:pPr>
      <w:r>
        <w:rPr>
          <w:rFonts w:hint="eastAsia"/>
          <w:sz w:val="72"/>
          <w:szCs w:val="72"/>
          <w:lang w:val="en-US" w:eastAsia="zh-CN"/>
        </w:rPr>
        <w:t>第五部分 附件</w:t>
      </w: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44119"/>
    <w:multiLevelType w:val="singleLevel"/>
    <w:tmpl w:val="A0244119"/>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195A10"/>
    <w:multiLevelType w:val="singleLevel"/>
    <w:tmpl w:val="70195A10"/>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OWQ0YzM0MzI0ZjUwZDhlYzA0NzQ5ZjhmMmZkYj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E1A716E"/>
    <w:rsid w:val="26F42D02"/>
    <w:rsid w:val="38F52C52"/>
    <w:rsid w:val="4BCD6209"/>
    <w:rsid w:val="4FC873FB"/>
    <w:rsid w:val="5777D4F5"/>
    <w:rsid w:val="5F5B458D"/>
    <w:rsid w:val="5FC6BB1E"/>
    <w:rsid w:val="5FF720F1"/>
    <w:rsid w:val="63EA0337"/>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19</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2023-09-20T08:11:08Z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EF2D668C69A2452FB8B9B66ABC38403E_13</vt:lpwstr>
  </property>
</Properties>
</file>