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bCs/>
          <w:color w:val="auto"/>
          <w:sz w:val="48"/>
          <w:szCs w:val="48"/>
        </w:rPr>
      </w:pPr>
      <w:r>
        <w:rPr>
          <w:rFonts w:ascii="仿宋" w:hAnsi="仿宋" w:eastAsia="仿宋"/>
          <w:b/>
          <w:bCs/>
          <w:color w:val="auto"/>
          <w:sz w:val="48"/>
          <w:szCs w:val="48"/>
        </w:rPr>
        <w:t>2021年度怀化市殡葬事务中心部门决算</w:t>
      </w:r>
    </w:p>
    <w:p>
      <w:pPr>
        <w:spacing w:line="600" w:lineRule="exact"/>
        <w:rPr>
          <w:rFonts w:ascii="仿宋" w:hAnsi="仿宋" w:eastAsia="仿宋"/>
          <w:color w:val="auto"/>
          <w:sz w:val="32"/>
          <w:szCs w:val="32"/>
        </w:rPr>
      </w:pPr>
    </w:p>
    <w:p>
      <w:pPr>
        <w:spacing w:line="600" w:lineRule="exact"/>
        <w:jc w:val="center"/>
        <w:rPr>
          <w:rFonts w:ascii="黑体" w:hAnsi="黑体" w:eastAsia="黑体"/>
          <w:b/>
          <w:bCs/>
          <w:color w:val="auto"/>
          <w:sz w:val="32"/>
          <w:szCs w:val="32"/>
        </w:rPr>
      </w:pPr>
      <w:r>
        <w:rPr>
          <w:rFonts w:hint="eastAsia" w:ascii="黑体" w:hAnsi="黑体" w:eastAsia="黑体"/>
          <w:b/>
          <w:bCs/>
          <w:color w:val="auto"/>
          <w:sz w:val="32"/>
          <w:szCs w:val="32"/>
        </w:rPr>
        <w:t xml:space="preserve">目 </w:t>
      </w:r>
      <w:r>
        <w:rPr>
          <w:rFonts w:ascii="黑体" w:hAnsi="黑体" w:eastAsia="黑体"/>
          <w:b/>
          <w:bCs/>
          <w:color w:val="auto"/>
          <w:sz w:val="32"/>
          <w:szCs w:val="32"/>
        </w:rPr>
        <w:t xml:space="preserve"> </w:t>
      </w:r>
      <w:r>
        <w:rPr>
          <w:rFonts w:hint="eastAsia" w:ascii="黑体" w:hAnsi="黑体" w:eastAsia="黑体"/>
          <w:b/>
          <w:bCs/>
          <w:color w:val="auto"/>
          <w:sz w:val="32"/>
          <w:szCs w:val="32"/>
        </w:rPr>
        <w:t>录</w:t>
      </w:r>
    </w:p>
    <w:p>
      <w:pPr>
        <w:spacing w:line="600" w:lineRule="exact"/>
        <w:rPr>
          <w:rFonts w:ascii="黑体" w:hAnsi="黑体" w:eastAsia="黑体"/>
          <w:b/>
          <w:bCs/>
          <w:color w:val="auto"/>
          <w:sz w:val="32"/>
          <w:szCs w:val="32"/>
        </w:rPr>
      </w:pPr>
      <w:r>
        <w:rPr>
          <w:rFonts w:hint="eastAsia" w:ascii="黑体" w:hAnsi="黑体" w:eastAsia="黑体"/>
          <w:b/>
          <w:bCs/>
          <w:color w:val="auto"/>
          <w:sz w:val="32"/>
          <w:szCs w:val="32"/>
        </w:rPr>
        <w:t>第一部 分怀化市殡葬事务中心概况</w:t>
      </w:r>
    </w:p>
    <w:p>
      <w:pPr>
        <w:spacing w:line="600" w:lineRule="exact"/>
        <w:rPr>
          <w:rFonts w:ascii="仿宋" w:hAnsi="仿宋" w:eastAsia="仿宋"/>
          <w:color w:val="auto"/>
          <w:sz w:val="32"/>
          <w:szCs w:val="32"/>
        </w:rPr>
      </w:pPr>
      <w:r>
        <w:rPr>
          <w:rFonts w:hint="eastAsia" w:ascii="仿宋" w:hAnsi="仿宋" w:eastAsia="仿宋"/>
          <w:color w:val="auto"/>
          <w:sz w:val="32"/>
          <w:szCs w:val="32"/>
        </w:rPr>
        <w:t>一、部门职责</w:t>
      </w:r>
    </w:p>
    <w:p>
      <w:pPr>
        <w:spacing w:line="600" w:lineRule="exact"/>
        <w:rPr>
          <w:rFonts w:ascii="仿宋" w:hAnsi="仿宋" w:eastAsia="仿宋"/>
          <w:color w:val="auto"/>
          <w:sz w:val="32"/>
          <w:szCs w:val="32"/>
        </w:rPr>
      </w:pPr>
      <w:r>
        <w:rPr>
          <w:rFonts w:hint="eastAsia" w:ascii="仿宋" w:hAnsi="仿宋" w:eastAsia="仿宋"/>
          <w:color w:val="auto"/>
          <w:sz w:val="32"/>
          <w:szCs w:val="32"/>
        </w:rPr>
        <w:t>二、机构设置</w:t>
      </w:r>
    </w:p>
    <w:p>
      <w:pPr>
        <w:spacing w:line="600" w:lineRule="exact"/>
        <w:rPr>
          <w:rFonts w:ascii="黑体" w:hAnsi="黑体" w:eastAsia="黑体"/>
          <w:b/>
          <w:bCs/>
          <w:color w:val="auto"/>
          <w:sz w:val="32"/>
          <w:szCs w:val="32"/>
        </w:rPr>
      </w:pPr>
      <w:r>
        <w:rPr>
          <w:rFonts w:hint="eastAsia" w:ascii="黑体" w:hAnsi="黑体" w:eastAsia="黑体"/>
          <w:b/>
          <w:bCs/>
          <w:color w:val="auto"/>
          <w:sz w:val="32"/>
          <w:szCs w:val="32"/>
        </w:rPr>
        <w:t xml:space="preserve">第二部分 </w:t>
      </w:r>
      <w:r>
        <w:rPr>
          <w:rFonts w:ascii="黑体" w:hAnsi="黑体" w:eastAsia="黑体"/>
          <w:b/>
          <w:bCs/>
          <w:color w:val="auto"/>
          <w:sz w:val="32"/>
          <w:szCs w:val="32"/>
        </w:rPr>
        <w:t>2021年度部门决算表</w:t>
      </w:r>
    </w:p>
    <w:p>
      <w:pPr>
        <w:spacing w:line="600" w:lineRule="exact"/>
        <w:rPr>
          <w:rFonts w:ascii="仿宋" w:hAnsi="仿宋" w:eastAsia="仿宋"/>
          <w:color w:val="auto"/>
          <w:sz w:val="32"/>
          <w:szCs w:val="32"/>
        </w:rPr>
      </w:pPr>
      <w:r>
        <w:rPr>
          <w:rFonts w:hint="eastAsia" w:ascii="仿宋" w:hAnsi="仿宋" w:eastAsia="仿宋"/>
          <w:color w:val="auto"/>
          <w:sz w:val="32"/>
          <w:szCs w:val="32"/>
        </w:rPr>
        <w:t>一、收入支出决算总表</w:t>
      </w:r>
    </w:p>
    <w:p>
      <w:pPr>
        <w:spacing w:line="600" w:lineRule="exact"/>
        <w:rPr>
          <w:rFonts w:ascii="仿宋" w:hAnsi="仿宋" w:eastAsia="仿宋"/>
          <w:color w:val="auto"/>
          <w:sz w:val="32"/>
          <w:szCs w:val="32"/>
        </w:rPr>
      </w:pPr>
      <w:r>
        <w:rPr>
          <w:rFonts w:hint="eastAsia" w:ascii="仿宋" w:hAnsi="仿宋" w:eastAsia="仿宋"/>
          <w:color w:val="auto"/>
          <w:sz w:val="32"/>
          <w:szCs w:val="32"/>
        </w:rPr>
        <w:t>二、收入决算表</w:t>
      </w:r>
    </w:p>
    <w:p>
      <w:pPr>
        <w:spacing w:line="600" w:lineRule="exact"/>
        <w:rPr>
          <w:rFonts w:ascii="仿宋" w:hAnsi="仿宋" w:eastAsia="仿宋"/>
          <w:color w:val="auto"/>
          <w:sz w:val="32"/>
          <w:szCs w:val="32"/>
        </w:rPr>
      </w:pPr>
      <w:r>
        <w:rPr>
          <w:rFonts w:hint="eastAsia" w:ascii="仿宋" w:hAnsi="仿宋" w:eastAsia="仿宋"/>
          <w:color w:val="auto"/>
          <w:sz w:val="32"/>
          <w:szCs w:val="32"/>
        </w:rPr>
        <w:t>三、支出决算表</w:t>
      </w:r>
    </w:p>
    <w:p>
      <w:pPr>
        <w:spacing w:line="600" w:lineRule="exact"/>
        <w:rPr>
          <w:rFonts w:ascii="仿宋" w:hAnsi="仿宋" w:eastAsia="仿宋"/>
          <w:color w:val="auto"/>
          <w:sz w:val="32"/>
          <w:szCs w:val="32"/>
        </w:rPr>
      </w:pPr>
      <w:r>
        <w:rPr>
          <w:rFonts w:hint="eastAsia" w:ascii="仿宋" w:hAnsi="仿宋" w:eastAsia="仿宋"/>
          <w:color w:val="auto"/>
          <w:sz w:val="32"/>
          <w:szCs w:val="32"/>
        </w:rPr>
        <w:t>四、财政拨款收入支出决算总表</w:t>
      </w:r>
    </w:p>
    <w:p>
      <w:pPr>
        <w:spacing w:line="600" w:lineRule="exact"/>
        <w:rPr>
          <w:rFonts w:ascii="仿宋" w:hAnsi="仿宋" w:eastAsia="仿宋"/>
          <w:color w:val="auto"/>
          <w:sz w:val="32"/>
          <w:szCs w:val="32"/>
        </w:rPr>
      </w:pPr>
      <w:r>
        <w:rPr>
          <w:rFonts w:hint="eastAsia" w:ascii="仿宋" w:hAnsi="仿宋" w:eastAsia="仿宋"/>
          <w:color w:val="auto"/>
          <w:sz w:val="32"/>
          <w:szCs w:val="32"/>
        </w:rPr>
        <w:t>五、一般公共预算财政拨款支出决算表</w:t>
      </w:r>
    </w:p>
    <w:p>
      <w:pPr>
        <w:spacing w:line="600" w:lineRule="exact"/>
        <w:rPr>
          <w:rFonts w:ascii="仿宋" w:hAnsi="仿宋" w:eastAsia="仿宋"/>
          <w:color w:val="auto"/>
          <w:sz w:val="32"/>
          <w:szCs w:val="32"/>
        </w:rPr>
      </w:pPr>
      <w:r>
        <w:rPr>
          <w:rFonts w:hint="eastAsia" w:ascii="仿宋" w:hAnsi="仿宋" w:eastAsia="仿宋"/>
          <w:color w:val="auto"/>
          <w:sz w:val="32"/>
          <w:szCs w:val="32"/>
        </w:rPr>
        <w:t>六、一般公共预算财政拨款基本支出决算明细表</w:t>
      </w:r>
    </w:p>
    <w:p>
      <w:pPr>
        <w:spacing w:line="600" w:lineRule="exact"/>
        <w:rPr>
          <w:rFonts w:ascii="仿宋" w:hAnsi="仿宋" w:eastAsia="仿宋"/>
          <w:color w:val="auto"/>
          <w:sz w:val="32"/>
          <w:szCs w:val="32"/>
        </w:rPr>
      </w:pPr>
      <w:r>
        <w:rPr>
          <w:rFonts w:hint="eastAsia" w:ascii="仿宋" w:hAnsi="仿宋" w:eastAsia="仿宋"/>
          <w:color w:val="auto"/>
          <w:sz w:val="32"/>
          <w:szCs w:val="32"/>
        </w:rPr>
        <w:t>七、一般公共预算财政拨款“三公”经费支出决算表</w:t>
      </w:r>
    </w:p>
    <w:p>
      <w:pPr>
        <w:spacing w:line="600" w:lineRule="exact"/>
        <w:rPr>
          <w:rFonts w:ascii="仿宋" w:hAnsi="仿宋" w:eastAsia="仿宋"/>
          <w:color w:val="auto"/>
          <w:sz w:val="32"/>
          <w:szCs w:val="32"/>
        </w:rPr>
      </w:pPr>
      <w:r>
        <w:rPr>
          <w:rFonts w:hint="eastAsia" w:ascii="仿宋" w:hAnsi="仿宋" w:eastAsia="仿宋"/>
          <w:color w:val="auto"/>
          <w:sz w:val="32"/>
          <w:szCs w:val="32"/>
        </w:rPr>
        <w:t>八、政府性基金预算财政拨款收入支出决算表</w:t>
      </w:r>
    </w:p>
    <w:p>
      <w:pPr>
        <w:spacing w:line="600" w:lineRule="exact"/>
        <w:rPr>
          <w:rFonts w:ascii="仿宋" w:hAnsi="仿宋" w:eastAsia="仿宋"/>
          <w:color w:val="auto"/>
          <w:sz w:val="32"/>
          <w:szCs w:val="32"/>
        </w:rPr>
      </w:pPr>
      <w:r>
        <w:rPr>
          <w:rFonts w:hint="eastAsia" w:ascii="仿宋" w:hAnsi="仿宋" w:eastAsia="仿宋"/>
          <w:color w:val="auto"/>
          <w:sz w:val="32"/>
          <w:szCs w:val="32"/>
        </w:rPr>
        <w:t>九、国有资本经营预算财政拨款支出决算表</w:t>
      </w:r>
    </w:p>
    <w:p>
      <w:pPr>
        <w:spacing w:line="600" w:lineRule="exact"/>
        <w:rPr>
          <w:rFonts w:ascii="黑体" w:hAnsi="黑体" w:eastAsia="黑体"/>
          <w:color w:val="auto"/>
          <w:sz w:val="32"/>
          <w:szCs w:val="32"/>
        </w:rPr>
      </w:pPr>
      <w:r>
        <w:rPr>
          <w:rFonts w:hint="eastAsia" w:ascii="黑体" w:hAnsi="黑体" w:eastAsia="黑体"/>
          <w:color w:val="auto"/>
          <w:sz w:val="32"/>
          <w:szCs w:val="32"/>
        </w:rPr>
        <w:t xml:space="preserve">第三部分 </w:t>
      </w:r>
      <w:r>
        <w:rPr>
          <w:rFonts w:ascii="黑体" w:hAnsi="黑体" w:eastAsia="黑体"/>
          <w:color w:val="auto"/>
          <w:sz w:val="32"/>
          <w:szCs w:val="32"/>
        </w:rPr>
        <w:t>2021年度部门决算情况说明</w:t>
      </w:r>
    </w:p>
    <w:p>
      <w:pPr>
        <w:spacing w:line="600" w:lineRule="exact"/>
        <w:rPr>
          <w:rFonts w:ascii="仿宋" w:hAnsi="仿宋" w:eastAsia="仿宋"/>
          <w:color w:val="auto"/>
          <w:sz w:val="32"/>
          <w:szCs w:val="32"/>
        </w:rPr>
      </w:pPr>
      <w:r>
        <w:rPr>
          <w:rFonts w:hint="eastAsia" w:ascii="仿宋" w:hAnsi="仿宋" w:eastAsia="仿宋"/>
          <w:color w:val="auto"/>
          <w:sz w:val="32"/>
          <w:szCs w:val="32"/>
        </w:rPr>
        <w:t>一、收入支出决算总体情况说明</w:t>
      </w:r>
    </w:p>
    <w:p>
      <w:pPr>
        <w:spacing w:line="600" w:lineRule="exact"/>
        <w:rPr>
          <w:rFonts w:ascii="仿宋" w:hAnsi="仿宋" w:eastAsia="仿宋"/>
          <w:color w:val="auto"/>
          <w:sz w:val="32"/>
          <w:szCs w:val="32"/>
        </w:rPr>
      </w:pPr>
      <w:r>
        <w:rPr>
          <w:rFonts w:hint="eastAsia" w:ascii="仿宋" w:hAnsi="仿宋" w:eastAsia="仿宋"/>
          <w:color w:val="auto"/>
          <w:sz w:val="32"/>
          <w:szCs w:val="32"/>
        </w:rPr>
        <w:t>二、收入决算情况说明</w:t>
      </w:r>
    </w:p>
    <w:p>
      <w:pPr>
        <w:spacing w:line="600" w:lineRule="exact"/>
        <w:rPr>
          <w:rFonts w:ascii="仿宋" w:hAnsi="仿宋" w:eastAsia="仿宋"/>
          <w:color w:val="auto"/>
          <w:sz w:val="32"/>
          <w:szCs w:val="32"/>
        </w:rPr>
      </w:pPr>
      <w:r>
        <w:rPr>
          <w:rFonts w:hint="eastAsia" w:ascii="仿宋" w:hAnsi="仿宋" w:eastAsia="仿宋"/>
          <w:color w:val="auto"/>
          <w:sz w:val="32"/>
          <w:szCs w:val="32"/>
        </w:rPr>
        <w:t>三、支出决算情况说明</w:t>
      </w:r>
    </w:p>
    <w:p>
      <w:pPr>
        <w:spacing w:line="600" w:lineRule="exact"/>
        <w:rPr>
          <w:rFonts w:ascii="仿宋" w:hAnsi="仿宋" w:eastAsia="仿宋"/>
          <w:color w:val="auto"/>
          <w:sz w:val="32"/>
          <w:szCs w:val="32"/>
        </w:rPr>
      </w:pPr>
      <w:r>
        <w:rPr>
          <w:rFonts w:hint="eastAsia" w:ascii="仿宋" w:hAnsi="仿宋" w:eastAsia="仿宋"/>
          <w:color w:val="auto"/>
          <w:sz w:val="32"/>
          <w:szCs w:val="32"/>
        </w:rPr>
        <w:t>四、财政拨款收入支出决算总体情况说明</w:t>
      </w:r>
    </w:p>
    <w:p>
      <w:pPr>
        <w:spacing w:line="600" w:lineRule="exact"/>
        <w:rPr>
          <w:rFonts w:ascii="仿宋" w:hAnsi="仿宋" w:eastAsia="仿宋"/>
          <w:color w:val="auto"/>
          <w:sz w:val="32"/>
          <w:szCs w:val="32"/>
        </w:rPr>
      </w:pPr>
      <w:r>
        <w:rPr>
          <w:rFonts w:hint="eastAsia" w:ascii="仿宋" w:hAnsi="仿宋" w:eastAsia="仿宋"/>
          <w:color w:val="auto"/>
          <w:sz w:val="32"/>
          <w:szCs w:val="32"/>
        </w:rPr>
        <w:t>五、一般公共预算财政拨款支出决算情况说明</w:t>
      </w:r>
    </w:p>
    <w:p>
      <w:pPr>
        <w:spacing w:line="600" w:lineRule="exact"/>
        <w:rPr>
          <w:rFonts w:ascii="仿宋" w:hAnsi="仿宋" w:eastAsia="仿宋"/>
          <w:color w:val="auto"/>
          <w:sz w:val="32"/>
          <w:szCs w:val="32"/>
        </w:rPr>
      </w:pPr>
      <w:r>
        <w:rPr>
          <w:rFonts w:hint="eastAsia" w:ascii="仿宋" w:hAnsi="仿宋" w:eastAsia="仿宋"/>
          <w:color w:val="auto"/>
          <w:sz w:val="32"/>
          <w:szCs w:val="32"/>
        </w:rPr>
        <w:t>六、一般公共预算财政拨款基本支出决算情况说明</w:t>
      </w:r>
    </w:p>
    <w:p>
      <w:pPr>
        <w:spacing w:line="600" w:lineRule="exact"/>
        <w:rPr>
          <w:rFonts w:ascii="仿宋" w:hAnsi="仿宋" w:eastAsia="仿宋"/>
          <w:color w:val="auto"/>
          <w:sz w:val="32"/>
          <w:szCs w:val="32"/>
        </w:rPr>
      </w:pPr>
      <w:r>
        <w:rPr>
          <w:rFonts w:hint="eastAsia" w:ascii="仿宋" w:hAnsi="仿宋" w:eastAsia="仿宋"/>
          <w:color w:val="auto"/>
          <w:sz w:val="32"/>
          <w:szCs w:val="32"/>
        </w:rPr>
        <w:t>七、一般公共预算财政拨款“三公”经费支出决算情况说明</w:t>
      </w:r>
    </w:p>
    <w:p>
      <w:pPr>
        <w:spacing w:line="600" w:lineRule="exact"/>
        <w:rPr>
          <w:rFonts w:ascii="仿宋" w:hAnsi="仿宋" w:eastAsia="仿宋"/>
          <w:color w:val="auto"/>
          <w:sz w:val="32"/>
          <w:szCs w:val="32"/>
        </w:rPr>
      </w:pPr>
      <w:r>
        <w:rPr>
          <w:rFonts w:hint="eastAsia" w:ascii="仿宋" w:hAnsi="仿宋" w:eastAsia="仿宋"/>
          <w:color w:val="auto"/>
          <w:sz w:val="32"/>
          <w:szCs w:val="32"/>
        </w:rPr>
        <w:t>八、政府性基金预算收入支出决算情况说明</w:t>
      </w:r>
    </w:p>
    <w:p>
      <w:pPr>
        <w:spacing w:line="600" w:lineRule="exact"/>
        <w:rPr>
          <w:rFonts w:ascii="仿宋" w:hAnsi="仿宋" w:eastAsia="仿宋"/>
          <w:color w:val="auto"/>
          <w:sz w:val="32"/>
          <w:szCs w:val="32"/>
        </w:rPr>
      </w:pPr>
      <w:r>
        <w:rPr>
          <w:rFonts w:hint="eastAsia" w:ascii="仿宋" w:hAnsi="仿宋" w:eastAsia="仿宋"/>
          <w:color w:val="auto"/>
          <w:sz w:val="32"/>
          <w:szCs w:val="32"/>
        </w:rPr>
        <w:t>九、国有资本经营预算财政拨款支出决算情况说明</w:t>
      </w:r>
    </w:p>
    <w:p>
      <w:pPr>
        <w:spacing w:line="600" w:lineRule="exact"/>
        <w:rPr>
          <w:rFonts w:ascii="仿宋" w:hAnsi="仿宋" w:eastAsia="仿宋"/>
          <w:color w:val="auto"/>
          <w:sz w:val="32"/>
          <w:szCs w:val="32"/>
        </w:rPr>
      </w:pPr>
      <w:r>
        <w:rPr>
          <w:rFonts w:hint="eastAsia" w:ascii="仿宋" w:hAnsi="仿宋" w:eastAsia="仿宋"/>
          <w:color w:val="auto"/>
          <w:sz w:val="32"/>
          <w:szCs w:val="32"/>
        </w:rPr>
        <w:t>十、关于机关运行经费支出说明</w:t>
      </w:r>
    </w:p>
    <w:p>
      <w:pPr>
        <w:spacing w:line="600" w:lineRule="exact"/>
        <w:rPr>
          <w:rFonts w:ascii="仿宋" w:hAnsi="仿宋" w:eastAsia="仿宋"/>
          <w:color w:val="auto"/>
          <w:sz w:val="32"/>
          <w:szCs w:val="32"/>
        </w:rPr>
      </w:pPr>
      <w:r>
        <w:rPr>
          <w:rFonts w:hint="eastAsia" w:ascii="仿宋" w:hAnsi="仿宋" w:eastAsia="仿宋"/>
          <w:color w:val="auto"/>
          <w:sz w:val="32"/>
          <w:szCs w:val="32"/>
        </w:rPr>
        <w:t>十一、一般性支出情况说明</w:t>
      </w:r>
    </w:p>
    <w:p>
      <w:pPr>
        <w:spacing w:line="600" w:lineRule="exact"/>
        <w:rPr>
          <w:rFonts w:ascii="仿宋" w:hAnsi="仿宋" w:eastAsia="仿宋"/>
          <w:color w:val="auto"/>
          <w:sz w:val="32"/>
          <w:szCs w:val="32"/>
        </w:rPr>
      </w:pPr>
      <w:r>
        <w:rPr>
          <w:rFonts w:hint="eastAsia" w:ascii="仿宋" w:hAnsi="仿宋" w:eastAsia="仿宋"/>
          <w:color w:val="auto"/>
          <w:sz w:val="32"/>
          <w:szCs w:val="32"/>
        </w:rPr>
        <w:t>十二、关于政府采购支出说明</w:t>
      </w:r>
    </w:p>
    <w:p>
      <w:pPr>
        <w:spacing w:line="600" w:lineRule="exact"/>
        <w:rPr>
          <w:rFonts w:ascii="仿宋" w:hAnsi="仿宋" w:eastAsia="仿宋"/>
          <w:color w:val="auto"/>
          <w:sz w:val="32"/>
          <w:szCs w:val="32"/>
        </w:rPr>
      </w:pPr>
      <w:r>
        <w:rPr>
          <w:rFonts w:hint="eastAsia" w:ascii="仿宋" w:hAnsi="仿宋" w:eastAsia="仿宋"/>
          <w:color w:val="auto"/>
          <w:sz w:val="32"/>
          <w:szCs w:val="32"/>
        </w:rPr>
        <w:t>十三、关于国有资产占用情况说明</w:t>
      </w:r>
    </w:p>
    <w:p>
      <w:pPr>
        <w:spacing w:line="600" w:lineRule="exact"/>
        <w:rPr>
          <w:rFonts w:ascii="仿宋" w:hAnsi="仿宋" w:eastAsia="仿宋"/>
          <w:color w:val="auto"/>
          <w:sz w:val="32"/>
          <w:szCs w:val="32"/>
        </w:rPr>
      </w:pPr>
      <w:r>
        <w:rPr>
          <w:rFonts w:hint="eastAsia" w:ascii="仿宋" w:hAnsi="仿宋" w:eastAsia="仿宋"/>
          <w:color w:val="auto"/>
          <w:sz w:val="32"/>
          <w:szCs w:val="32"/>
        </w:rPr>
        <w:t>十四、关于</w:t>
      </w:r>
      <w:r>
        <w:rPr>
          <w:rFonts w:ascii="仿宋" w:hAnsi="仿宋" w:eastAsia="仿宋"/>
          <w:color w:val="auto"/>
          <w:sz w:val="32"/>
          <w:szCs w:val="32"/>
        </w:rPr>
        <w:t>2021年度预算绩效情况的说明</w:t>
      </w:r>
    </w:p>
    <w:p>
      <w:pPr>
        <w:spacing w:line="600" w:lineRule="exact"/>
        <w:rPr>
          <w:rFonts w:ascii="黑体" w:hAnsi="黑体" w:eastAsia="黑体"/>
          <w:b/>
          <w:bCs/>
          <w:color w:val="auto"/>
          <w:sz w:val="32"/>
          <w:szCs w:val="32"/>
        </w:rPr>
      </w:pPr>
      <w:r>
        <w:rPr>
          <w:rFonts w:hint="eastAsia" w:ascii="黑体" w:hAnsi="黑体" w:eastAsia="黑体"/>
          <w:b/>
          <w:bCs/>
          <w:color w:val="auto"/>
          <w:sz w:val="32"/>
          <w:szCs w:val="32"/>
        </w:rPr>
        <w:t>第四部分 名词解释</w:t>
      </w:r>
    </w:p>
    <w:p>
      <w:pPr>
        <w:spacing w:line="600" w:lineRule="exact"/>
        <w:rPr>
          <w:rFonts w:ascii="黑体" w:hAnsi="黑体" w:eastAsia="黑体"/>
          <w:b/>
          <w:bCs/>
          <w:color w:val="auto"/>
          <w:sz w:val="32"/>
          <w:szCs w:val="32"/>
        </w:rPr>
      </w:pPr>
      <w:r>
        <w:rPr>
          <w:rFonts w:hint="eastAsia" w:ascii="黑体" w:hAnsi="黑体" w:eastAsia="黑体"/>
          <w:b/>
          <w:bCs/>
          <w:color w:val="auto"/>
          <w:sz w:val="32"/>
          <w:szCs w:val="32"/>
        </w:rPr>
        <w:t>第五部分 附件</w:t>
      </w:r>
    </w:p>
    <w:p>
      <w:pPr>
        <w:spacing w:line="600" w:lineRule="exact"/>
        <w:ind w:firstLine="640" w:firstLineChars="200"/>
        <w:rPr>
          <w:rFonts w:ascii="仿宋" w:hAnsi="仿宋" w:eastAsia="仿宋"/>
          <w:color w:val="auto"/>
          <w:sz w:val="32"/>
          <w:szCs w:val="32"/>
        </w:rPr>
      </w:pPr>
    </w:p>
    <w:p>
      <w:pPr>
        <w:spacing w:line="600" w:lineRule="exact"/>
        <w:ind w:firstLine="883" w:firstLineChars="200"/>
        <w:jc w:val="center"/>
        <w:rPr>
          <w:rFonts w:ascii="黑体" w:hAnsi="黑体" w:eastAsia="黑体"/>
          <w:b/>
          <w:bCs/>
          <w:color w:val="auto"/>
          <w:sz w:val="44"/>
          <w:szCs w:val="44"/>
        </w:rPr>
      </w:pPr>
      <w:r>
        <w:rPr>
          <w:rFonts w:hint="eastAsia" w:ascii="黑体" w:hAnsi="黑体" w:eastAsia="黑体"/>
          <w:b/>
          <w:bCs/>
          <w:color w:val="auto"/>
          <w:sz w:val="44"/>
          <w:szCs w:val="44"/>
        </w:rPr>
        <w:t xml:space="preserve">第一部分 </w:t>
      </w:r>
      <w:r>
        <w:rPr>
          <w:rFonts w:ascii="黑体" w:hAnsi="黑体" w:eastAsia="黑体"/>
          <w:b/>
          <w:bCs/>
          <w:color w:val="auto"/>
          <w:sz w:val="44"/>
          <w:szCs w:val="44"/>
        </w:rPr>
        <w:t>怀化市殡葬事务中心概况</w:t>
      </w:r>
    </w:p>
    <w:p>
      <w:pPr>
        <w:spacing w:line="600" w:lineRule="exact"/>
        <w:ind w:firstLine="640" w:firstLineChars="200"/>
        <w:rPr>
          <w:rFonts w:ascii="仿宋" w:hAnsi="仿宋" w:eastAsia="仿宋"/>
          <w:color w:val="auto"/>
          <w:sz w:val="32"/>
          <w:szCs w:val="32"/>
        </w:rPr>
      </w:pP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w:t>
      </w:r>
      <w:r>
        <w:rPr>
          <w:rFonts w:ascii="黑体" w:hAnsi="黑体" w:eastAsia="黑体"/>
          <w:color w:val="auto"/>
          <w:sz w:val="32"/>
          <w:szCs w:val="32"/>
        </w:rPr>
        <w:tab/>
      </w:r>
      <w:r>
        <w:rPr>
          <w:rFonts w:ascii="黑体" w:hAnsi="黑体" w:eastAsia="黑体"/>
          <w:color w:val="auto"/>
          <w:sz w:val="32"/>
          <w:szCs w:val="32"/>
        </w:rPr>
        <w:t>部门职责</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（一）负责提供遗体接运、存放、整容、防腐、治丧、告别、火化等系列殡仪服务工作。</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（二）负责公墓运营维护，提供墓地安葬、骨灰寄存等服务工作。</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（三）负责承办城区无名遗体、刑事犯罪及意外事故遗体处理工作。</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（四）负责特殊人群殡葬费用减、免、补等事务性工作。</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（五）负责惠民殡葬政策的相关落实工作。</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（六）配合做好殡葬改革、移风易俗的宣传、落实等工作。</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（七）承担市民政局交办的其他工作。</w:t>
      </w:r>
    </w:p>
    <w:p>
      <w:pPr>
        <w:spacing w:line="600" w:lineRule="exact"/>
        <w:ind w:firstLine="643" w:firstLineChars="200"/>
        <w:rPr>
          <w:rFonts w:ascii="黑体" w:hAnsi="黑体" w:eastAsia="黑体"/>
          <w:b/>
          <w:bCs/>
          <w:color w:val="auto"/>
          <w:sz w:val="32"/>
          <w:szCs w:val="32"/>
        </w:rPr>
      </w:pPr>
      <w:r>
        <w:rPr>
          <w:rFonts w:hint="eastAsia" w:ascii="黑体" w:hAnsi="黑体" w:eastAsia="黑体"/>
          <w:b/>
          <w:bCs/>
          <w:color w:val="auto"/>
          <w:sz w:val="32"/>
          <w:szCs w:val="32"/>
        </w:rPr>
        <w:t>二、机构设置及决算单位构成</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（一）内设机构设置。怀化市殡葬事务中心单位内设机构包括：办公室、殡仪服务部、安全保障部、财务部、公墓服务部</w:t>
      </w:r>
      <w:r>
        <w:rPr>
          <w:rFonts w:ascii="仿宋" w:hAnsi="仿宋" w:eastAsia="仿宋"/>
          <w:color w:val="auto"/>
          <w:sz w:val="32"/>
          <w:szCs w:val="32"/>
        </w:rPr>
        <w:t>5个副科级内设机构，本单位为二级部门预算单位。</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（二）决算单位构成。怀化市殡葬事务中心</w:t>
      </w:r>
      <w:r>
        <w:rPr>
          <w:rFonts w:ascii="仿宋" w:hAnsi="仿宋" w:eastAsia="仿宋"/>
          <w:color w:val="auto"/>
          <w:sz w:val="32"/>
          <w:szCs w:val="32"/>
        </w:rPr>
        <w:t>2021年部门决算汇总公开单位构成包括：怀化市殡葬事务中心本级。</w:t>
      </w:r>
    </w:p>
    <w:p>
      <w:pPr>
        <w:spacing w:line="600" w:lineRule="exact"/>
        <w:ind w:firstLine="640" w:firstLineChars="200"/>
        <w:rPr>
          <w:rFonts w:ascii="仿宋" w:hAnsi="仿宋" w:eastAsia="仿宋"/>
          <w:color w:val="auto"/>
          <w:sz w:val="32"/>
          <w:szCs w:val="32"/>
        </w:rPr>
      </w:pPr>
    </w:p>
    <w:p>
      <w:pPr>
        <w:spacing w:line="600" w:lineRule="exact"/>
        <w:ind w:firstLine="883" w:firstLineChars="200"/>
        <w:jc w:val="center"/>
        <w:rPr>
          <w:rFonts w:ascii="黑体" w:hAnsi="黑体" w:eastAsia="黑体"/>
          <w:b/>
          <w:bCs/>
          <w:color w:val="auto"/>
          <w:sz w:val="44"/>
          <w:szCs w:val="44"/>
        </w:rPr>
      </w:pPr>
      <w:r>
        <w:rPr>
          <w:rFonts w:hint="eastAsia" w:ascii="黑体" w:hAnsi="黑体" w:eastAsia="黑体"/>
          <w:b/>
          <w:bCs/>
          <w:color w:val="auto"/>
          <w:sz w:val="44"/>
          <w:szCs w:val="44"/>
        </w:rPr>
        <w:t xml:space="preserve">第二部分 </w:t>
      </w:r>
      <w:r>
        <w:rPr>
          <w:rFonts w:ascii="黑体" w:hAnsi="黑体" w:eastAsia="黑体"/>
          <w:b/>
          <w:bCs/>
          <w:color w:val="auto"/>
          <w:sz w:val="44"/>
          <w:szCs w:val="44"/>
        </w:rPr>
        <w:t>部门决算表</w:t>
      </w:r>
    </w:p>
    <w:p>
      <w:pPr>
        <w:spacing w:line="600" w:lineRule="exact"/>
        <w:ind w:firstLine="640" w:firstLineChars="200"/>
        <w:jc w:val="center"/>
        <w:rPr>
          <w:rFonts w:ascii="仿宋" w:hAnsi="仿宋" w:eastAsia="仿宋"/>
          <w:color w:val="auto"/>
          <w:sz w:val="32"/>
          <w:szCs w:val="32"/>
        </w:rPr>
      </w:pPr>
      <w:r>
        <w:rPr>
          <w:rFonts w:hint="eastAsia" w:ascii="仿宋" w:hAnsi="仿宋" w:eastAsia="仿宋"/>
          <w:color w:val="auto"/>
          <w:sz w:val="32"/>
          <w:szCs w:val="32"/>
        </w:rPr>
        <w:t>（公开表附后）</w:t>
      </w:r>
    </w:p>
    <w:p>
      <w:pPr>
        <w:spacing w:line="600" w:lineRule="exact"/>
        <w:ind w:firstLine="640" w:firstLineChars="200"/>
        <w:jc w:val="center"/>
        <w:rPr>
          <w:rFonts w:ascii="仿宋" w:hAnsi="仿宋" w:eastAsia="仿宋"/>
          <w:color w:val="auto"/>
          <w:sz w:val="32"/>
          <w:szCs w:val="32"/>
        </w:rPr>
      </w:pPr>
    </w:p>
    <w:p>
      <w:pPr>
        <w:spacing w:line="600" w:lineRule="exact"/>
        <w:ind w:firstLine="883" w:firstLineChars="200"/>
        <w:jc w:val="center"/>
        <w:rPr>
          <w:rFonts w:ascii="黑体" w:hAnsi="黑体" w:eastAsia="黑体"/>
          <w:b/>
          <w:bCs/>
          <w:color w:val="auto"/>
          <w:sz w:val="44"/>
          <w:szCs w:val="44"/>
        </w:rPr>
      </w:pPr>
      <w:r>
        <w:rPr>
          <w:rFonts w:hint="eastAsia" w:ascii="黑体" w:hAnsi="黑体" w:eastAsia="黑体"/>
          <w:b/>
          <w:bCs/>
          <w:color w:val="auto"/>
          <w:sz w:val="44"/>
          <w:szCs w:val="44"/>
        </w:rPr>
        <w:t xml:space="preserve">第三部分 </w:t>
      </w:r>
      <w:r>
        <w:rPr>
          <w:rFonts w:ascii="黑体" w:hAnsi="黑体" w:eastAsia="黑体"/>
          <w:b/>
          <w:bCs/>
          <w:color w:val="auto"/>
          <w:sz w:val="44"/>
          <w:szCs w:val="44"/>
        </w:rPr>
        <w:t>2021年度部门决算情况说明</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一、收入支出决算总体情况说明</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2021年度收、支总计</w:t>
      </w:r>
      <w:r>
        <w:rPr>
          <w:rFonts w:hint="eastAsia" w:ascii="仿宋" w:hAnsi="仿宋" w:eastAsia="仿宋"/>
          <w:color w:val="auto"/>
          <w:sz w:val="32"/>
          <w:szCs w:val="32"/>
        </w:rPr>
        <w:t>各</w:t>
      </w:r>
      <w:r>
        <w:rPr>
          <w:rFonts w:hint="eastAsia" w:ascii="仿宋" w:hAnsi="仿宋" w:eastAsia="仿宋"/>
          <w:color w:val="auto"/>
          <w:sz w:val="32"/>
          <w:szCs w:val="32"/>
          <w:lang w:val="en-US" w:eastAsia="zh-CN"/>
        </w:rPr>
        <w:t>1944.39</w:t>
      </w:r>
      <w:r>
        <w:rPr>
          <w:rFonts w:ascii="仿宋" w:hAnsi="仿宋" w:eastAsia="仿宋"/>
          <w:color w:val="auto"/>
          <w:sz w:val="32"/>
          <w:szCs w:val="32"/>
        </w:rPr>
        <w:t>万元。与上年相比，减少</w:t>
      </w:r>
      <w:r>
        <w:rPr>
          <w:rFonts w:hint="eastAsia" w:ascii="仿宋" w:hAnsi="仿宋" w:eastAsia="仿宋"/>
          <w:color w:val="auto"/>
          <w:sz w:val="32"/>
          <w:szCs w:val="32"/>
          <w:lang w:val="en-US" w:eastAsia="zh-CN"/>
        </w:rPr>
        <w:t>242.3</w:t>
      </w:r>
      <w:r>
        <w:rPr>
          <w:rFonts w:ascii="仿宋" w:hAnsi="仿宋" w:eastAsia="仿宋"/>
          <w:color w:val="auto"/>
          <w:sz w:val="32"/>
          <w:szCs w:val="32"/>
        </w:rPr>
        <w:t>万元，减少</w:t>
      </w:r>
      <w:r>
        <w:rPr>
          <w:rFonts w:hint="eastAsia" w:ascii="仿宋" w:hAnsi="仿宋" w:eastAsia="仿宋"/>
          <w:color w:val="auto"/>
          <w:sz w:val="32"/>
          <w:szCs w:val="32"/>
          <w:lang w:val="en-US" w:eastAsia="zh-CN"/>
        </w:rPr>
        <w:t>11.08</w:t>
      </w:r>
      <w:r>
        <w:rPr>
          <w:rFonts w:ascii="仿宋" w:hAnsi="仿宋" w:eastAsia="仿宋"/>
          <w:color w:val="auto"/>
          <w:sz w:val="32"/>
          <w:szCs w:val="32"/>
        </w:rPr>
        <w:t>%，主要是因为继续压减一般性支出，对非刚性支出、非重点项目支出和低效无效支出一律大幅压减。</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二、收入决算情况说明</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2021年度收入合计1337.64万元，其中：财政拨款收入568.24万元，占42.48%；上级补助收入0万元，占0%；事业收入769.4万元，占57.52%；经营收入0万元，占0%；附属单位上缴收入0万元，占0%；其他收入0万元，占0%。</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三、支出决算情况说明</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2021年度支出合计1944.39万元，其中：基本支出1823.14万元，占93.76%；项目支出121.25万元，占6.24%；上缴上级支出0万元，占0%；经营支出0万元，占0%；对附属单位补助支出0万元，占0%。</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四、财政拨款收入支出决算总体情况说明</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2021年度财政拨款收、支总计</w:t>
      </w:r>
      <w:r>
        <w:rPr>
          <w:rFonts w:hint="eastAsia" w:ascii="仿宋" w:hAnsi="仿宋" w:eastAsia="仿宋"/>
          <w:color w:val="auto"/>
          <w:sz w:val="32"/>
          <w:szCs w:val="32"/>
        </w:rPr>
        <w:t>各</w:t>
      </w:r>
      <w:r>
        <w:rPr>
          <w:rFonts w:hint="eastAsia" w:ascii="仿宋" w:hAnsi="仿宋" w:eastAsia="仿宋"/>
          <w:color w:val="auto"/>
          <w:sz w:val="32"/>
          <w:szCs w:val="32"/>
          <w:lang w:val="en-US" w:eastAsia="zh-CN"/>
        </w:rPr>
        <w:t>568.24</w:t>
      </w:r>
      <w:r>
        <w:rPr>
          <w:rFonts w:ascii="仿宋" w:hAnsi="仿宋" w:eastAsia="仿宋"/>
          <w:color w:val="auto"/>
          <w:sz w:val="32"/>
          <w:szCs w:val="32"/>
        </w:rPr>
        <w:t>万元，与上年相比，减少</w:t>
      </w:r>
      <w:r>
        <w:rPr>
          <w:rFonts w:hint="eastAsia" w:ascii="仿宋" w:hAnsi="仿宋" w:eastAsia="仿宋"/>
          <w:color w:val="auto"/>
          <w:sz w:val="32"/>
          <w:szCs w:val="32"/>
          <w:lang w:val="en-US" w:eastAsia="zh-CN"/>
        </w:rPr>
        <w:t>96.8</w:t>
      </w:r>
      <w:r>
        <w:rPr>
          <w:rFonts w:ascii="仿宋" w:hAnsi="仿宋" w:eastAsia="仿宋"/>
          <w:color w:val="auto"/>
          <w:sz w:val="32"/>
          <w:szCs w:val="32"/>
        </w:rPr>
        <w:t>万元,减少14.55%，主要是因为今年公共财政预算非税收入拨款减少，非税收入非税专户收入增加。</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五、一般公共预算财政拨款支出决算情况说明</w:t>
      </w:r>
    </w:p>
    <w:p>
      <w:pPr>
        <w:spacing w:line="600" w:lineRule="exact"/>
        <w:ind w:firstLine="643" w:firstLineChars="200"/>
        <w:rPr>
          <w:rFonts w:ascii="仿宋" w:hAnsi="仿宋" w:eastAsia="仿宋"/>
          <w:b/>
          <w:bCs/>
          <w:color w:val="auto"/>
          <w:sz w:val="32"/>
          <w:szCs w:val="32"/>
        </w:rPr>
      </w:pPr>
      <w:r>
        <w:rPr>
          <w:rFonts w:hint="eastAsia" w:ascii="仿宋" w:hAnsi="仿宋" w:eastAsia="仿宋"/>
          <w:b/>
          <w:bCs/>
          <w:color w:val="auto"/>
          <w:sz w:val="32"/>
          <w:szCs w:val="32"/>
        </w:rPr>
        <w:t>（一）财政拨款支出决算总体情况</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2021年度财政拨款支出568.24万元，占本年支出合计的29.22%，与上年相比，财政拨款支出减少106.51万元，减少15.78%，主要是因为本年公共财政预算非税收入拨款减少，导致支出减少。</w:t>
      </w:r>
    </w:p>
    <w:p>
      <w:pPr>
        <w:spacing w:line="600" w:lineRule="exact"/>
        <w:ind w:firstLine="643" w:firstLineChars="200"/>
        <w:rPr>
          <w:rFonts w:ascii="仿宋" w:hAnsi="仿宋" w:eastAsia="仿宋"/>
          <w:b/>
          <w:bCs/>
          <w:color w:val="auto"/>
          <w:sz w:val="32"/>
          <w:szCs w:val="32"/>
        </w:rPr>
      </w:pPr>
      <w:r>
        <w:rPr>
          <w:rFonts w:hint="eastAsia" w:ascii="仿宋" w:hAnsi="仿宋" w:eastAsia="仿宋"/>
          <w:b/>
          <w:bCs/>
          <w:color w:val="auto"/>
          <w:sz w:val="32"/>
          <w:szCs w:val="32"/>
        </w:rPr>
        <w:t>（二）财政拨款支出决算结构情况</w:t>
      </w:r>
    </w:p>
    <w:p>
      <w:pPr>
        <w:spacing w:line="600" w:lineRule="exact"/>
        <w:ind w:firstLine="640" w:firstLineChars="200"/>
        <w:rPr>
          <w:rFonts w:hint="eastAsia" w:ascii="仿宋" w:hAnsi="仿宋" w:eastAsia="仿宋"/>
          <w:color w:val="auto"/>
          <w:sz w:val="32"/>
          <w:szCs w:val="32"/>
          <w:lang w:eastAsia="zh-CN"/>
        </w:rPr>
      </w:pPr>
      <w:r>
        <w:rPr>
          <w:rFonts w:ascii="仿宋" w:hAnsi="仿宋" w:eastAsia="仿宋"/>
          <w:color w:val="auto"/>
          <w:sz w:val="32"/>
          <w:szCs w:val="32"/>
        </w:rPr>
        <w:t>2021年度财政拨款支出568.24万元，主要用于以下方面：社会保障和就业</w:t>
      </w:r>
      <w:r>
        <w:rPr>
          <w:rFonts w:hint="eastAsia" w:ascii="仿宋" w:hAnsi="仿宋" w:eastAsia="仿宋"/>
          <w:color w:val="auto"/>
          <w:sz w:val="32"/>
          <w:szCs w:val="32"/>
          <w:lang w:val="en-US" w:eastAsia="zh-CN"/>
        </w:rPr>
        <w:t>支出</w:t>
      </w:r>
      <w:r>
        <w:rPr>
          <w:rFonts w:ascii="仿宋" w:hAnsi="仿宋" w:eastAsia="仿宋"/>
          <w:color w:val="auto"/>
          <w:sz w:val="32"/>
          <w:szCs w:val="32"/>
        </w:rPr>
        <w:t>（类）支出568.24万元，占</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lang w:eastAsia="zh-CN"/>
        </w:rPr>
        <w:t>。</w:t>
      </w:r>
    </w:p>
    <w:p>
      <w:pPr>
        <w:spacing w:line="600" w:lineRule="exact"/>
        <w:ind w:firstLine="643" w:firstLineChars="200"/>
        <w:rPr>
          <w:rFonts w:ascii="仿宋" w:hAnsi="仿宋" w:eastAsia="仿宋"/>
          <w:b/>
          <w:bCs/>
          <w:color w:val="auto"/>
          <w:sz w:val="32"/>
          <w:szCs w:val="32"/>
        </w:rPr>
      </w:pPr>
      <w:r>
        <w:rPr>
          <w:rFonts w:hint="eastAsia" w:ascii="仿宋" w:hAnsi="仿宋" w:eastAsia="仿宋"/>
          <w:b/>
          <w:bCs/>
          <w:color w:val="auto"/>
          <w:sz w:val="32"/>
          <w:szCs w:val="32"/>
        </w:rPr>
        <w:t>（三）财政拨款支出决算具体情况</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2021年度财政拨款支出年初预算数为853.5万元，支出决算数为568.24万元，完成年初预算的66.57%，其中：</w:t>
      </w:r>
    </w:p>
    <w:p>
      <w:pPr>
        <w:spacing w:line="600" w:lineRule="exact"/>
        <w:ind w:firstLine="643" w:firstLineChars="200"/>
        <w:rPr>
          <w:rFonts w:ascii="仿宋" w:hAnsi="仿宋" w:eastAsia="仿宋"/>
          <w:b/>
          <w:bCs/>
          <w:color w:val="auto"/>
          <w:sz w:val="32"/>
          <w:szCs w:val="32"/>
        </w:rPr>
      </w:pPr>
      <w:r>
        <w:rPr>
          <w:rFonts w:ascii="仿宋" w:hAnsi="仿宋" w:eastAsia="仿宋"/>
          <w:b/>
          <w:bCs/>
          <w:color w:val="auto"/>
          <w:sz w:val="32"/>
          <w:szCs w:val="32"/>
        </w:rPr>
        <w:t>1、社会保障和就业支出（类）社会福利（款）殡葬（项）。</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年初预算为</w:t>
      </w:r>
      <w:r>
        <w:rPr>
          <w:rFonts w:ascii="仿宋" w:hAnsi="仿宋" w:eastAsia="仿宋"/>
          <w:color w:val="auto"/>
          <w:sz w:val="32"/>
          <w:szCs w:val="32"/>
        </w:rPr>
        <w:t>752.08万元，支出决算为377.51万元，完成年初预算的50.19%，决算数小于年初预算数的主要原因是：本年公共财政预算非税收入减少，导致财政拨款支出减少。</w:t>
      </w:r>
    </w:p>
    <w:p>
      <w:pPr>
        <w:spacing w:line="600" w:lineRule="exact"/>
        <w:ind w:firstLine="643" w:firstLineChars="200"/>
        <w:rPr>
          <w:rFonts w:ascii="仿宋" w:hAnsi="仿宋" w:eastAsia="仿宋"/>
          <w:b/>
          <w:bCs/>
          <w:color w:val="auto"/>
          <w:sz w:val="32"/>
          <w:szCs w:val="32"/>
        </w:rPr>
      </w:pPr>
      <w:r>
        <w:rPr>
          <w:rFonts w:ascii="仿宋" w:hAnsi="仿宋" w:eastAsia="仿宋"/>
          <w:b/>
          <w:bCs/>
          <w:color w:val="auto"/>
          <w:sz w:val="32"/>
          <w:szCs w:val="32"/>
        </w:rPr>
        <w:t>2、社会保障和就业支出（类）社会福利（款）社会福利事业单位（项）。</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年初预算为</w:t>
      </w:r>
      <w:r>
        <w:rPr>
          <w:rFonts w:ascii="仿宋" w:hAnsi="仿宋" w:eastAsia="仿宋"/>
          <w:color w:val="auto"/>
          <w:sz w:val="32"/>
          <w:szCs w:val="32"/>
        </w:rPr>
        <w:t>101.42万元，支出决算为172.55万元，完成年初预算的170.13%，决算数大于年初预算数的主要原因是：年初预算安排未考虑周到，导致少报、漏报预算。</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六、一般公共预算财政拨款基本支出决算情况说明</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2021年度财政拨款基本支出</w:t>
      </w:r>
      <w:r>
        <w:rPr>
          <w:rFonts w:hint="eastAsia" w:ascii="仿宋" w:hAnsi="仿宋" w:eastAsia="仿宋"/>
          <w:color w:val="auto"/>
          <w:sz w:val="32"/>
          <w:szCs w:val="32"/>
          <w:lang w:val="en-US" w:eastAsia="zh-CN"/>
        </w:rPr>
        <w:t>550.07</w:t>
      </w:r>
      <w:r>
        <w:rPr>
          <w:rFonts w:ascii="仿宋" w:hAnsi="仿宋" w:eastAsia="仿宋"/>
          <w:color w:val="auto"/>
          <w:sz w:val="32"/>
          <w:szCs w:val="32"/>
        </w:rPr>
        <w:t>万元，其中：人员经费</w:t>
      </w:r>
      <w:r>
        <w:rPr>
          <w:rFonts w:hint="eastAsia" w:ascii="仿宋" w:hAnsi="仿宋" w:eastAsia="仿宋"/>
          <w:color w:val="auto"/>
          <w:sz w:val="32"/>
          <w:szCs w:val="32"/>
          <w:lang w:val="en-US" w:eastAsia="zh-CN"/>
        </w:rPr>
        <w:t>490.75</w:t>
      </w:r>
      <w:r>
        <w:rPr>
          <w:rFonts w:ascii="仿宋" w:hAnsi="仿宋" w:eastAsia="仿宋"/>
          <w:color w:val="auto"/>
          <w:sz w:val="32"/>
          <w:szCs w:val="32"/>
        </w:rPr>
        <w:t>万元，占基本支出的8</w:t>
      </w:r>
      <w:r>
        <w:rPr>
          <w:rFonts w:hint="eastAsia" w:ascii="仿宋" w:hAnsi="仿宋" w:eastAsia="仿宋"/>
          <w:color w:val="auto"/>
          <w:sz w:val="32"/>
          <w:szCs w:val="32"/>
          <w:lang w:val="en-US" w:eastAsia="zh-CN"/>
        </w:rPr>
        <w:t>9.22</w:t>
      </w:r>
      <w:r>
        <w:rPr>
          <w:rFonts w:ascii="仿宋" w:hAnsi="仿宋" w:eastAsia="仿宋"/>
          <w:color w:val="auto"/>
          <w:sz w:val="32"/>
          <w:szCs w:val="32"/>
        </w:rPr>
        <w:t>%,主要包括基本工资、津贴补贴、奖金、医保缴费、养老保险缴费、住房公积金、退休人员费用等；公用经费</w:t>
      </w:r>
      <w:r>
        <w:rPr>
          <w:rFonts w:hint="eastAsia" w:ascii="仿宋" w:hAnsi="仿宋" w:eastAsia="仿宋"/>
          <w:color w:val="auto"/>
          <w:sz w:val="32"/>
          <w:szCs w:val="32"/>
          <w:lang w:val="en-US" w:eastAsia="zh-CN"/>
        </w:rPr>
        <w:t>59.32</w:t>
      </w:r>
      <w:r>
        <w:rPr>
          <w:rFonts w:ascii="仿宋" w:hAnsi="仿宋" w:eastAsia="仿宋"/>
          <w:color w:val="auto"/>
          <w:sz w:val="32"/>
          <w:szCs w:val="32"/>
        </w:rPr>
        <w:t>万元，占基本支出的</w:t>
      </w:r>
      <w:r>
        <w:rPr>
          <w:rFonts w:hint="eastAsia" w:ascii="仿宋" w:hAnsi="仿宋" w:eastAsia="仿宋"/>
          <w:color w:val="auto"/>
          <w:sz w:val="32"/>
          <w:szCs w:val="32"/>
          <w:lang w:val="en-US" w:eastAsia="zh-CN"/>
        </w:rPr>
        <w:t>10.78</w:t>
      </w:r>
      <w:r>
        <w:rPr>
          <w:rFonts w:ascii="仿宋" w:hAnsi="仿宋" w:eastAsia="仿宋"/>
          <w:color w:val="auto"/>
          <w:sz w:val="32"/>
          <w:szCs w:val="32"/>
        </w:rPr>
        <w:t>%，主要包括办公费、印刷费、咨询费、电费、水费、邮电费、物业管理费、差旅费、维修（护）费、培训费、专用材料费、工会经费、公务用车运行维护费、其他交通费用、其他商品和服务支出等。</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七、一般公共预算财政拨款“三公”经费支出决算情况说明</w:t>
      </w:r>
    </w:p>
    <w:p>
      <w:pPr>
        <w:spacing w:line="600" w:lineRule="exact"/>
        <w:ind w:firstLine="643" w:firstLineChars="200"/>
        <w:rPr>
          <w:rFonts w:ascii="仿宋" w:hAnsi="仿宋" w:eastAsia="仿宋"/>
          <w:b/>
          <w:bCs/>
          <w:color w:val="auto"/>
          <w:sz w:val="32"/>
          <w:szCs w:val="32"/>
        </w:rPr>
      </w:pPr>
      <w:r>
        <w:rPr>
          <w:rFonts w:hint="eastAsia" w:ascii="仿宋" w:hAnsi="仿宋" w:eastAsia="仿宋"/>
          <w:b/>
          <w:bCs/>
          <w:color w:val="auto"/>
          <w:sz w:val="32"/>
          <w:szCs w:val="32"/>
        </w:rPr>
        <w:t>（一）“三公”经费财政拨款支出决算总体情况说明</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2021年度“三公”经费财政拨款支出预算为7.56万元，支出决算为24.51万元，完成预算的324.2%，其中：</w:t>
      </w:r>
    </w:p>
    <w:p>
      <w:pPr>
        <w:numPr>
          <w:ilvl w:val="0"/>
          <w:numId w:val="1"/>
        </w:num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因公出国（境）费支出预算为0万元，支出决算为0万元，决算数与年初预算数持平，主要原因按预算执行，与上年数持平，主要原因是未安排因公出国（境）。</w:t>
      </w:r>
    </w:p>
    <w:p>
      <w:pPr>
        <w:numPr>
          <w:ilvl w:val="0"/>
          <w:numId w:val="0"/>
        </w:num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2、公务接待费支出预算为</w:t>
      </w:r>
      <w:r>
        <w:rPr>
          <w:rFonts w:ascii="仿宋" w:hAnsi="仿宋" w:eastAsia="仿宋"/>
          <w:color w:val="auto"/>
          <w:sz w:val="32"/>
          <w:szCs w:val="32"/>
        </w:rPr>
        <w:t>1.26万元，支出决算为0.05万元，完成预算的3.96%，决算数小于预算数的主要原因是过“紧日子”，厉行节约，从严从紧安排公务接待费支持。与上年相比增加0.05万元，增长的主要原因是上年度无公务接待费。</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3、公务用车购置费支出预算为</w:t>
      </w:r>
      <w:r>
        <w:rPr>
          <w:rFonts w:ascii="仿宋" w:hAnsi="仿宋" w:eastAsia="仿宋"/>
          <w:color w:val="auto"/>
          <w:sz w:val="32"/>
          <w:szCs w:val="32"/>
        </w:rPr>
        <w:t>0万元，支出决算为18.16万元，决算数大于预算数的主要原因是新购1辆遗体接运车，与上年相比增加18.16万元，增长100%,增长的主要原因是上年未购置任何公务车辆。</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4</w:t>
      </w:r>
      <w:r>
        <w:rPr>
          <w:rFonts w:hint="eastAsia" w:ascii="仿宋" w:hAnsi="仿宋" w:eastAsia="仿宋"/>
          <w:color w:val="auto"/>
          <w:sz w:val="32"/>
          <w:szCs w:val="32"/>
        </w:rPr>
        <w:t>、公务用车运行维护费支出预算为</w:t>
      </w:r>
      <w:r>
        <w:rPr>
          <w:rFonts w:ascii="仿宋" w:hAnsi="仿宋" w:eastAsia="仿宋"/>
          <w:color w:val="auto"/>
          <w:sz w:val="32"/>
          <w:szCs w:val="32"/>
        </w:rPr>
        <w:t>6.3万元，支出决算为6.29万元，完成预算的99.84%，决算数小于预算数的主要原因是勤俭节约、厉行节约，与上年相比增加3.59万元，增长133.3%,增长的主要原因是市内及外省遗体接运业务量增大。</w:t>
      </w:r>
    </w:p>
    <w:p>
      <w:pPr>
        <w:spacing w:line="600" w:lineRule="exact"/>
        <w:ind w:firstLine="643" w:firstLineChars="200"/>
        <w:rPr>
          <w:rFonts w:ascii="仿宋" w:hAnsi="仿宋" w:eastAsia="仿宋"/>
          <w:b/>
          <w:bCs/>
          <w:color w:val="auto"/>
          <w:sz w:val="32"/>
          <w:szCs w:val="32"/>
        </w:rPr>
      </w:pPr>
      <w:r>
        <w:rPr>
          <w:rFonts w:hint="eastAsia" w:ascii="仿宋" w:hAnsi="仿宋" w:eastAsia="仿宋"/>
          <w:b/>
          <w:bCs/>
          <w:color w:val="auto"/>
          <w:sz w:val="32"/>
          <w:szCs w:val="32"/>
        </w:rPr>
        <w:t>（二）“三公”经费财政拨款支出决算具体情况说明</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2021年度“三公”经费财政拨款支出决算中，公务接待费支出决算0.05万元，占</w:t>
      </w:r>
      <w:r>
        <w:rPr>
          <w:rFonts w:ascii="仿宋" w:hAnsi="仿宋" w:eastAsia="仿宋"/>
          <w:color w:val="auto"/>
          <w:sz w:val="32"/>
          <w:szCs w:val="32"/>
          <w:highlight w:val="none"/>
        </w:rPr>
        <w:t>0.2%,因公出国（境）费支出决算0万元，占0%,公务用车购置费及运行维护费支出决算24.45万元，占99.</w:t>
      </w:r>
      <w:r>
        <w:rPr>
          <w:rFonts w:hint="eastAsia" w:ascii="仿宋" w:hAnsi="仿宋" w:eastAsia="仿宋"/>
          <w:color w:val="auto"/>
          <w:sz w:val="32"/>
          <w:szCs w:val="32"/>
          <w:highlight w:val="none"/>
          <w:lang w:val="en-US" w:eastAsia="zh-CN"/>
        </w:rPr>
        <w:t>8</w:t>
      </w:r>
      <w:r>
        <w:rPr>
          <w:rFonts w:ascii="仿宋" w:hAnsi="仿宋" w:eastAsia="仿宋"/>
          <w:color w:val="auto"/>
          <w:sz w:val="32"/>
          <w:szCs w:val="32"/>
          <w:highlight w:val="none"/>
        </w:rPr>
        <w:t>%。其中</w:t>
      </w:r>
      <w:r>
        <w:rPr>
          <w:rFonts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1、因公出国（境）费支出决算为0万元，全年安排因公出国（境）团组0个，累计0人次。</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2、公务接待费支出决算为0.05万元，全年共接待来访团组1个、来宾5人次，主要是洪江民政局殡仪馆来学习考察发生的接待支出。</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3、公务用车购置费及运行维护费支出决算为24.45万元，其中：公务用车购置费18.16万元，怀化市殡葬事务中心更新公务用车1辆。公务用车运行维护费6.29万元，主要是公务车维修保养，保险等支出，截止2021年12月31日，我单位开支财政拨款的公务用车保有量为4辆。</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八、政府性基金预算收入支出决算情况</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2021年度本单位无政府性基金收支。</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九、国有资本经营预算财政拨款支出决算情况说明</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本单位无国有资本经营预算财政拨款支出。</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十、机关运行经费支出说明</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本部门</w:t>
      </w:r>
      <w:r>
        <w:rPr>
          <w:rFonts w:ascii="仿宋" w:hAnsi="仿宋" w:eastAsia="仿宋"/>
          <w:color w:val="auto"/>
          <w:sz w:val="32"/>
          <w:szCs w:val="32"/>
        </w:rPr>
        <w:t>2021年度机关运行经费支出0万元</w:t>
      </w:r>
      <w:r>
        <w:rPr>
          <w:rFonts w:hint="eastAsia" w:ascii="仿宋" w:hAnsi="仿宋" w:eastAsia="仿宋"/>
          <w:color w:val="auto"/>
          <w:sz w:val="32"/>
          <w:szCs w:val="32"/>
        </w:rPr>
        <w:t>，本单位门属非参公事业单位</w:t>
      </w:r>
      <w:r>
        <w:rPr>
          <w:rFonts w:ascii="仿宋" w:hAnsi="仿宋" w:eastAsia="仿宋"/>
          <w:color w:val="auto"/>
          <w:sz w:val="32"/>
          <w:szCs w:val="32"/>
        </w:rPr>
        <w:t>。</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十一、一般性支出情况说明</w:t>
      </w:r>
    </w:p>
    <w:p>
      <w:pPr>
        <w:spacing w:line="600" w:lineRule="exact"/>
        <w:ind w:firstLine="640" w:firstLineChars="200"/>
        <w:rPr>
          <w:rFonts w:hint="eastAsia" w:ascii="仿宋" w:hAnsi="仿宋" w:eastAsia="仿宋"/>
          <w:color w:val="auto"/>
          <w:sz w:val="32"/>
          <w:szCs w:val="32"/>
        </w:rPr>
      </w:pPr>
      <w:r>
        <w:rPr>
          <w:rFonts w:ascii="仿宋" w:hAnsi="仿宋" w:eastAsia="仿宋"/>
          <w:color w:val="auto"/>
          <w:sz w:val="32"/>
          <w:szCs w:val="32"/>
        </w:rPr>
        <w:t>2021年本部门开支会议费</w:t>
      </w:r>
      <w:r>
        <w:rPr>
          <w:rFonts w:hint="eastAsia" w:ascii="仿宋" w:hAnsi="仿宋" w:eastAsia="仿宋"/>
          <w:color w:val="auto"/>
          <w:sz w:val="32"/>
          <w:szCs w:val="32"/>
        </w:rPr>
        <w:t>0万元</w:t>
      </w:r>
      <w:r>
        <w:rPr>
          <w:rFonts w:ascii="仿宋" w:hAnsi="仿宋" w:eastAsia="仿宋"/>
          <w:color w:val="auto"/>
          <w:sz w:val="32"/>
          <w:szCs w:val="32"/>
        </w:rPr>
        <w:t>，</w:t>
      </w:r>
      <w:r>
        <w:rPr>
          <w:rFonts w:hint="eastAsia" w:ascii="仿宋" w:hAnsi="仿宋" w:eastAsia="仿宋"/>
          <w:color w:val="auto"/>
          <w:sz w:val="32"/>
          <w:szCs w:val="32"/>
        </w:rPr>
        <w:t>未召开会议；</w:t>
      </w:r>
      <w:r>
        <w:rPr>
          <w:rFonts w:ascii="仿宋" w:hAnsi="仿宋" w:eastAsia="仿宋"/>
          <w:color w:val="auto"/>
          <w:sz w:val="32"/>
          <w:szCs w:val="32"/>
        </w:rPr>
        <w:t>开支培训费0.66万元，用于开展中心工作人员培训，人数24人，内容为转发湖南省人力资源和社会保障厅《关于认真做好全省事业单位工作人员培训工作的通知》</w:t>
      </w:r>
      <w:r>
        <w:rPr>
          <w:rFonts w:hint="eastAsia" w:ascii="仿宋" w:hAnsi="仿宋" w:eastAsia="仿宋"/>
          <w:color w:val="auto"/>
          <w:sz w:val="32"/>
          <w:szCs w:val="32"/>
        </w:rPr>
        <w:t>；未举办</w:t>
      </w:r>
      <w:r>
        <w:rPr>
          <w:rFonts w:hint="eastAsia" w:ascii="仿宋" w:hAnsi="仿宋" w:eastAsia="仿宋" w:cs="仿宋"/>
          <w:color w:val="auto"/>
          <w:kern w:val="0"/>
          <w:sz w:val="32"/>
          <w:szCs w:val="32"/>
        </w:rPr>
        <w:t>节庆、晚会、论坛、赛事等活动。</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十二、政府采购支出说明</w:t>
      </w:r>
    </w:p>
    <w:p>
      <w:pPr>
        <w:spacing w:line="60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本部门</w:t>
      </w:r>
      <w:r>
        <w:rPr>
          <w:rFonts w:ascii="仿宋" w:hAnsi="仿宋" w:eastAsia="仿宋"/>
          <w:color w:val="auto"/>
          <w:sz w:val="32"/>
          <w:szCs w:val="32"/>
        </w:rPr>
        <w:t>2021年度政府采购支出总额357.39万元，其中：政府采购货物支出320.71万元、政府采购工程支出0万元、政府采购服务支出36.68万元。授予中小企业合同金额357.39万元，占政府采购支出总额的100%，其中：授予小微企业合同金额357.39万元，占授予中小企业合同金额的100%</w:t>
      </w:r>
      <w:r>
        <w:rPr>
          <w:rFonts w:hint="eastAsia" w:ascii="仿宋" w:hAnsi="仿宋" w:eastAsia="仿宋"/>
          <w:color w:val="auto"/>
          <w:sz w:val="32"/>
          <w:szCs w:val="32"/>
          <w:lang w:eastAsia="zh-CN"/>
        </w:rPr>
        <w:t>。</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十三、国有资产占用情况说明</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截至</w:t>
      </w:r>
      <w:r>
        <w:rPr>
          <w:rFonts w:ascii="仿宋" w:hAnsi="仿宋" w:eastAsia="仿宋"/>
          <w:color w:val="auto"/>
          <w:sz w:val="32"/>
          <w:szCs w:val="32"/>
        </w:rPr>
        <w:t>2021年12月31日，本单位共有车辆4辆，其中，主要领导干部用车1辆，机要通信用车0辆、应急保障用车0辆、执法执勤用车0辆、特种专业技术用车0辆、其他用车3辆，其他用车主要是遗体运输车辆；单位价值50万元以上通用设备0台（套）；单位价值100万元以上专用设备0台（套）。</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十四、</w:t>
      </w:r>
      <w:r>
        <w:rPr>
          <w:rFonts w:ascii="黑体" w:hAnsi="黑体" w:eastAsia="黑体"/>
          <w:color w:val="auto"/>
          <w:sz w:val="32"/>
          <w:szCs w:val="32"/>
        </w:rPr>
        <w:t>2021年度预算绩效情况说明</w:t>
      </w:r>
    </w:p>
    <w:p>
      <w:pPr>
        <w:spacing w:line="600" w:lineRule="exact"/>
        <w:ind w:firstLine="643" w:firstLineChars="200"/>
        <w:rPr>
          <w:rFonts w:ascii="仿宋" w:hAnsi="仿宋" w:eastAsia="仿宋"/>
          <w:b/>
          <w:bCs/>
          <w:color w:val="auto"/>
          <w:sz w:val="32"/>
          <w:szCs w:val="32"/>
        </w:rPr>
      </w:pPr>
      <w:r>
        <w:rPr>
          <w:rFonts w:hint="eastAsia" w:ascii="仿宋" w:hAnsi="仿宋" w:eastAsia="仿宋"/>
          <w:b/>
          <w:bCs/>
          <w:color w:val="auto"/>
          <w:sz w:val="32"/>
          <w:szCs w:val="32"/>
        </w:rPr>
        <w:t>（</w:t>
      </w:r>
      <w:r>
        <w:rPr>
          <w:rFonts w:ascii="仿宋" w:hAnsi="仿宋" w:eastAsia="仿宋"/>
          <w:b/>
          <w:bCs/>
          <w:color w:val="auto"/>
          <w:sz w:val="32"/>
          <w:szCs w:val="32"/>
        </w:rPr>
        <w:t>1）绩效管理评价工作开展情况。</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根据预算绩效管理要求，我部门组织对</w:t>
      </w:r>
      <w:r>
        <w:rPr>
          <w:rFonts w:ascii="仿宋" w:hAnsi="仿宋" w:eastAsia="仿宋"/>
          <w:color w:val="auto"/>
          <w:sz w:val="32"/>
          <w:szCs w:val="32"/>
        </w:rPr>
        <w:t>2021年度一般公共预算项目支出全面开展绩效自评，其中，一级项目1个，二级项目0个，共涉及资金36万元，占一般公共预算项目支出总额的6.33%。组织对2021年度0个政府性基金预算项目支出开展绩效自评，共涉及资金0万元，占政府性基金预算项目支出总额的0%。组织对2021年度0个国有资本经营预算项目支出开展绩效自评，共涉及资金0万元，占国有资本经营预算项目支出总额的0%。</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组织对</w:t>
      </w:r>
      <w:r>
        <w:rPr>
          <w:rFonts w:ascii="仿宋" w:hAnsi="仿宋" w:eastAsia="仿宋"/>
          <w:color w:val="auto"/>
          <w:sz w:val="32"/>
          <w:szCs w:val="32"/>
        </w:rPr>
        <w:t>1个项目开展了部门评价，涉及一般公共预算支出36万元，政府性基金预算支出0万元，国有资本经营预算支出0万元。从评价情况来看，绩效评价工作的开展，特别是绩效评价结果的应用，对预算分配产生了重大影响，有利于全面提供财政资金使用效果。</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组织对怀化市殡葬事务中心开展整体支出绩效评价，涉及一般公共预算支出</w:t>
      </w:r>
      <w:r>
        <w:rPr>
          <w:rFonts w:ascii="仿宋" w:hAnsi="仿宋" w:eastAsia="仿宋"/>
          <w:color w:val="auto"/>
          <w:sz w:val="32"/>
          <w:szCs w:val="32"/>
        </w:rPr>
        <w:t>36万元，政府性基金预算支出0万元。从评价情况来看，中心继续打造“亲情服务、阳光殡葬”提升殡葬服务水平，厉行节约，不铺张浪费，进一步加强节能减排，创生态园林馆区，大力推进殡葬改革宣传措施，提高群众殡葬改革意识。</w:t>
      </w:r>
    </w:p>
    <w:p>
      <w:pPr>
        <w:spacing w:line="600" w:lineRule="exact"/>
        <w:ind w:firstLine="643" w:firstLineChars="200"/>
        <w:rPr>
          <w:rFonts w:ascii="仿宋" w:hAnsi="仿宋" w:eastAsia="仿宋"/>
          <w:b/>
          <w:bCs/>
          <w:color w:val="auto"/>
          <w:sz w:val="32"/>
          <w:szCs w:val="32"/>
        </w:rPr>
      </w:pPr>
      <w:r>
        <w:rPr>
          <w:rFonts w:hint="eastAsia" w:ascii="仿宋" w:hAnsi="仿宋" w:eastAsia="仿宋"/>
          <w:b/>
          <w:bCs/>
          <w:color w:val="auto"/>
          <w:sz w:val="32"/>
          <w:szCs w:val="32"/>
        </w:rPr>
        <w:t>（</w:t>
      </w:r>
      <w:r>
        <w:rPr>
          <w:rFonts w:ascii="仿宋" w:hAnsi="仿宋" w:eastAsia="仿宋"/>
          <w:b/>
          <w:bCs/>
          <w:color w:val="auto"/>
          <w:sz w:val="32"/>
          <w:szCs w:val="32"/>
        </w:rPr>
        <w:t>2）部门决算中项目绩效自评结果。</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开展无名尸体及交通事故维稳工作项目绩效自评综述：根据年初设定的绩效目标，项目绩效自评得分为</w:t>
      </w:r>
      <w:r>
        <w:rPr>
          <w:rFonts w:ascii="仿宋" w:hAnsi="仿宋" w:eastAsia="仿宋"/>
          <w:color w:val="auto"/>
          <w:sz w:val="32"/>
          <w:szCs w:val="32"/>
        </w:rPr>
        <w:t>81分。项目全年预算数为36万元，执行数为36万元，完成预算的100%。项目绩效目标完成情况：一是维护社会和谐稳定；二是“丧户至上、服务第一”。发现的主要问题及原因：一是单位财务人员纪律意识不强，财务相关制度落实执行不严；二是中心许多殡仪设施老化破损严重满足不了群众的需求。下一步改进措施：一</w:t>
      </w:r>
      <w:r>
        <w:rPr>
          <w:rFonts w:hint="eastAsia" w:ascii="仿宋" w:hAnsi="仿宋" w:eastAsia="仿宋"/>
          <w:color w:val="auto"/>
          <w:sz w:val="32"/>
          <w:szCs w:val="32"/>
        </w:rPr>
        <w:t>是</w:t>
      </w:r>
      <w:r>
        <w:rPr>
          <w:rFonts w:ascii="仿宋" w:hAnsi="仿宋" w:eastAsia="仿宋"/>
          <w:color w:val="auto"/>
          <w:sz w:val="32"/>
          <w:szCs w:val="32"/>
        </w:rPr>
        <w:t>狠抓作风建设，提高服务质量；二是积极争取资金，加大对遗体接运车辆、高档遗体火化炉、灵堂等殡仪设施的投入，加大对丧户休息场所的</w:t>
      </w:r>
      <w:r>
        <w:rPr>
          <w:rFonts w:hint="eastAsia" w:ascii="仿宋" w:hAnsi="仿宋" w:eastAsia="仿宋"/>
          <w:color w:val="auto"/>
          <w:sz w:val="32"/>
          <w:szCs w:val="32"/>
        </w:rPr>
        <w:t>投入，不断满足丧户的需求，提高殡仪馆的社会满意度。</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开展无名尸体及交通事故维稳工作项目绩效自评综述：坚决维护社会大局平安和谐稳定。</w:t>
      </w:r>
    </w:p>
    <w:p>
      <w:pPr>
        <w:spacing w:line="600" w:lineRule="exact"/>
        <w:ind w:firstLine="643" w:firstLineChars="200"/>
        <w:rPr>
          <w:rFonts w:ascii="仿宋" w:hAnsi="仿宋" w:eastAsia="仿宋"/>
          <w:b/>
          <w:bCs/>
          <w:color w:val="auto"/>
          <w:sz w:val="32"/>
          <w:szCs w:val="32"/>
        </w:rPr>
      </w:pPr>
      <w:bookmarkStart w:id="0" w:name="_GoBack"/>
      <w:bookmarkEnd w:id="0"/>
      <w:r>
        <w:rPr>
          <w:rFonts w:hint="eastAsia" w:ascii="仿宋" w:hAnsi="仿宋" w:eastAsia="仿宋"/>
          <w:b/>
          <w:bCs/>
          <w:color w:val="auto"/>
          <w:sz w:val="32"/>
          <w:szCs w:val="32"/>
        </w:rPr>
        <w:t>（</w:t>
      </w:r>
      <w:r>
        <w:rPr>
          <w:rFonts w:ascii="仿宋" w:hAnsi="仿宋" w:eastAsia="仿宋"/>
          <w:b/>
          <w:bCs/>
          <w:color w:val="auto"/>
          <w:sz w:val="32"/>
          <w:szCs w:val="32"/>
        </w:rPr>
        <w:t>3）部门评价项目绩效评价结果。</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部门评价项目数量</w:t>
      </w:r>
      <w:r>
        <w:rPr>
          <w:rFonts w:ascii="仿宋" w:hAnsi="仿宋" w:eastAsia="仿宋"/>
          <w:color w:val="auto"/>
          <w:sz w:val="32"/>
          <w:szCs w:val="32"/>
        </w:rPr>
        <w:t>3个以内的，至少将1个部门评价报告向社会公开；部门评价项目数量大于3个的，至少将2个部门评价报告向社会公开。报告框架可参考《项目支出绩效评价办法》（财预〔2020〕10号）中《项目支出绩效评价报告（参考提纲）》、《湖南省预算支出绩效评价管理办法》（湘财绩〔2020〕7号）。</w:t>
      </w:r>
    </w:p>
    <w:p>
      <w:pPr>
        <w:spacing w:line="600" w:lineRule="exact"/>
        <w:ind w:firstLine="640" w:firstLineChars="200"/>
        <w:rPr>
          <w:rFonts w:ascii="仿宋" w:hAnsi="仿宋" w:eastAsia="仿宋"/>
          <w:color w:val="auto"/>
          <w:sz w:val="32"/>
          <w:szCs w:val="32"/>
        </w:rPr>
      </w:pPr>
    </w:p>
    <w:p>
      <w:pPr>
        <w:spacing w:line="600" w:lineRule="exact"/>
        <w:ind w:firstLine="880" w:firstLineChars="200"/>
        <w:jc w:val="center"/>
        <w:rPr>
          <w:rFonts w:ascii="黑体" w:hAnsi="黑体" w:eastAsia="黑体"/>
          <w:color w:val="auto"/>
          <w:sz w:val="44"/>
          <w:szCs w:val="44"/>
        </w:rPr>
      </w:pPr>
      <w:r>
        <w:rPr>
          <w:rFonts w:hint="eastAsia" w:ascii="黑体" w:hAnsi="黑体" w:eastAsia="黑体"/>
          <w:color w:val="auto"/>
          <w:sz w:val="44"/>
          <w:szCs w:val="44"/>
        </w:rPr>
        <w:t>第四部分 名词解释</w:t>
      </w:r>
    </w:p>
    <w:p>
      <w:pPr>
        <w:spacing w:line="600" w:lineRule="exact"/>
        <w:ind w:firstLine="880" w:firstLineChars="200"/>
        <w:jc w:val="center"/>
        <w:rPr>
          <w:rFonts w:ascii="黑体" w:hAnsi="黑体" w:eastAsia="黑体"/>
          <w:color w:val="auto"/>
          <w:sz w:val="44"/>
          <w:szCs w:val="44"/>
        </w:rPr>
      </w:pP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spacing w:line="600" w:lineRule="exact"/>
        <w:ind w:firstLine="880" w:firstLineChars="200"/>
        <w:jc w:val="center"/>
        <w:rPr>
          <w:rFonts w:ascii="黑体" w:hAnsi="黑体" w:eastAsia="黑体"/>
          <w:color w:val="auto"/>
          <w:sz w:val="44"/>
          <w:szCs w:val="44"/>
        </w:rPr>
      </w:pPr>
      <w:r>
        <w:rPr>
          <w:rFonts w:hint="eastAsia" w:ascii="黑体" w:hAnsi="黑体" w:eastAsia="黑体"/>
          <w:color w:val="auto"/>
          <w:sz w:val="44"/>
          <w:szCs w:val="44"/>
        </w:rPr>
        <w:t>第五部分 附件</w:t>
      </w:r>
    </w:p>
    <w:p>
      <w:pPr>
        <w:spacing w:line="600" w:lineRule="exact"/>
        <w:ind w:firstLine="880" w:firstLineChars="200"/>
        <w:jc w:val="center"/>
        <w:rPr>
          <w:rFonts w:ascii="黑体" w:hAnsi="黑体" w:eastAsia="黑体"/>
          <w:color w:val="auto"/>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D439DE"/>
    <w:multiLevelType w:val="singleLevel"/>
    <w:tmpl w:val="CED439D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4MjM4OGRjMjA1YmIwNDg3YWY0MmMwNWU4YTAwYjIifQ=="/>
  </w:docVars>
  <w:rsids>
    <w:rsidRoot w:val="006B534E"/>
    <w:rsid w:val="000D02A8"/>
    <w:rsid w:val="0027251E"/>
    <w:rsid w:val="004F02E5"/>
    <w:rsid w:val="005A76E3"/>
    <w:rsid w:val="006B534E"/>
    <w:rsid w:val="00AE0A9F"/>
    <w:rsid w:val="00B32617"/>
    <w:rsid w:val="00BF54ED"/>
    <w:rsid w:val="00C02D37"/>
    <w:rsid w:val="17DD1A5A"/>
    <w:rsid w:val="18980476"/>
    <w:rsid w:val="1B5553F1"/>
    <w:rsid w:val="20971013"/>
    <w:rsid w:val="267676CB"/>
    <w:rsid w:val="27CE6EE6"/>
    <w:rsid w:val="2BEB22D0"/>
    <w:rsid w:val="305E1E14"/>
    <w:rsid w:val="3E06185A"/>
    <w:rsid w:val="46765DD0"/>
    <w:rsid w:val="4E1C4782"/>
    <w:rsid w:val="5EC83355"/>
    <w:rsid w:val="69073C41"/>
    <w:rsid w:val="6F300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7594</Words>
  <Characters>8300</Characters>
  <Lines>60</Lines>
  <Paragraphs>16</Paragraphs>
  <TotalTime>9</TotalTime>
  <ScaleCrop>false</ScaleCrop>
  <LinksUpToDate>false</LinksUpToDate>
  <CharactersWithSpaces>8324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2023-09-02T10:13:00Z</dcterms:created>
  <dc:creator>汪 梦引</dc:creator>
  <cp:lastModifiedBy>非鱼</cp:lastModifiedBy>
  <dcterms:modified xsi:type="dcterms:W3CDTF">2023-10-06T08:24:15Z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E8890B89617640CC97DF72D5221D1409_12</vt:lpwstr>
  </property>
</Properties>
</file>