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/>
        <w:jc w:val="center"/>
        <w:textAlignment w:val="auto"/>
        <w:rPr>
          <w:rFonts w:hint="default" w:ascii="仿宋" w:hAnsi="仿宋" w:eastAsia="仿宋"/>
          <w:color w:val="auto"/>
          <w:sz w:val="48"/>
          <w:szCs w:val="48"/>
        </w:rPr>
      </w:pPr>
      <w:r>
        <w:rPr>
          <w:rFonts w:hint="default" w:ascii="仿宋" w:hAnsi="仿宋" w:eastAsia="仿宋"/>
          <w:color w:val="auto"/>
          <w:sz w:val="48"/>
          <w:szCs w:val="48"/>
        </w:rPr>
        <w:t>怀化市救助站2022年度部门预算公开说明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tLeast"/>
        <w:ind w:firstLine="0"/>
        <w:textAlignment w:val="auto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color w:val="auto"/>
          <w:sz w:val="21"/>
          <w:szCs w:val="21"/>
        </w:rPr>
        <w:t>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91" w:lineRule="atLeast"/>
        <w:ind w:firstLine="0"/>
        <w:textAlignment w:val="auto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color w:val="auto"/>
          <w:sz w:val="21"/>
          <w:szCs w:val="21"/>
        </w:rPr>
        <w:t>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91" w:lineRule="atLeast"/>
        <w:ind w:firstLine="0"/>
        <w:jc w:val="center"/>
        <w:textAlignment w:val="auto"/>
        <w:rPr>
          <w:rFonts w:ascii="黑体" w:hAnsi="黑体" w:eastAsia="黑体"/>
          <w:b/>
          <w:bCs/>
          <w:color w:val="auto"/>
          <w:sz w:val="21"/>
          <w:szCs w:val="21"/>
        </w:rPr>
      </w:pPr>
      <w:r>
        <w:rPr>
          <w:rFonts w:ascii="黑体" w:hAnsi="黑体" w:eastAsia="黑体"/>
          <w:b/>
          <w:bCs/>
          <w:color w:val="auto"/>
          <w:sz w:val="32"/>
          <w:szCs w:val="32"/>
        </w:rPr>
        <w:t>目</w:t>
      </w:r>
      <w:r>
        <w:rPr>
          <w:rFonts w:ascii="Calibri" w:hAnsi="Calibri" w:eastAsia="黑体" w:cs="Calibri"/>
          <w:b/>
          <w:bCs/>
          <w:color w:val="auto"/>
          <w:sz w:val="32"/>
          <w:szCs w:val="32"/>
        </w:rPr>
        <w:t> </w:t>
      </w:r>
      <w:r>
        <w:rPr>
          <w:rFonts w:ascii="黑体" w:hAnsi="黑体" w:eastAsia="黑体"/>
          <w:b/>
          <w:bCs/>
          <w:color w:val="auto"/>
          <w:sz w:val="32"/>
          <w:szCs w:val="32"/>
        </w:rPr>
        <w:t> 录</w:t>
      </w:r>
    </w:p>
    <w:p>
      <w:pPr>
        <w:widowControl/>
        <w:numPr>
          <w:ilvl w:val="0"/>
          <w:numId w:val="1"/>
        </w:numPr>
        <w:spacing w:line="600" w:lineRule="exact"/>
        <w:ind w:firstLine="643" w:firstLineChars="200"/>
        <w:rPr>
          <w:rFonts w:ascii="黑体" w:hAnsi="黑体" w:eastAsia="黑体" w:cs="Times New Roman"/>
          <w:b/>
          <w:bCs/>
          <w:color w:val="auto"/>
          <w:kern w:val="0"/>
          <w:sz w:val="32"/>
          <w:szCs w:val="32"/>
        </w:rPr>
      </w:pPr>
      <w:r>
        <w:rPr>
          <w:rFonts w:ascii="黑体" w:hAnsi="黑体" w:eastAsia="黑体" w:cs="Times New Roman"/>
          <w:b/>
          <w:bCs/>
          <w:color w:val="auto"/>
          <w:kern w:val="0"/>
          <w:sz w:val="32"/>
          <w:szCs w:val="32"/>
        </w:rPr>
        <w:t>2022年部门预算说明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  <w:shd w:val="clear" w:color="auto" w:fill="FFFFFF"/>
        </w:rPr>
        <w:t>一、部门基本概况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  <w:shd w:val="clear" w:color="auto" w:fill="FFFFFF"/>
        </w:rPr>
        <w:t>二、部门预算单位构成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  <w:shd w:val="clear" w:color="auto" w:fill="FFFFFF"/>
        </w:rPr>
        <w:t>三、部门收支总体情况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  <w:shd w:val="clear" w:color="auto" w:fill="FFFFFF"/>
        </w:rPr>
        <w:t>四、一般公共预算拨款支出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  <w:shd w:val="clear" w:color="auto" w:fill="FFFFFF"/>
        </w:rPr>
        <w:t>五、政府性基金预算支出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  <w:shd w:val="clear" w:color="auto" w:fill="FFFFFF"/>
        </w:rPr>
        <w:t>六、其他重要事项的情况说明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  <w:shd w:val="clear" w:color="auto" w:fill="FFFFFF"/>
        </w:rPr>
        <w:t>七、名词解释</w:t>
      </w:r>
    </w:p>
    <w:p>
      <w:pPr>
        <w:widowControl/>
        <w:spacing w:line="600" w:lineRule="exact"/>
        <w:ind w:firstLine="643" w:firstLineChars="200"/>
        <w:rPr>
          <w:rFonts w:ascii="黑体" w:hAnsi="黑体" w:eastAsia="黑体" w:cs="Times New Roman"/>
          <w:b/>
          <w:bCs/>
          <w:color w:val="auto"/>
          <w:kern w:val="0"/>
          <w:sz w:val="32"/>
          <w:szCs w:val="32"/>
        </w:rPr>
      </w:pPr>
      <w:r>
        <w:rPr>
          <w:rFonts w:ascii="黑体" w:hAnsi="黑体" w:eastAsia="黑体" w:cs="Times New Roman"/>
          <w:b/>
          <w:bCs/>
          <w:color w:val="auto"/>
          <w:kern w:val="0"/>
          <w:sz w:val="32"/>
          <w:szCs w:val="32"/>
        </w:rPr>
        <w:t>第二部分 2022年部门预算表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1、部门收支总表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2、部门收入总表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3、部门支出总表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4、财政拨款收支总表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5、一般公共预算支出表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6、一般公共预算基本支出表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7、一般公共预算“三公”经费支出表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8、政府性基金预算支出表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9、国有资本经营预算支出表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10、</w:t>
      </w:r>
      <w:bookmarkStart w:id="0" w:name="_GoBack"/>
      <w:r>
        <w:rPr>
          <w:rFonts w:ascii="仿宋" w:hAnsi="仿宋" w:eastAsia="仿宋" w:cs="Times New Roman"/>
          <w:color w:val="auto"/>
          <w:sz w:val="32"/>
          <w:szCs w:val="32"/>
        </w:rPr>
        <w:t>项目支出绩效目标表</w:t>
      </w:r>
      <w:bookmarkEnd w:id="0"/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11、部门整体支出绩效目标表</w:t>
      </w:r>
    </w:p>
    <w:p>
      <w:pPr>
        <w:widowControl/>
        <w:spacing w:line="600" w:lineRule="exact"/>
        <w:ind w:firstLine="643" w:firstLineChars="200"/>
        <w:rPr>
          <w:rFonts w:ascii="仿宋" w:hAnsi="仿宋" w:eastAsia="仿宋" w:cs="Times New Roman"/>
          <w:b/>
          <w:color w:val="auto"/>
          <w:kern w:val="0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kern w:val="0"/>
          <w:sz w:val="32"/>
          <w:szCs w:val="32"/>
        </w:rPr>
        <w:t>注：以上部门预算报表中，空表表示本部门无相关收支情况。</w:t>
      </w:r>
    </w:p>
    <w:p>
      <w:pPr>
        <w:widowControl/>
        <w:spacing w:line="600" w:lineRule="exact"/>
        <w:ind w:firstLine="643" w:firstLineChars="200"/>
        <w:rPr>
          <w:rFonts w:ascii="仿宋" w:hAnsi="仿宋" w:eastAsia="仿宋" w:cs="Times New Roman"/>
          <w:b/>
          <w:color w:val="auto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600" w:lineRule="exact"/>
        <w:ind w:firstLine="883" w:firstLineChars="200"/>
        <w:jc w:val="center"/>
        <w:rPr>
          <w:rFonts w:ascii="黑体" w:hAnsi="黑体" w:eastAsia="黑体" w:cs="Times New Roman"/>
          <w:b/>
          <w:bCs/>
          <w:color w:val="auto"/>
          <w:kern w:val="0"/>
          <w:sz w:val="44"/>
          <w:szCs w:val="44"/>
        </w:rPr>
      </w:pPr>
      <w:r>
        <w:rPr>
          <w:rFonts w:ascii="黑体" w:hAnsi="黑体" w:eastAsia="黑体" w:cs="Times New Roman"/>
          <w:b/>
          <w:bCs/>
          <w:color w:val="auto"/>
          <w:kern w:val="0"/>
          <w:sz w:val="44"/>
          <w:szCs w:val="44"/>
        </w:rPr>
        <w:t>2022年部门预算说明</w:t>
      </w:r>
    </w:p>
    <w:p>
      <w:pPr>
        <w:pStyle w:val="3"/>
        <w:widowControl/>
        <w:spacing w:before="156" w:beforeAutospacing="0" w:afterAutospacing="0" w:line="600" w:lineRule="exact"/>
        <w:ind w:firstLine="200"/>
        <w:rPr>
          <w:rFonts w:ascii="仿宋" w:hAnsi="仿宋" w:eastAsia="仿宋"/>
          <w:b/>
          <w:color w:val="auto"/>
          <w:sz w:val="21"/>
          <w:szCs w:val="21"/>
        </w:rPr>
      </w:pPr>
    </w:p>
    <w:p>
      <w:pPr>
        <w:pStyle w:val="3"/>
        <w:widowControl/>
        <w:spacing w:beforeAutospacing="0" w:afterAutospacing="0" w:line="600" w:lineRule="exact"/>
        <w:ind w:firstLine="200"/>
        <w:rPr>
          <w:rFonts w:ascii="黑体" w:hAnsi="黑体" w:eastAsia="黑体"/>
          <w:color w:val="auto"/>
          <w:sz w:val="21"/>
          <w:szCs w:val="21"/>
        </w:rPr>
      </w:pPr>
      <w:r>
        <w:rPr>
          <w:rFonts w:ascii="黑体" w:hAnsi="黑体" w:eastAsia="黑体"/>
          <w:color w:val="auto"/>
          <w:sz w:val="32"/>
          <w:szCs w:val="32"/>
        </w:rPr>
        <w:t>一、部门基本概况</w:t>
      </w:r>
    </w:p>
    <w:p>
      <w:pPr>
        <w:pStyle w:val="3"/>
        <w:widowControl/>
        <w:spacing w:beforeAutospacing="0" w:afterAutospacing="0" w:line="600" w:lineRule="exact"/>
        <w:ind w:firstLine="20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（一）部门职责</w:t>
      </w:r>
    </w:p>
    <w:p>
      <w:pPr>
        <w:pStyle w:val="3"/>
        <w:widowControl/>
        <w:spacing w:beforeAutospacing="0" w:afterAutospacing="0" w:line="600" w:lineRule="exact"/>
        <w:ind w:firstLine="640" w:firstLineChars="20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color w:val="auto"/>
          <w:sz w:val="32"/>
          <w:szCs w:val="32"/>
        </w:rPr>
        <w:t>怀化市救助站在怀化市民政局的直接领导下，代表政府对流浪乞讨人员的合法权益提供保障，维护社会稳定，为政府分忧，为群众解愁；为自身无力解决食宿、无亲友可以投靠、正在城市流浪乞讨度日的对象提供临时救济；为城市生活无着落的流浪乞讨人员提供符合食品卫生标准的食物、符合基本条件的住处及社会救助；做好流浪儿童妇女的救助服务工作。</w:t>
      </w:r>
    </w:p>
    <w:p>
      <w:pPr>
        <w:pStyle w:val="3"/>
        <w:widowControl/>
        <w:spacing w:beforeAutospacing="0" w:afterAutospacing="0" w:line="600" w:lineRule="exact"/>
        <w:ind w:firstLine="20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（二）机构设置情况</w:t>
      </w:r>
    </w:p>
    <w:p>
      <w:pPr>
        <w:pStyle w:val="3"/>
        <w:widowControl/>
        <w:spacing w:beforeAutospacing="0" w:afterAutospacing="0" w:line="600" w:lineRule="exact"/>
        <w:ind w:firstLine="640" w:firstLineChars="20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color w:val="auto"/>
          <w:sz w:val="32"/>
          <w:szCs w:val="32"/>
        </w:rPr>
        <w:t>怀化市救助站作为怀化市民政局的二级部门预算单位，内设部室为：办公室、财务部、救助服务部、儿童妇女救助服务部、后勤保障部。</w:t>
      </w:r>
    </w:p>
    <w:p>
      <w:pPr>
        <w:pStyle w:val="3"/>
        <w:widowControl/>
        <w:spacing w:beforeAutospacing="0" w:afterAutospacing="0" w:line="600" w:lineRule="exact"/>
        <w:ind w:firstLine="200"/>
        <w:rPr>
          <w:rFonts w:ascii="黑体" w:hAnsi="黑体" w:eastAsia="黑体"/>
          <w:color w:val="auto"/>
          <w:sz w:val="21"/>
          <w:szCs w:val="21"/>
        </w:rPr>
      </w:pPr>
      <w:r>
        <w:rPr>
          <w:rFonts w:ascii="黑体" w:hAnsi="黑体" w:eastAsia="黑体"/>
          <w:color w:val="auto"/>
          <w:sz w:val="32"/>
          <w:szCs w:val="32"/>
        </w:rPr>
        <w:t>二、部门预算单位构成</w:t>
      </w:r>
    </w:p>
    <w:p>
      <w:pPr>
        <w:pStyle w:val="3"/>
        <w:widowControl/>
        <w:spacing w:beforeAutospacing="0" w:afterAutospacing="0" w:line="600" w:lineRule="exact"/>
        <w:ind w:firstLine="640" w:firstLineChars="20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color w:val="auto"/>
          <w:sz w:val="32"/>
          <w:szCs w:val="32"/>
        </w:rPr>
        <w:t>纳入2022年怀化市救助站部门预算编制范围的包括：怀化市救助站本级。</w:t>
      </w:r>
    </w:p>
    <w:p>
      <w:pPr>
        <w:pStyle w:val="3"/>
        <w:widowControl/>
        <w:spacing w:beforeAutospacing="0" w:afterAutospacing="0" w:line="600" w:lineRule="exact"/>
        <w:ind w:firstLine="200"/>
        <w:rPr>
          <w:rFonts w:ascii="黑体" w:hAnsi="黑体" w:eastAsia="黑体"/>
          <w:color w:val="auto"/>
          <w:sz w:val="21"/>
          <w:szCs w:val="21"/>
        </w:rPr>
      </w:pPr>
      <w:r>
        <w:rPr>
          <w:rFonts w:ascii="黑体" w:hAnsi="黑体" w:eastAsia="黑体"/>
          <w:color w:val="auto"/>
          <w:sz w:val="32"/>
          <w:szCs w:val="32"/>
        </w:rPr>
        <w:t>三、部门收支总体情况</w:t>
      </w:r>
    </w:p>
    <w:p>
      <w:pPr>
        <w:pStyle w:val="3"/>
        <w:widowControl/>
        <w:spacing w:beforeAutospacing="0" w:afterAutospacing="0" w:line="600" w:lineRule="exact"/>
        <w:ind w:firstLine="640" w:firstLineChars="20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color w:val="auto"/>
          <w:sz w:val="32"/>
          <w:szCs w:val="32"/>
        </w:rPr>
        <w:t>2022年部门预算包括本单位预算内的收支情况。</w:t>
      </w:r>
    </w:p>
    <w:p>
      <w:pPr>
        <w:pStyle w:val="3"/>
        <w:widowControl/>
        <w:spacing w:beforeAutospacing="0" w:afterAutospacing="0" w:line="600" w:lineRule="exact"/>
        <w:ind w:firstLine="643" w:firstLineChars="20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（一）收入预算：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ascii="仿宋" w:hAnsi="仿宋" w:eastAsia="仿宋"/>
          <w:color w:val="auto"/>
          <w:sz w:val="32"/>
          <w:szCs w:val="32"/>
        </w:rPr>
        <w:t>2022年年初预算数297.11万元，其中，一般公共预算拨款297.11万元，政府性基金预算拨款0万元，纳入财政专户管理的非税收入拨款0万元，国有资本经营预算拨款0万元。压减公用经费和专项支出后，同口径对比，收入较上年增加53.21万元，增加21.82%，主要原因是2022年预算一体化系统将机关事业单位基本养老保险缴费、职工基本医疗保险缴费、住房公积金等纳入本年度预算，人员经费增加。</w:t>
      </w:r>
    </w:p>
    <w:p>
      <w:pPr>
        <w:pStyle w:val="3"/>
        <w:widowControl/>
        <w:spacing w:beforeAutospacing="0" w:afterAutospacing="0" w:line="600" w:lineRule="exact"/>
        <w:ind w:firstLine="643" w:firstLineChars="20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（二）支出预算：</w:t>
      </w:r>
      <w:r>
        <w:rPr>
          <w:rFonts w:ascii="仿宋" w:hAnsi="仿宋" w:eastAsia="仿宋"/>
          <w:color w:val="auto"/>
          <w:sz w:val="32"/>
          <w:szCs w:val="32"/>
        </w:rPr>
        <w:t>2022年年初预算数297.11万元，其中工资福利支出204.56万元，商品和服务支出91.72万元，对个人和家庭的补助支出0.83万元。压减公用经费和专项支出后，同口径对比，支出较上年增加53.21万元，增加21.82%，主要原因是2022年预算一体化系统将机关事业单位基本养老保险缴费、职工基本医疗保险缴费、住房公积金等纳入本年度预算，人员经费增加。</w:t>
      </w:r>
    </w:p>
    <w:p>
      <w:pPr>
        <w:pStyle w:val="3"/>
        <w:widowControl/>
        <w:spacing w:beforeAutospacing="0" w:afterAutospacing="0" w:line="600" w:lineRule="exact"/>
        <w:ind w:firstLine="944" w:firstLineChars="295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四、一般公共预算拨款支出</w:t>
      </w:r>
    </w:p>
    <w:p>
      <w:pPr>
        <w:pStyle w:val="3"/>
        <w:widowControl/>
        <w:spacing w:beforeAutospacing="0" w:afterAutospacing="0" w:line="600" w:lineRule="exact"/>
        <w:ind w:firstLine="20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color w:val="auto"/>
          <w:sz w:val="32"/>
          <w:szCs w:val="32"/>
        </w:rPr>
        <w:t>   2022年一般公共预算拨款收入为297.11万元，其中，一般公共服务支出297.11万元，占100 %。具体安排情况如下：</w:t>
      </w:r>
    </w:p>
    <w:p>
      <w:pPr>
        <w:pStyle w:val="3"/>
        <w:widowControl/>
        <w:spacing w:beforeAutospacing="0" w:afterAutospacing="0" w:line="600" w:lineRule="exact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（一）基本支出：</w:t>
      </w:r>
      <w:r>
        <w:rPr>
          <w:rFonts w:ascii="仿宋" w:hAnsi="仿宋" w:eastAsia="仿宋"/>
          <w:color w:val="auto"/>
          <w:sz w:val="32"/>
          <w:szCs w:val="32"/>
        </w:rPr>
        <w:t>2022年年初预算数为261.11万元，是指为保障单位机构正常运转、完成日常工作任务而发生的各项支出，包括用于基本工资84.01万元、津贴补贴55.78万元、奖金7.00万元、机关事业单位基本养老保险缴费23.49万元、职工基本医疗保险缴费12.48万元、住房公积金17.60万元、其他工资福利支出4.20万元、工会经费2.80万元、生活补助0.83万元、其他商品和服务支出52.92万元等；</w:t>
      </w:r>
    </w:p>
    <w:p>
      <w:pPr>
        <w:pStyle w:val="3"/>
        <w:widowControl/>
        <w:spacing w:beforeAutospacing="0" w:afterAutospacing="0" w:line="600" w:lineRule="exact"/>
        <w:ind w:firstLine="20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（二）项目支出：</w:t>
      </w:r>
      <w:r>
        <w:rPr>
          <w:rFonts w:ascii="仿宋" w:hAnsi="仿宋" w:eastAsia="仿宋"/>
          <w:color w:val="auto"/>
          <w:sz w:val="32"/>
          <w:szCs w:val="32"/>
        </w:rPr>
        <w:t>2022年年初预算数为36.00万元，是指单位为完成特定行政工作任务或事业发展目标而发生的支出，包括有关事业发展专项、专项业务费、基本建设支出等。其中：流浪乞讨人员救助支出36.00万元，主要用于流浪乞讨人员心理矫正、物资采购等。</w:t>
      </w:r>
    </w:p>
    <w:p>
      <w:pPr>
        <w:pStyle w:val="3"/>
        <w:widowControl/>
        <w:spacing w:beforeAutospacing="0" w:afterAutospacing="0" w:line="600" w:lineRule="exact"/>
        <w:ind w:firstLine="200"/>
        <w:rPr>
          <w:rFonts w:ascii="黑体" w:hAnsi="黑体" w:eastAsia="黑体"/>
          <w:color w:val="auto"/>
          <w:sz w:val="21"/>
          <w:szCs w:val="21"/>
        </w:rPr>
      </w:pPr>
      <w:r>
        <w:rPr>
          <w:rFonts w:ascii="黑体" w:hAnsi="黑体" w:eastAsia="黑体"/>
          <w:color w:val="auto"/>
          <w:sz w:val="32"/>
          <w:szCs w:val="32"/>
        </w:rPr>
        <w:t>五、政府性基金支出情况</w:t>
      </w:r>
    </w:p>
    <w:p>
      <w:pPr>
        <w:pStyle w:val="3"/>
        <w:widowControl/>
        <w:spacing w:beforeAutospacing="0" w:afterAutospacing="0" w:line="600" w:lineRule="exact"/>
        <w:ind w:firstLine="640" w:firstLineChars="20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color w:val="auto"/>
          <w:sz w:val="32"/>
          <w:szCs w:val="32"/>
        </w:rPr>
        <w:t>2022年</w:t>
      </w:r>
      <w:r>
        <w:rPr>
          <w:rFonts w:hint="eastAsia" w:ascii="仿宋" w:hAnsi="仿宋" w:eastAsia="仿宋"/>
          <w:color w:val="auto"/>
          <w:sz w:val="32"/>
          <w:szCs w:val="32"/>
        </w:rPr>
        <w:t>本部门</w:t>
      </w:r>
      <w:r>
        <w:rPr>
          <w:rFonts w:ascii="仿宋" w:hAnsi="仿宋" w:eastAsia="仿宋"/>
          <w:color w:val="auto"/>
          <w:sz w:val="32"/>
          <w:szCs w:val="32"/>
        </w:rPr>
        <w:t>无政府性基金预算支出。</w:t>
      </w:r>
    </w:p>
    <w:p>
      <w:pPr>
        <w:pStyle w:val="3"/>
        <w:widowControl/>
        <w:spacing w:beforeAutospacing="0" w:afterAutospacing="0" w:line="600" w:lineRule="exact"/>
        <w:ind w:firstLine="200"/>
        <w:rPr>
          <w:rFonts w:ascii="黑体" w:hAnsi="黑体" w:eastAsia="黑体"/>
          <w:color w:val="auto"/>
          <w:sz w:val="21"/>
          <w:szCs w:val="21"/>
        </w:rPr>
      </w:pPr>
      <w:r>
        <w:rPr>
          <w:rFonts w:ascii="黑体" w:hAnsi="黑体" w:eastAsia="黑体"/>
          <w:color w:val="auto"/>
          <w:sz w:val="32"/>
          <w:szCs w:val="32"/>
        </w:rPr>
        <w:t>六、其他重要事项的情况说明</w:t>
      </w:r>
    </w:p>
    <w:p>
      <w:pPr>
        <w:pStyle w:val="3"/>
        <w:widowControl/>
        <w:spacing w:beforeAutospacing="0" w:afterAutospacing="0" w:line="600" w:lineRule="exact"/>
        <w:ind w:firstLine="321" w:firstLineChars="100"/>
        <w:jc w:val="both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（一）“三公”经费预算</w:t>
      </w:r>
    </w:p>
    <w:p>
      <w:pPr>
        <w:pStyle w:val="3"/>
        <w:widowControl/>
        <w:spacing w:beforeAutospacing="0" w:afterAutospacing="0" w:line="600" w:lineRule="exact"/>
        <w:ind w:firstLine="640" w:firstLineChars="200"/>
        <w:jc w:val="both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color w:val="auto"/>
          <w:sz w:val="32"/>
          <w:szCs w:val="32"/>
        </w:rPr>
        <w:t>2022年怀化市救助站安排“三公”经费预算数为9.00万元，其中，公务接待费4.00万元，</w:t>
      </w:r>
      <w:r>
        <w:rPr>
          <w:rFonts w:hint="eastAsia" w:ascii="仿宋" w:hAnsi="仿宋" w:eastAsia="仿宋"/>
          <w:color w:val="auto"/>
          <w:sz w:val="32"/>
          <w:szCs w:val="32"/>
        </w:rPr>
        <w:t>公务用车购置及运行费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（其中，公务用车购置费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0万元，</w:t>
      </w:r>
      <w:r>
        <w:rPr>
          <w:rFonts w:ascii="仿宋" w:hAnsi="仿宋" w:eastAsia="仿宋"/>
          <w:color w:val="auto"/>
          <w:sz w:val="32"/>
          <w:szCs w:val="32"/>
        </w:rPr>
        <w:t>公务用车运行费5.00万元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），因公出国（境）费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0万元</w:t>
      </w:r>
      <w:r>
        <w:rPr>
          <w:rFonts w:ascii="仿宋" w:hAnsi="仿宋" w:eastAsia="仿宋"/>
          <w:color w:val="auto"/>
          <w:sz w:val="32"/>
          <w:szCs w:val="32"/>
        </w:rPr>
        <w:t>。2022年“三公”经费预算较2021年预算数减少0.04万元，减少0.004%，基本与上年持平。持平原因为今年无重大事项。</w:t>
      </w:r>
    </w:p>
    <w:p>
      <w:pPr>
        <w:pStyle w:val="3"/>
        <w:widowControl/>
        <w:spacing w:beforeAutospacing="0" w:afterAutospacing="0" w:line="600" w:lineRule="exact"/>
        <w:jc w:val="both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（二）机关运行经费</w:t>
      </w:r>
    </w:p>
    <w:p>
      <w:pPr>
        <w:pStyle w:val="3"/>
        <w:widowControl/>
        <w:spacing w:beforeAutospacing="0" w:afterAutospacing="0" w:line="600" w:lineRule="exact"/>
        <w:ind w:firstLine="640" w:firstLineChars="20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color w:val="auto"/>
          <w:sz w:val="32"/>
          <w:szCs w:val="32"/>
        </w:rPr>
        <w:t>2022年怀化市救助站机关运行经费52.92万元，压减公用经费后安排42.34万元，同口径对比，比上年预算数减少10.55万元，下降19.95%，主要因为2022年严格规范项目支出与基本支出的范围，主要用于：其他商品和服务支出42.34万元。</w:t>
      </w:r>
    </w:p>
    <w:p>
      <w:pPr>
        <w:pStyle w:val="3"/>
        <w:widowControl/>
        <w:spacing w:beforeAutospacing="0" w:afterAutospacing="0" w:line="600" w:lineRule="exact"/>
        <w:jc w:val="both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（三）政府采购情况</w:t>
      </w:r>
    </w:p>
    <w:p>
      <w:pPr>
        <w:pStyle w:val="3"/>
        <w:widowControl/>
        <w:spacing w:beforeAutospacing="0" w:afterAutospacing="0" w:line="600" w:lineRule="exact"/>
        <w:ind w:firstLine="20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color w:val="auto"/>
          <w:sz w:val="32"/>
          <w:szCs w:val="32"/>
        </w:rPr>
        <w:t>   </w:t>
      </w:r>
      <w:r>
        <w:rPr>
          <w:rFonts w:hint="eastAsia" w:ascii="仿宋" w:hAnsi="仿宋" w:eastAsia="仿宋"/>
          <w:color w:val="auto"/>
          <w:sz w:val="32"/>
          <w:szCs w:val="32"/>
        </w:rPr>
        <w:t>2022年本部门政府采购预算总额0万元，其中，货物类采购预算0万元；工程类采购预算0万元；服务类采购预算0万元</w:t>
      </w:r>
      <w:r>
        <w:rPr>
          <w:rFonts w:ascii="仿宋" w:hAnsi="仿宋" w:eastAsia="仿宋"/>
          <w:color w:val="auto"/>
          <w:sz w:val="32"/>
          <w:szCs w:val="32"/>
        </w:rPr>
        <w:t>。</w:t>
      </w:r>
    </w:p>
    <w:p>
      <w:pPr>
        <w:pStyle w:val="3"/>
        <w:widowControl/>
        <w:spacing w:beforeAutospacing="0" w:afterAutospacing="0" w:line="600" w:lineRule="exact"/>
        <w:ind w:firstLine="20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（四）预算绩效管理情况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按照市本级预算绩效管理工作的总体要求，2022年我单位整体支出297.11万元，全部实行整体支出绩效目标管理，其中，基本支出261.11万元，项目支出36万元，具体绩效目标详见报表。详见附件2022 年项目支出绩效目标表。</w:t>
      </w:r>
    </w:p>
    <w:p>
      <w:pPr>
        <w:pStyle w:val="3"/>
        <w:widowControl/>
        <w:spacing w:beforeAutospacing="0" w:afterAutospacing="0" w:line="600" w:lineRule="exact"/>
        <w:ind w:firstLine="20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（五）</w:t>
      </w:r>
      <w:r>
        <w:rPr>
          <w:rFonts w:ascii="Calibri" w:hAnsi="Calibri" w:eastAsia="仿宋" w:cs="Calibri"/>
          <w:b/>
          <w:bCs/>
          <w:color w:val="auto"/>
          <w:sz w:val="32"/>
          <w:szCs w:val="32"/>
        </w:rPr>
        <w:t> </w:t>
      </w:r>
      <w:r>
        <w:rPr>
          <w:rFonts w:ascii="仿宋" w:hAnsi="仿宋" w:eastAsia="仿宋"/>
          <w:b/>
          <w:bCs/>
          <w:color w:val="auto"/>
          <w:sz w:val="32"/>
          <w:szCs w:val="32"/>
        </w:rPr>
        <w:t>国有资产占用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使用及新增资产配置</w:t>
      </w:r>
      <w:r>
        <w:rPr>
          <w:rFonts w:ascii="仿宋" w:hAnsi="仿宋" w:eastAsia="仿宋"/>
          <w:b/>
          <w:bCs/>
          <w:color w:val="auto"/>
          <w:sz w:val="32"/>
          <w:szCs w:val="32"/>
        </w:rPr>
        <w:t>情况</w:t>
      </w:r>
    </w:p>
    <w:p>
      <w:pPr>
        <w:pStyle w:val="3"/>
        <w:widowControl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截至2021年12月底，本部门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共有公务用车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辆，其中，机要通信用车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辆，应急保障用车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辆，执法执勤用车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辆，特种专业技术用车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辆，其他按照规定配备的公务用车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辆；单位价值50万元以上通用设备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台，单位价值100万元以上专用设备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台。2022年拟新增配置公务用车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辆，其中，机要通信用车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辆，应急保障用车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辆，执法执勤用车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辆，特种专业技术用车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辆，其他按照规定配备的公务用车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辆；新增配备单位价值50万元以上通用设备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台，单位价值100万元以上专用设备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台。</w:t>
      </w:r>
    </w:p>
    <w:p>
      <w:pPr>
        <w:pStyle w:val="3"/>
        <w:widowControl/>
        <w:spacing w:beforeAutospacing="0" w:afterAutospacing="0" w:line="600" w:lineRule="exact"/>
        <w:ind w:firstLine="20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（六）一般性支出情况</w:t>
      </w:r>
    </w:p>
    <w:p>
      <w:pPr>
        <w:pStyle w:val="3"/>
        <w:widowControl/>
        <w:spacing w:beforeAutospacing="0" w:afterAutospacing="0" w:line="60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2022年本部门会议费预算0万元，拟召开0次会议</w:t>
      </w:r>
      <w:r>
        <w:rPr>
          <w:rFonts w:hint="eastAsia" w:ascii="仿宋" w:hAnsi="仿宋" w:eastAsia="仿宋"/>
          <w:color w:val="auto"/>
          <w:sz w:val="32"/>
          <w:szCs w:val="32"/>
        </w:rPr>
        <w:t>；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培训费预算</w:t>
      </w:r>
      <w:r>
        <w:rPr>
          <w:rFonts w:ascii="仿宋" w:hAnsi="仿宋" w:eastAsia="仿宋" w:cs="宋体"/>
          <w:color w:val="auto"/>
          <w:sz w:val="32"/>
          <w:szCs w:val="32"/>
        </w:rPr>
        <w:t>0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万元，拟召开</w:t>
      </w:r>
      <w:r>
        <w:rPr>
          <w:rFonts w:ascii="仿宋" w:hAnsi="仿宋" w:eastAsia="仿宋" w:cs="宋体"/>
          <w:color w:val="auto"/>
          <w:sz w:val="32"/>
          <w:szCs w:val="32"/>
        </w:rPr>
        <w:t>0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次培训；拟举办0次节庆、晚会、论坛、赛事，经费预算0万元。</w:t>
      </w:r>
    </w:p>
    <w:p>
      <w:pPr>
        <w:pStyle w:val="3"/>
        <w:widowControl/>
        <w:spacing w:beforeAutospacing="0" w:afterAutospacing="0" w:line="600" w:lineRule="exact"/>
        <w:ind w:firstLine="200"/>
        <w:rPr>
          <w:rFonts w:ascii="黑体" w:hAnsi="黑体" w:eastAsia="黑体"/>
          <w:color w:val="auto"/>
          <w:sz w:val="21"/>
          <w:szCs w:val="21"/>
        </w:rPr>
      </w:pPr>
      <w:r>
        <w:rPr>
          <w:rFonts w:ascii="黑体" w:hAnsi="黑体" w:eastAsia="黑体"/>
          <w:color w:val="auto"/>
          <w:sz w:val="32"/>
          <w:szCs w:val="32"/>
        </w:rPr>
        <w:t>七、专业名词解释</w:t>
      </w:r>
    </w:p>
    <w:p>
      <w:pPr>
        <w:pStyle w:val="3"/>
        <w:widowControl/>
        <w:spacing w:beforeAutospacing="0" w:afterAutospacing="0" w:line="600" w:lineRule="exact"/>
        <w:ind w:firstLine="643" w:firstLineChars="20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1.机关运行经费：</w:t>
      </w:r>
      <w:r>
        <w:rPr>
          <w:rFonts w:ascii="仿宋" w:hAnsi="仿宋" w:eastAsia="仿宋"/>
          <w:color w:val="auto"/>
          <w:sz w:val="32"/>
          <w:szCs w:val="32"/>
        </w:rPr>
        <w:t>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pStyle w:val="3"/>
        <w:widowControl/>
        <w:spacing w:beforeAutospacing="0" w:afterAutospacing="0" w:line="600" w:lineRule="exact"/>
        <w:ind w:firstLine="643" w:firstLineChars="20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2.“三公”经费：</w:t>
      </w:r>
      <w:r>
        <w:rPr>
          <w:rFonts w:ascii="仿宋" w:hAnsi="仿宋" w:eastAsia="仿宋"/>
          <w:color w:val="auto"/>
          <w:sz w:val="32"/>
          <w:szCs w:val="32"/>
        </w:rPr>
        <w:t>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spacing w:line="600" w:lineRule="exact"/>
        <w:ind w:firstLine="200"/>
        <w:rPr>
          <w:rFonts w:ascii="仿宋" w:hAnsi="仿宋" w:eastAsia="仿宋" w:cs="Times New Roman"/>
          <w:color w:val="auto"/>
        </w:rPr>
      </w:pPr>
    </w:p>
    <w:p>
      <w:pPr>
        <w:widowControl/>
        <w:spacing w:line="600" w:lineRule="exact"/>
        <w:ind w:firstLine="643" w:firstLineChars="200"/>
        <w:jc w:val="center"/>
        <w:rPr>
          <w:rFonts w:ascii="仿宋" w:hAnsi="仿宋" w:eastAsia="仿宋" w:cs="Times New Roman"/>
          <w:b/>
          <w:bCs/>
          <w:color w:val="auto"/>
          <w:kern w:val="0"/>
          <w:sz w:val="32"/>
          <w:szCs w:val="32"/>
        </w:rPr>
      </w:pPr>
      <w:r>
        <w:rPr>
          <w:rFonts w:ascii="仿宋" w:hAnsi="仿宋" w:eastAsia="仿宋" w:cs="Times New Roman"/>
          <w:b/>
          <w:bCs/>
          <w:color w:val="auto"/>
          <w:kern w:val="0"/>
          <w:sz w:val="32"/>
          <w:szCs w:val="32"/>
        </w:rPr>
        <w:t>第二部分 2022年部门预算表</w:t>
      </w:r>
    </w:p>
    <w:p>
      <w:pPr>
        <w:widowControl/>
        <w:spacing w:line="600" w:lineRule="exact"/>
        <w:ind w:firstLine="640" w:firstLineChars="200"/>
        <w:jc w:val="center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Times New Roman"/>
          <w:color w:val="auto"/>
          <w:kern w:val="0"/>
          <w:sz w:val="32"/>
          <w:szCs w:val="32"/>
        </w:rPr>
        <w:t>（详情见附件）</w:t>
      </w:r>
    </w:p>
    <w:p>
      <w:pPr>
        <w:rPr>
          <w:rFonts w:ascii="仿宋" w:hAnsi="仿宋" w:eastAsia="仿宋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0957C"/>
    <w:multiLevelType w:val="singleLevel"/>
    <w:tmpl w:val="19A0957C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jM4OGRjMjA1YmIwNDg3YWY0MmMwNWU4YTAwYjIifQ=="/>
  </w:docVars>
  <w:rsids>
    <w:rsidRoot w:val="52BB52B1"/>
    <w:rsid w:val="001F27DA"/>
    <w:rsid w:val="0037128A"/>
    <w:rsid w:val="004D7918"/>
    <w:rsid w:val="00901291"/>
    <w:rsid w:val="00F1771C"/>
    <w:rsid w:val="00F42722"/>
    <w:rsid w:val="22B611E8"/>
    <w:rsid w:val="2AD03B97"/>
    <w:rsid w:val="2EDB1E94"/>
    <w:rsid w:val="52BB52B1"/>
    <w:rsid w:val="534B6B84"/>
    <w:rsid w:val="60807469"/>
    <w:rsid w:val="75B7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2555</Words>
  <Characters>2806</Characters>
  <Lines>20</Lines>
  <Paragraphs>5</Paragraphs>
  <TotalTime>38</TotalTime>
  <ScaleCrop>false</ScaleCrop>
  <LinksUpToDate>false</LinksUpToDate>
  <CharactersWithSpaces>2812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2023-09-01T05:42:00Z</dcterms:created>
  <dc:creator>白茶</dc:creator>
  <cp:lastModifiedBy>非鱼</cp:lastModifiedBy>
  <dcterms:modified xsi:type="dcterms:W3CDTF">2023-10-11T13:46:51Z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F99BAAF72F4B47CAB87DA856C173B51F_11</vt:lpwstr>
  </property>
</Properties>
</file>