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仿宋" w:hAnsi="仿宋" w:eastAsia="仿宋" w:cs="方正楷体简体"/>
          <w:b/>
          <w:bCs/>
          <w:kern w:val="0"/>
          <w:sz w:val="48"/>
          <w:szCs w:val="48"/>
        </w:rPr>
      </w:pPr>
      <w:r>
        <w:rPr>
          <w:rFonts w:hint="eastAsia" w:ascii="仿宋" w:hAnsi="仿宋" w:eastAsia="仿宋" w:cs="方正小标宋简体"/>
          <w:b/>
          <w:bCs/>
          <w:kern w:val="0"/>
          <w:sz w:val="48"/>
          <w:szCs w:val="48"/>
        </w:rPr>
        <w:t>怀化市民政局2022年度部门预算公开说明</w:t>
      </w:r>
    </w:p>
    <w:p>
      <w:pPr>
        <w:widowControl/>
        <w:spacing w:line="600" w:lineRule="exact"/>
        <w:jc w:val="center"/>
        <w:rPr>
          <w:rFonts w:ascii="仿宋" w:hAnsi="仿宋" w:eastAsia="仿宋"/>
          <w:bCs/>
          <w:kern w:val="0"/>
          <w:sz w:val="32"/>
          <w:szCs w:val="32"/>
        </w:rPr>
      </w:pPr>
    </w:p>
    <w:p>
      <w:pPr>
        <w:widowControl/>
        <w:spacing w:line="600" w:lineRule="exact"/>
        <w:jc w:val="center"/>
        <w:rPr>
          <w:rFonts w:ascii="黑体" w:hAnsi="黑体" w:eastAsia="黑体"/>
          <w:b/>
          <w:kern w:val="0"/>
          <w:sz w:val="32"/>
          <w:szCs w:val="32"/>
        </w:rPr>
      </w:pPr>
      <w:r>
        <w:rPr>
          <w:rFonts w:ascii="黑体" w:hAnsi="黑体" w:eastAsia="黑体"/>
          <w:b/>
          <w:kern w:val="0"/>
          <w:sz w:val="32"/>
          <w:szCs w:val="32"/>
        </w:rPr>
        <w:t>目</w:t>
      </w:r>
      <w:r>
        <w:rPr>
          <w:rFonts w:hint="eastAsia" w:ascii="黑体" w:hAnsi="黑体" w:eastAsia="黑体"/>
          <w:b/>
          <w:kern w:val="0"/>
          <w:sz w:val="32"/>
          <w:szCs w:val="32"/>
        </w:rPr>
        <w:t xml:space="preserve"> </w:t>
      </w:r>
      <w:r>
        <w:rPr>
          <w:rFonts w:ascii="黑体" w:hAnsi="黑体" w:eastAsia="黑体"/>
          <w:b/>
          <w:kern w:val="0"/>
          <w:sz w:val="32"/>
          <w:szCs w:val="32"/>
        </w:rPr>
        <w:t>录</w:t>
      </w:r>
    </w:p>
    <w:p>
      <w:pPr>
        <w:widowControl/>
        <w:spacing w:line="600" w:lineRule="exact"/>
        <w:ind w:firstLine="640" w:firstLineChars="200"/>
        <w:jc w:val="center"/>
        <w:rPr>
          <w:rFonts w:ascii="仿宋" w:hAnsi="仿宋" w:eastAsia="仿宋"/>
          <w:bCs/>
          <w:kern w:val="0"/>
          <w:sz w:val="32"/>
          <w:szCs w:val="32"/>
        </w:rPr>
      </w:pPr>
    </w:p>
    <w:p>
      <w:pPr>
        <w:widowControl/>
        <w:numPr>
          <w:ilvl w:val="0"/>
          <w:numId w:val="1"/>
        </w:numPr>
        <w:spacing w:line="600" w:lineRule="exact"/>
        <w:ind w:firstLine="643" w:firstLineChars="200"/>
        <w:rPr>
          <w:rFonts w:ascii="黑体" w:hAnsi="黑体" w:eastAsia="黑体" w:cs="黑体"/>
          <w:b/>
          <w:bCs/>
          <w:kern w:val="0"/>
          <w:sz w:val="32"/>
          <w:szCs w:val="32"/>
        </w:rPr>
      </w:pPr>
      <w:r>
        <w:rPr>
          <w:rFonts w:hint="eastAsia" w:ascii="黑体" w:hAnsi="黑体" w:eastAsia="黑体" w:cs="黑体"/>
          <w:b/>
          <w:bCs/>
          <w:kern w:val="0"/>
          <w:sz w:val="32"/>
          <w:szCs w:val="32"/>
        </w:rPr>
        <w:t>2022年部门预算说明</w:t>
      </w:r>
    </w:p>
    <w:p>
      <w:pPr>
        <w:pStyle w:val="4"/>
        <w:widowControl/>
        <w:shd w:val="clear" w:color="auto" w:fill="FFFFFF"/>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一、部门基本概况</w:t>
      </w:r>
    </w:p>
    <w:p>
      <w:pPr>
        <w:pStyle w:val="4"/>
        <w:widowControl/>
        <w:shd w:val="clear" w:color="auto" w:fill="FFFFFF"/>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二、部门预算单位构成</w:t>
      </w:r>
    </w:p>
    <w:p>
      <w:pPr>
        <w:pStyle w:val="4"/>
        <w:widowControl/>
        <w:shd w:val="clear" w:color="auto" w:fill="FFFFFF"/>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三、部门收支总体情况</w:t>
      </w:r>
    </w:p>
    <w:p>
      <w:pPr>
        <w:pStyle w:val="4"/>
        <w:widowControl/>
        <w:shd w:val="clear" w:color="auto" w:fill="FFFFFF"/>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四、一般公共预算拨款支出</w:t>
      </w:r>
    </w:p>
    <w:p>
      <w:pPr>
        <w:pStyle w:val="4"/>
        <w:widowControl/>
        <w:shd w:val="clear" w:color="auto" w:fill="FFFFFF"/>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五、政府性基金预算支出</w:t>
      </w:r>
    </w:p>
    <w:p>
      <w:pPr>
        <w:pStyle w:val="4"/>
        <w:widowControl/>
        <w:shd w:val="clear" w:color="auto" w:fill="FFFFFF"/>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六、其他重要事项的情况说明</w:t>
      </w:r>
    </w:p>
    <w:p>
      <w:pPr>
        <w:pStyle w:val="4"/>
        <w:widowControl/>
        <w:shd w:val="clear" w:color="auto" w:fill="FFFFFF"/>
        <w:spacing w:beforeAutospacing="0" w:afterAutospacing="0" w:line="600" w:lineRule="exact"/>
        <w:ind w:firstLine="640" w:firstLineChars="200"/>
        <w:rPr>
          <w:rFonts w:ascii="仿宋" w:hAnsi="仿宋" w:eastAsia="仿宋" w:cs="仿宋"/>
          <w:b/>
          <w:bCs/>
          <w:sz w:val="32"/>
          <w:szCs w:val="32"/>
        </w:rPr>
      </w:pPr>
      <w:r>
        <w:rPr>
          <w:rFonts w:hint="eastAsia" w:ascii="仿宋" w:hAnsi="仿宋" w:eastAsia="仿宋" w:cs="仿宋"/>
          <w:sz w:val="32"/>
          <w:szCs w:val="32"/>
          <w:shd w:val="clear" w:color="auto" w:fill="FFFFFF"/>
        </w:rPr>
        <w:t>七、名词解释</w:t>
      </w:r>
    </w:p>
    <w:p>
      <w:pPr>
        <w:widowControl/>
        <w:spacing w:line="600" w:lineRule="exact"/>
        <w:ind w:firstLine="643" w:firstLineChars="200"/>
        <w:rPr>
          <w:rFonts w:ascii="黑体" w:hAnsi="黑体" w:eastAsia="黑体"/>
          <w:b/>
          <w:bCs/>
          <w:kern w:val="0"/>
          <w:sz w:val="32"/>
          <w:szCs w:val="32"/>
        </w:rPr>
      </w:pPr>
      <w:r>
        <w:rPr>
          <w:rFonts w:hint="eastAsia" w:ascii="黑体" w:hAnsi="黑体" w:eastAsia="黑体" w:cs="黑体"/>
          <w:b/>
          <w:bCs/>
          <w:kern w:val="0"/>
          <w:sz w:val="32"/>
          <w:szCs w:val="32"/>
        </w:rPr>
        <w:t>第二部分2022年部门预算表</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1、部门收支总表</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2、部门收入总表</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3、部门支出总表</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4、财政拨款收支总表</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5、一般公共预算支出表</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6、一般公共预算基本支出表</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7、一般公共预算“三公”经费支出表</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8、政府性基金预算支出表</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9、国有资本经营预算支出表</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10、</w:t>
      </w:r>
      <w:bookmarkStart w:id="1" w:name="_GoBack"/>
      <w:bookmarkEnd w:id="1"/>
      <w:r>
        <w:rPr>
          <w:rFonts w:hint="eastAsia" w:ascii="仿宋" w:hAnsi="仿宋" w:eastAsia="仿宋" w:cs="仿宋"/>
          <w:sz w:val="32"/>
          <w:szCs w:val="32"/>
        </w:rPr>
        <w:t>项目支出绩效目标表</w:t>
      </w:r>
    </w:p>
    <w:p>
      <w:pPr>
        <w:widowControl/>
        <w:spacing w:line="600" w:lineRule="exact"/>
        <w:ind w:firstLine="640" w:firstLineChars="200"/>
        <w:rPr>
          <w:rFonts w:ascii="仿宋" w:hAnsi="仿宋" w:eastAsia="仿宋" w:cs="仿宋"/>
          <w:sz w:val="32"/>
          <w:szCs w:val="32"/>
          <w:highlight w:val="yellow"/>
        </w:rPr>
      </w:pPr>
      <w:r>
        <w:rPr>
          <w:rFonts w:hint="eastAsia" w:ascii="仿宋" w:hAnsi="仿宋" w:eastAsia="仿宋" w:cs="仿宋"/>
          <w:sz w:val="32"/>
          <w:szCs w:val="32"/>
        </w:rPr>
        <w:t>11、部门整体支出绩效目标表</w:t>
      </w:r>
    </w:p>
    <w:p>
      <w:pPr>
        <w:widowControl/>
        <w:spacing w:line="600" w:lineRule="exact"/>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注：以上部门预算报表中，空表表示本部门无相关收支情况。</w:t>
      </w:r>
    </w:p>
    <w:p>
      <w:pPr>
        <w:widowControl/>
        <w:spacing w:before="156" w:beforeLines="50" w:line="600" w:lineRule="exact"/>
        <w:ind w:firstLine="643" w:firstLineChars="200"/>
        <w:jc w:val="left"/>
        <w:rPr>
          <w:rFonts w:ascii="仿宋" w:hAnsi="仿宋" w:eastAsia="仿宋"/>
          <w:b/>
          <w:kern w:val="0"/>
          <w:sz w:val="32"/>
          <w:szCs w:val="32"/>
        </w:rPr>
      </w:pPr>
    </w:p>
    <w:p>
      <w:pPr>
        <w:pStyle w:val="4"/>
        <w:shd w:val="clear" w:color="auto" w:fill="FFFFFF"/>
        <w:spacing w:beforeAutospacing="0" w:afterAutospacing="0" w:line="600" w:lineRule="exact"/>
        <w:ind w:firstLine="883" w:firstLineChars="200"/>
        <w:jc w:val="center"/>
        <w:rPr>
          <w:rFonts w:ascii="黑体" w:hAnsi="黑体" w:eastAsia="黑体"/>
          <w:color w:val="000000"/>
          <w:sz w:val="44"/>
          <w:szCs w:val="44"/>
        </w:rPr>
      </w:pPr>
      <w:r>
        <w:rPr>
          <w:rStyle w:val="7"/>
          <w:rFonts w:hint="eastAsia" w:ascii="黑体" w:hAnsi="黑体" w:eastAsia="黑体"/>
          <w:color w:val="000000"/>
          <w:sz w:val="44"/>
          <w:szCs w:val="44"/>
        </w:rPr>
        <w:t>第一部分2022年部门预算说明</w:t>
      </w:r>
      <w:r>
        <w:rPr>
          <w:rFonts w:hint="eastAsia" w:ascii="黑体" w:hAnsi="黑体" w:eastAsia="黑体"/>
          <w:color w:val="000000"/>
          <w:sz w:val="44"/>
          <w:szCs w:val="44"/>
        </w:rPr>
        <w:t>  </w:t>
      </w:r>
    </w:p>
    <w:p>
      <w:pPr>
        <w:widowControl/>
        <w:spacing w:before="156" w:beforeLines="50" w:line="600" w:lineRule="exact"/>
        <w:ind w:firstLine="643" w:firstLineChars="200"/>
        <w:jc w:val="left"/>
        <w:rPr>
          <w:rFonts w:hint="eastAsia" w:ascii="仿宋" w:hAnsi="仿宋" w:eastAsia="仿宋"/>
          <w:b/>
          <w:kern w:val="0"/>
          <w:sz w:val="32"/>
          <w:szCs w:val="32"/>
        </w:rPr>
      </w:pPr>
    </w:p>
    <w:p>
      <w:pPr>
        <w:spacing w:line="600" w:lineRule="exact"/>
        <w:ind w:firstLine="640" w:firstLineChars="200"/>
        <w:jc w:val="left"/>
        <w:rPr>
          <w:rFonts w:ascii="黑体" w:hAnsi="黑体" w:eastAsia="黑体"/>
          <w:sz w:val="32"/>
          <w:szCs w:val="32"/>
        </w:rPr>
      </w:pPr>
      <w:r>
        <w:rPr>
          <w:rFonts w:ascii="黑体" w:hAnsi="黑体" w:eastAsia="黑体"/>
          <w:bCs/>
          <w:kern w:val="0"/>
          <w:sz w:val="32"/>
          <w:szCs w:val="32"/>
        </w:rPr>
        <w:t>一、部门</w:t>
      </w:r>
      <w:r>
        <w:rPr>
          <w:rFonts w:hint="eastAsia" w:ascii="黑体" w:hAnsi="黑体" w:eastAsia="黑体"/>
          <w:bCs/>
          <w:kern w:val="0"/>
          <w:sz w:val="32"/>
          <w:szCs w:val="32"/>
        </w:rPr>
        <w:t>基本概况</w:t>
      </w:r>
    </w:p>
    <w:p>
      <w:pPr>
        <w:widowControl/>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（一）部门职责</w:t>
      </w:r>
    </w:p>
    <w:p>
      <w:pPr>
        <w:widowControl/>
        <w:spacing w:line="600" w:lineRule="exact"/>
        <w:ind w:firstLine="640" w:firstLineChars="200"/>
        <w:rPr>
          <w:rFonts w:ascii="仿宋" w:hAnsi="仿宋" w:eastAsia="仿宋" w:cs="宋体"/>
          <w:color w:val="333333"/>
          <w:kern w:val="0"/>
          <w:sz w:val="32"/>
          <w:szCs w:val="32"/>
          <w:lang w:val="en"/>
        </w:rPr>
      </w:pPr>
      <w:r>
        <w:rPr>
          <w:rFonts w:hint="eastAsia" w:ascii="仿宋" w:hAnsi="仿宋" w:eastAsia="仿宋" w:cs="宋体"/>
          <w:color w:val="333333"/>
          <w:kern w:val="0"/>
          <w:sz w:val="32"/>
          <w:szCs w:val="32"/>
          <w:lang w:val="en"/>
        </w:rPr>
        <w:t>怀化市民政局是市政府管理民政事务的职能部门，负责社会救助、基层政权和社区建设、社会组织发展、区划勘界、收养登记、福利企业管理等工作。</w:t>
      </w:r>
    </w:p>
    <w:p>
      <w:pPr>
        <w:widowControl/>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（二）机构设置情况</w:t>
      </w:r>
    </w:p>
    <w:p>
      <w:pPr>
        <w:widowControl/>
        <w:spacing w:line="600" w:lineRule="exact"/>
        <w:ind w:firstLine="640" w:firstLineChars="200"/>
        <w:rPr>
          <w:rFonts w:ascii="仿宋" w:hAnsi="仿宋" w:eastAsia="仿宋" w:cs="宋体"/>
          <w:color w:val="333333"/>
          <w:kern w:val="0"/>
          <w:sz w:val="32"/>
          <w:szCs w:val="32"/>
          <w:lang w:val="en"/>
        </w:rPr>
      </w:pPr>
      <w:r>
        <w:rPr>
          <w:rFonts w:hint="eastAsia" w:ascii="仿宋" w:hAnsi="仿宋" w:eastAsia="仿宋"/>
          <w:sz w:val="32"/>
          <w:szCs w:val="32"/>
        </w:rPr>
        <w:t>怀化市民政局作为一级部门预算单位，内设科室为：</w:t>
      </w:r>
      <w:r>
        <w:rPr>
          <w:rFonts w:hint="eastAsia" w:ascii="仿宋" w:hAnsi="仿宋" w:eastAsia="仿宋" w:cs="宋体"/>
          <w:color w:val="333333"/>
          <w:kern w:val="0"/>
          <w:sz w:val="32"/>
          <w:szCs w:val="32"/>
          <w:lang w:val="en"/>
        </w:rPr>
        <w:t>办公室（法制科）、规划财务科、社会组织管理科（行政审批服务科）、社会救助科、社会事务科、养老服务和儿童福利科、慈善事业促进和社会工作科、基政社区和区划地名科、机关党委（人事科）、老区办、信息中心、婚姻登记处、低收入家庭认定指导中心。</w:t>
      </w:r>
    </w:p>
    <w:p>
      <w:pPr>
        <w:widowControl/>
        <w:spacing w:line="600" w:lineRule="exact"/>
        <w:ind w:firstLine="640" w:firstLineChars="200"/>
        <w:jc w:val="left"/>
        <w:rPr>
          <w:rFonts w:ascii="黑体" w:hAnsi="黑体" w:eastAsia="黑体"/>
          <w:bCs/>
          <w:kern w:val="0"/>
          <w:sz w:val="32"/>
          <w:szCs w:val="32"/>
        </w:rPr>
      </w:pPr>
      <w:r>
        <w:rPr>
          <w:rFonts w:hint="eastAsia" w:ascii="黑体" w:hAnsi="黑体" w:eastAsia="黑体"/>
          <w:bCs/>
          <w:kern w:val="0"/>
          <w:sz w:val="32"/>
          <w:szCs w:val="32"/>
        </w:rPr>
        <w:t>二、部门预算单位构成</w:t>
      </w:r>
    </w:p>
    <w:p>
      <w:pPr>
        <w:widowControl/>
        <w:spacing w:line="600" w:lineRule="exact"/>
        <w:ind w:firstLine="640" w:firstLineChars="200"/>
        <w:jc w:val="left"/>
        <w:rPr>
          <w:rFonts w:ascii="仿宋" w:hAnsi="仿宋" w:eastAsia="仿宋"/>
          <w:sz w:val="32"/>
          <w:szCs w:val="32"/>
        </w:rPr>
      </w:pPr>
      <w:r>
        <w:rPr>
          <w:rFonts w:hint="eastAsia" w:ascii="仿宋" w:hAnsi="仿宋" w:eastAsia="仿宋"/>
          <w:sz w:val="32"/>
          <w:szCs w:val="32"/>
        </w:rPr>
        <w:t>纳入2022年怀化市民政局部门预算编制范围的包括：怀化市民政局部门本级。</w:t>
      </w:r>
    </w:p>
    <w:p>
      <w:pPr>
        <w:widowControl/>
        <w:spacing w:line="600" w:lineRule="exact"/>
        <w:ind w:firstLine="640" w:firstLineChars="200"/>
        <w:jc w:val="left"/>
        <w:rPr>
          <w:rFonts w:ascii="黑体" w:hAnsi="黑体" w:eastAsia="黑体"/>
          <w:bCs/>
          <w:kern w:val="0"/>
          <w:sz w:val="32"/>
          <w:szCs w:val="32"/>
        </w:rPr>
      </w:pPr>
      <w:r>
        <w:rPr>
          <w:rFonts w:hint="eastAsia" w:ascii="黑体" w:hAnsi="黑体" w:eastAsia="黑体"/>
          <w:bCs/>
          <w:kern w:val="0"/>
          <w:sz w:val="32"/>
          <w:szCs w:val="32"/>
        </w:rPr>
        <w:t>三</w:t>
      </w:r>
      <w:r>
        <w:rPr>
          <w:rFonts w:ascii="黑体" w:hAnsi="黑体" w:eastAsia="黑体"/>
          <w:bCs/>
          <w:kern w:val="0"/>
          <w:sz w:val="32"/>
          <w:szCs w:val="32"/>
        </w:rPr>
        <w:t>、</w:t>
      </w:r>
      <w:r>
        <w:rPr>
          <w:rFonts w:hint="eastAsia" w:ascii="黑体" w:hAnsi="黑体" w:eastAsia="黑体"/>
          <w:bCs/>
          <w:kern w:val="0"/>
          <w:sz w:val="32"/>
          <w:szCs w:val="32"/>
        </w:rPr>
        <w:t>部门收支总体情况</w:t>
      </w:r>
    </w:p>
    <w:p>
      <w:pPr>
        <w:widowControl/>
        <w:spacing w:line="600" w:lineRule="exact"/>
        <w:ind w:firstLine="640" w:firstLineChars="200"/>
        <w:jc w:val="left"/>
        <w:rPr>
          <w:rFonts w:ascii="仿宋" w:hAnsi="仿宋" w:eastAsia="仿宋"/>
          <w:sz w:val="32"/>
          <w:szCs w:val="32"/>
        </w:rPr>
      </w:pPr>
      <w:r>
        <w:rPr>
          <w:rFonts w:hint="eastAsia" w:ascii="仿宋" w:hAnsi="仿宋" w:eastAsia="仿宋"/>
          <w:sz w:val="32"/>
          <w:szCs w:val="32"/>
        </w:rPr>
        <w:t>2022年部门预算包括本单位预算内的收支情况。</w:t>
      </w:r>
    </w:p>
    <w:p>
      <w:pPr>
        <w:widowControl/>
        <w:spacing w:line="600" w:lineRule="exact"/>
        <w:ind w:firstLine="643" w:firstLineChars="200"/>
        <w:jc w:val="left"/>
        <w:rPr>
          <w:rFonts w:ascii="仿宋" w:hAnsi="仿宋" w:eastAsia="仿宋"/>
          <w:sz w:val="32"/>
          <w:szCs w:val="32"/>
        </w:rPr>
      </w:pPr>
      <w:r>
        <w:rPr>
          <w:rFonts w:hint="eastAsia" w:ascii="仿宋" w:hAnsi="仿宋" w:eastAsia="仿宋"/>
          <w:b/>
          <w:bCs/>
          <w:sz w:val="32"/>
          <w:szCs w:val="32"/>
        </w:rPr>
        <w:t>（一）收入预算：</w:t>
      </w:r>
      <w:r>
        <w:rPr>
          <w:rFonts w:hint="eastAsia" w:ascii="仿宋" w:hAnsi="仿宋" w:eastAsia="仿宋" w:cs="仿宋"/>
          <w:sz w:val="32"/>
          <w:szCs w:val="32"/>
        </w:rPr>
        <w:t>包括一般公共预算、政府性基金、国有资本经营预算等财政拨款收入，以及经营收入、事业收入等单位资金。2022年本部门收入预算</w:t>
      </w:r>
      <w:r>
        <w:rPr>
          <w:rFonts w:hint="eastAsia" w:ascii="仿宋" w:hAnsi="仿宋" w:eastAsia="仿宋"/>
          <w:sz w:val="32"/>
          <w:szCs w:val="32"/>
        </w:rPr>
        <w:t>1007.16万元，其中：一般公共预算拨款1007.16万元，政府性基金预算拨款0万元，纳入财政专户管理的非税收入拨款0万元，国有资本经营预算拨款0万元，</w:t>
      </w:r>
      <w:r>
        <w:rPr>
          <w:rFonts w:hint="eastAsia" w:ascii="仿宋" w:hAnsi="仿宋" w:eastAsia="仿宋" w:cs="仿宋"/>
          <w:sz w:val="32"/>
          <w:szCs w:val="32"/>
        </w:rPr>
        <w:t>上年结转结余0万元</w:t>
      </w:r>
      <w:r>
        <w:rPr>
          <w:rFonts w:hint="eastAsia" w:ascii="仿宋" w:hAnsi="仿宋" w:eastAsia="仿宋"/>
          <w:sz w:val="32"/>
          <w:szCs w:val="32"/>
        </w:rPr>
        <w:t>。压减公用经费和专项支出后，同口径对比，收入较上年减少</w:t>
      </w:r>
      <w:r>
        <w:rPr>
          <w:rFonts w:ascii="仿宋" w:hAnsi="仿宋" w:eastAsia="仿宋"/>
          <w:sz w:val="32"/>
          <w:szCs w:val="32"/>
          <w:lang w:val="en"/>
        </w:rPr>
        <w:t>487.19</w:t>
      </w:r>
      <w:r>
        <w:rPr>
          <w:rFonts w:hint="eastAsia" w:ascii="仿宋" w:hAnsi="仿宋" w:eastAsia="仿宋"/>
          <w:sz w:val="32"/>
          <w:szCs w:val="32"/>
        </w:rPr>
        <w:t>万元，减少32.6%，主要原因是2022年减少专项业务工作。</w:t>
      </w:r>
    </w:p>
    <w:p>
      <w:pPr>
        <w:widowControl/>
        <w:spacing w:line="600" w:lineRule="exact"/>
        <w:ind w:firstLine="643" w:firstLineChars="200"/>
        <w:jc w:val="left"/>
        <w:rPr>
          <w:rFonts w:ascii="仿宋" w:hAnsi="仿宋" w:eastAsia="仿宋"/>
          <w:sz w:val="32"/>
          <w:szCs w:val="32"/>
        </w:rPr>
      </w:pPr>
      <w:r>
        <w:rPr>
          <w:rFonts w:hint="eastAsia" w:ascii="仿宋" w:hAnsi="仿宋" w:eastAsia="仿宋"/>
          <w:b/>
          <w:bCs/>
          <w:sz w:val="32"/>
          <w:szCs w:val="32"/>
        </w:rPr>
        <w:t>（二）支出预算：</w:t>
      </w:r>
      <w:r>
        <w:rPr>
          <w:rFonts w:hint="eastAsia" w:ascii="仿宋" w:hAnsi="仿宋" w:eastAsia="仿宋" w:cs="仿宋"/>
          <w:bCs/>
          <w:sz w:val="32"/>
          <w:szCs w:val="32"/>
        </w:rPr>
        <w:t>2022年本部门支出预算</w:t>
      </w:r>
      <w:r>
        <w:rPr>
          <w:rFonts w:hint="eastAsia" w:ascii="仿宋" w:hAnsi="仿宋" w:eastAsia="仿宋"/>
          <w:sz w:val="32"/>
          <w:szCs w:val="32"/>
        </w:rPr>
        <w:t>1007.16万元，其中</w:t>
      </w:r>
      <w:r>
        <w:rPr>
          <w:rFonts w:hint="eastAsia" w:ascii="仿宋" w:hAnsi="仿宋" w:eastAsia="仿宋" w:cs="仿宋"/>
          <w:bCs/>
          <w:sz w:val="32"/>
          <w:szCs w:val="32"/>
        </w:rPr>
        <w:t>一般公共服务支出1007.16万元，公共安全支出0万元，教育支出0万元，科学技术支出0万元</w:t>
      </w:r>
      <w:r>
        <w:rPr>
          <w:rFonts w:hint="eastAsia" w:ascii="仿宋" w:hAnsi="仿宋" w:eastAsia="仿宋"/>
          <w:sz w:val="32"/>
          <w:szCs w:val="32"/>
        </w:rPr>
        <w:t>。压减公用经费和专项支出后，同口径对比，支出较上年减少</w:t>
      </w:r>
      <w:r>
        <w:rPr>
          <w:rFonts w:ascii="仿宋" w:hAnsi="仿宋" w:eastAsia="仿宋"/>
          <w:sz w:val="32"/>
          <w:szCs w:val="32"/>
          <w:lang w:val="en"/>
        </w:rPr>
        <w:t>487.19</w:t>
      </w:r>
      <w:r>
        <w:rPr>
          <w:rFonts w:hint="eastAsia" w:ascii="仿宋" w:hAnsi="仿宋" w:eastAsia="仿宋"/>
          <w:sz w:val="32"/>
          <w:szCs w:val="32"/>
        </w:rPr>
        <w:t>万元，减少32.6%，主要原因是减少专项业务支出。</w:t>
      </w:r>
    </w:p>
    <w:p>
      <w:pPr>
        <w:widowControl/>
        <w:spacing w:line="600" w:lineRule="exact"/>
        <w:ind w:firstLine="640" w:firstLineChars="200"/>
        <w:jc w:val="left"/>
        <w:rPr>
          <w:rFonts w:ascii="黑体" w:hAnsi="黑体" w:eastAsia="黑体"/>
          <w:bCs/>
          <w:kern w:val="0"/>
          <w:sz w:val="32"/>
          <w:szCs w:val="32"/>
        </w:rPr>
      </w:pPr>
      <w:r>
        <w:rPr>
          <w:rFonts w:hint="eastAsia" w:ascii="黑体" w:hAnsi="黑体" w:eastAsia="黑体"/>
          <w:bCs/>
          <w:kern w:val="0"/>
          <w:sz w:val="32"/>
          <w:szCs w:val="32"/>
        </w:rPr>
        <w:t>四、一般公共预算财政拨款收支情况</w:t>
      </w:r>
    </w:p>
    <w:p>
      <w:pPr>
        <w:widowControl/>
        <w:spacing w:line="600" w:lineRule="exact"/>
        <w:ind w:firstLine="640" w:firstLineChars="200"/>
        <w:jc w:val="left"/>
        <w:rPr>
          <w:rFonts w:ascii="仿宋" w:hAnsi="仿宋" w:eastAsia="仿宋"/>
          <w:bCs/>
          <w:kern w:val="0"/>
          <w:sz w:val="32"/>
          <w:szCs w:val="32"/>
        </w:rPr>
      </w:pPr>
      <w:r>
        <w:rPr>
          <w:rFonts w:hint="eastAsia" w:ascii="仿宋" w:hAnsi="仿宋" w:eastAsia="仿宋" w:cs="仿宋"/>
          <w:sz w:val="32"/>
          <w:szCs w:val="32"/>
        </w:rPr>
        <w:t>2022年本部门一般公共预算拨款支出预算</w:t>
      </w:r>
      <w:r>
        <w:rPr>
          <w:rFonts w:hint="eastAsia" w:ascii="仿宋" w:hAnsi="仿宋" w:eastAsia="仿宋"/>
          <w:sz w:val="32"/>
          <w:szCs w:val="32"/>
        </w:rPr>
        <w:t>1007.16</w:t>
      </w:r>
      <w:r>
        <w:rPr>
          <w:rFonts w:hint="eastAsia" w:ascii="仿宋" w:hAnsi="仿宋" w:eastAsia="仿宋" w:cs="仿宋"/>
          <w:sz w:val="32"/>
          <w:szCs w:val="32"/>
        </w:rPr>
        <w:t>万元，其中，一般公共服务支出1007.16万元，占100%。</w:t>
      </w:r>
      <w:r>
        <w:rPr>
          <w:rFonts w:hint="eastAsia" w:ascii="仿宋" w:hAnsi="仿宋" w:eastAsia="仿宋"/>
          <w:sz w:val="32"/>
          <w:szCs w:val="32"/>
        </w:rPr>
        <w:t>具体安排情况如下：</w:t>
      </w:r>
    </w:p>
    <w:p>
      <w:pPr>
        <w:widowControl/>
        <w:spacing w:line="600" w:lineRule="exact"/>
        <w:ind w:firstLine="643" w:firstLineChars="200"/>
        <w:jc w:val="left"/>
        <w:rPr>
          <w:rFonts w:ascii="仿宋" w:hAnsi="仿宋" w:eastAsia="仿宋"/>
          <w:sz w:val="32"/>
          <w:szCs w:val="32"/>
        </w:rPr>
      </w:pPr>
      <w:r>
        <w:rPr>
          <w:rFonts w:hint="eastAsia" w:ascii="仿宋" w:hAnsi="仿宋" w:eastAsia="仿宋"/>
          <w:b/>
          <w:bCs/>
          <w:sz w:val="32"/>
          <w:szCs w:val="32"/>
        </w:rPr>
        <w:t>（一）基本支出：</w:t>
      </w:r>
      <w:r>
        <w:rPr>
          <w:rFonts w:hint="eastAsia" w:ascii="仿宋" w:hAnsi="仿宋" w:eastAsia="仿宋"/>
          <w:sz w:val="32"/>
          <w:szCs w:val="32"/>
        </w:rPr>
        <w:t>2022年年初预算数为685.16万元，是指为保障单位机构正常运转、完成日常工作任务而发生的各项支出，包括用于基本工资197.45万元、津贴补贴77.07万元、办公费4万元、印刷费5万元、水电费6万元、退休费74.76等；</w:t>
      </w:r>
    </w:p>
    <w:p>
      <w:pPr>
        <w:widowControl/>
        <w:spacing w:line="600" w:lineRule="exact"/>
        <w:ind w:firstLine="643" w:firstLineChars="200"/>
        <w:jc w:val="left"/>
        <w:rPr>
          <w:rFonts w:ascii="仿宋" w:hAnsi="仿宋" w:eastAsia="仿宋"/>
          <w:sz w:val="32"/>
          <w:szCs w:val="32"/>
        </w:rPr>
      </w:pPr>
      <w:r>
        <w:rPr>
          <w:rFonts w:hint="eastAsia" w:ascii="仿宋" w:hAnsi="仿宋" w:eastAsia="仿宋"/>
          <w:b/>
          <w:bCs/>
          <w:sz w:val="32"/>
          <w:szCs w:val="32"/>
        </w:rPr>
        <w:t>（二）项目支出：</w:t>
      </w:r>
      <w:r>
        <w:rPr>
          <w:rFonts w:hint="eastAsia" w:ascii="仿宋" w:hAnsi="仿宋" w:eastAsia="仿宋"/>
          <w:sz w:val="32"/>
          <w:szCs w:val="32"/>
        </w:rPr>
        <w:t>2022年年初预算数为322万元，是指单位为完成特定行政工作任务或事业发展目标而发生的支出，包括有关事业发展专项、专项业务费、基本建设支出等。其中：1.慈善工作及宣传经费18万元，用于慈善总会办公室日常工作及慈善宣传工作；2.慈善基金支出12万元，主要用于怀化市慈善事业稳定发展，每年确保慈善基金以10%—20%的增长率；3.社会组织服务管理经费78万元，用于社团组织登记管理、社会组织负责人离任和社会组织注销清算审计、社会组织党建、社会组织评估；4.行政区划及地名管理经费24万元，用于城区门牌管护、界线管理、清理整治不规范地名；5.社会福利、社会人才工作经费66万元，用于农村留守儿童关爱保护和困境儿童保障服务、防范养老领域非法集资宣传、社会工作人才培训、村（居）委会班子成员培训及社工站督导评估；6.低保工作经费24万元；7.流浪乞讨救助管理工作宣传培训及评估经费12万元；8.残疾人两项补贴工作宣传培训及评估经费18万元；9.全市红色资源（革命旧址、遗址）普查工作6万元；10.和谐幸福社区创建6万元；11.村民自治建设6万元；12.社会救助核对一体化平台及怀化市养老服务及居民家庭经济状态核对平台运维经费10万元，用于低收入经济核对与社会救助信息一体化建设及养老服务和居民家庭经济状况核对信息系统运行维护；13.低收入家庭认定工作经费18万元；14.殡葬改革工作宣传培训及评估经费24万元。</w:t>
      </w:r>
    </w:p>
    <w:p>
      <w:pPr>
        <w:widowControl/>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五、政府性基金支出情况</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2022年无政府性基金预算支出。</w:t>
      </w:r>
    </w:p>
    <w:p>
      <w:pPr>
        <w:widowControl/>
        <w:spacing w:line="600" w:lineRule="exact"/>
        <w:ind w:firstLine="640" w:firstLineChars="200"/>
        <w:jc w:val="left"/>
        <w:rPr>
          <w:rFonts w:ascii="黑体" w:hAnsi="黑体" w:eastAsia="黑体"/>
          <w:bCs/>
          <w:kern w:val="0"/>
          <w:sz w:val="32"/>
          <w:szCs w:val="32"/>
        </w:rPr>
      </w:pPr>
      <w:r>
        <w:rPr>
          <w:rFonts w:hint="eastAsia" w:ascii="黑体" w:hAnsi="黑体" w:eastAsia="黑体"/>
          <w:bCs/>
          <w:kern w:val="0"/>
          <w:sz w:val="32"/>
          <w:szCs w:val="32"/>
        </w:rPr>
        <w:t>六、其他重要事项的情况说明</w:t>
      </w:r>
    </w:p>
    <w:p>
      <w:pPr>
        <w:widowControl/>
        <w:spacing w:line="600" w:lineRule="exact"/>
        <w:ind w:firstLine="643" w:firstLineChars="200"/>
        <w:jc w:val="left"/>
        <w:rPr>
          <w:rFonts w:ascii="黑体" w:hAnsi="黑体" w:eastAsia="黑体"/>
          <w:bCs/>
          <w:kern w:val="0"/>
          <w:sz w:val="32"/>
          <w:szCs w:val="32"/>
        </w:rPr>
      </w:pPr>
      <w:r>
        <w:rPr>
          <w:rFonts w:hint="eastAsia" w:ascii="仿宋" w:hAnsi="仿宋" w:eastAsia="仿宋"/>
          <w:b/>
          <w:bCs/>
          <w:sz w:val="32"/>
          <w:szCs w:val="32"/>
        </w:rPr>
        <w:t>（一）“三公”经费预算</w:t>
      </w:r>
    </w:p>
    <w:p>
      <w:pPr>
        <w:pStyle w:val="9"/>
        <w:spacing w:line="600" w:lineRule="exact"/>
        <w:ind w:firstLine="640" w:firstLineChars="200"/>
        <w:rPr>
          <w:rFonts w:ascii="仿宋" w:hAnsi="仿宋" w:eastAsia="仿宋" w:cs="Times New Roman"/>
          <w:sz w:val="32"/>
          <w:szCs w:val="32"/>
        </w:rPr>
      </w:pPr>
      <w:r>
        <w:rPr>
          <w:rFonts w:hint="eastAsia" w:ascii="仿宋" w:hAnsi="仿宋" w:eastAsia="仿宋"/>
          <w:color w:val="auto"/>
          <w:sz w:val="32"/>
          <w:szCs w:val="32"/>
        </w:rPr>
        <w:t>2022年怀化市民政局安排“三公”经费预算数为83.16万元，</w:t>
      </w:r>
      <w:r>
        <w:rPr>
          <w:rFonts w:hint="eastAsia" w:ascii="仿宋" w:hAnsi="仿宋" w:eastAsia="仿宋"/>
          <w:sz w:val="32"/>
          <w:szCs w:val="32"/>
        </w:rPr>
        <w:t>其中，公务接待费</w:t>
      </w:r>
      <w:r>
        <w:rPr>
          <w:rFonts w:hint="eastAsia" w:ascii="仿宋" w:hAnsi="仿宋" w:eastAsia="仿宋"/>
          <w:sz w:val="32"/>
          <w:szCs w:val="32"/>
          <w:lang w:val="en-US" w:eastAsia="zh-CN"/>
        </w:rPr>
        <w:t>45.36</w:t>
      </w:r>
      <w:r>
        <w:rPr>
          <w:rFonts w:hint="eastAsia" w:ascii="仿宋" w:hAnsi="仿宋" w:eastAsia="仿宋"/>
          <w:sz w:val="32"/>
          <w:szCs w:val="32"/>
        </w:rPr>
        <w:t>万元，公务用车购置费0万元，公务用车运行费37.8万元，因公出国（境）费0万元。2022年“三公”经费预算较上年预算数减少3.29万元，下降3.8%，主要因为</w:t>
      </w:r>
      <w:r>
        <w:rPr>
          <w:rFonts w:hint="eastAsia" w:ascii="仿宋" w:hAnsi="仿宋" w:eastAsia="仿宋" w:cs="宋体"/>
          <w:sz w:val="32"/>
          <w:szCs w:val="32"/>
        </w:rPr>
        <w:t>我单位严格按照中央“八项规定”以及省、市有关规定，缩减“三公”经费支出。</w:t>
      </w:r>
    </w:p>
    <w:p>
      <w:pPr>
        <w:widowControl/>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（二）机关运行经费</w:t>
      </w:r>
    </w:p>
    <w:p>
      <w:pPr>
        <w:widowControl/>
        <w:spacing w:line="600" w:lineRule="exact"/>
        <w:ind w:firstLine="640" w:firstLineChars="200"/>
        <w:jc w:val="left"/>
        <w:rPr>
          <w:rFonts w:ascii="仿宋" w:hAnsi="仿宋" w:eastAsia="仿宋"/>
          <w:sz w:val="32"/>
          <w:szCs w:val="32"/>
        </w:rPr>
      </w:pPr>
      <w:r>
        <w:rPr>
          <w:rFonts w:hint="eastAsia" w:ascii="仿宋" w:hAnsi="仿宋" w:eastAsia="仿宋"/>
          <w:sz w:val="32"/>
          <w:szCs w:val="32"/>
        </w:rPr>
        <w:t>2022年怀化市民政局机关运行经费73.5万元（公开表6公用经费安排的商品和服务支出），压减公用经费后安排58.8万元（公开表6公用经费安排的商品和服务支出的80%），同口径对比，与上年预算数持平。主要用于：办公费支出4万元；印刷费支出5万元；水电费支出6万元等；物业管理费支出5万元；差旅费支出8万元；维修（护）费支出11万元；会议费支出2万元；公务接待费4万元；劳务费支出6万元；福利费支出4万元；公务用车运行维护费支出13万元；其他商品和服务支出2.5万元。</w:t>
      </w:r>
    </w:p>
    <w:p>
      <w:pPr>
        <w:widowControl/>
        <w:spacing w:line="600" w:lineRule="exact"/>
        <w:ind w:firstLine="643" w:firstLineChars="200"/>
        <w:jc w:val="left"/>
        <w:rPr>
          <w:rFonts w:ascii="仿宋" w:hAnsi="仿宋" w:eastAsia="仿宋"/>
          <w:sz w:val="32"/>
          <w:szCs w:val="32"/>
        </w:rPr>
      </w:pPr>
      <w:r>
        <w:rPr>
          <w:rFonts w:hint="eastAsia" w:ascii="仿宋" w:hAnsi="仿宋" w:eastAsia="仿宋"/>
          <w:b/>
          <w:bCs/>
          <w:sz w:val="32"/>
          <w:szCs w:val="32"/>
        </w:rPr>
        <w:t>（三）政府采购情况</w:t>
      </w:r>
    </w:p>
    <w:p>
      <w:pPr>
        <w:widowControl/>
        <w:spacing w:line="600" w:lineRule="exact"/>
        <w:ind w:firstLine="643" w:firstLineChars="200"/>
        <w:rPr>
          <w:rFonts w:ascii="仿宋" w:hAnsi="仿宋" w:eastAsia="仿宋"/>
          <w:b/>
          <w:bCs/>
          <w:sz w:val="32"/>
          <w:szCs w:val="32"/>
        </w:rPr>
      </w:pPr>
      <w:r>
        <w:rPr>
          <w:rFonts w:hint="eastAsia" w:ascii="仿宋" w:hAnsi="仿宋" w:eastAsia="仿宋" w:cs="仿宋"/>
          <w:b/>
          <w:sz w:val="32"/>
          <w:szCs w:val="32"/>
        </w:rPr>
        <w:t>2022</w:t>
      </w:r>
      <w:r>
        <w:rPr>
          <w:rFonts w:hint="eastAsia" w:ascii="仿宋" w:hAnsi="仿宋" w:eastAsia="仿宋" w:cs="仿宋"/>
          <w:sz w:val="32"/>
          <w:szCs w:val="32"/>
        </w:rPr>
        <w:t>年本部门政府采购预算总额106.3万元，其中，货物类采购预算76.3万元；工程类采购预算0万元；服务类采购预算30万元。</w:t>
      </w:r>
    </w:p>
    <w:p>
      <w:pPr>
        <w:widowControl/>
        <w:spacing w:line="600" w:lineRule="exact"/>
        <w:ind w:firstLine="643" w:firstLineChars="200"/>
        <w:jc w:val="left"/>
        <w:rPr>
          <w:rFonts w:ascii="仿宋" w:hAnsi="仿宋" w:eastAsia="仿宋"/>
          <w:b/>
          <w:bCs/>
          <w:sz w:val="32"/>
          <w:szCs w:val="32"/>
        </w:rPr>
      </w:pPr>
      <w:r>
        <w:rPr>
          <w:rFonts w:hint="eastAsia" w:ascii="仿宋" w:hAnsi="仿宋" w:eastAsia="仿宋"/>
          <w:b/>
          <w:bCs/>
          <w:sz w:val="32"/>
          <w:szCs w:val="32"/>
        </w:rPr>
        <w:t>（四）预算绩效管理情况</w:t>
      </w:r>
    </w:p>
    <w:p>
      <w:pPr>
        <w:widowControl/>
        <w:spacing w:line="600" w:lineRule="exact"/>
        <w:ind w:firstLine="640" w:firstLineChars="200"/>
        <w:jc w:val="left"/>
        <w:rPr>
          <w:rFonts w:ascii="仿宋" w:hAnsi="仿宋" w:eastAsia="仿宋"/>
          <w:sz w:val="32"/>
          <w:szCs w:val="32"/>
        </w:rPr>
      </w:pPr>
      <w:r>
        <w:rPr>
          <w:rFonts w:hint="eastAsia" w:ascii="仿宋" w:hAnsi="仿宋" w:eastAsia="仿宋" w:cs="仿宋"/>
          <w:bCs/>
          <w:kern w:val="0"/>
          <w:sz w:val="32"/>
          <w:szCs w:val="32"/>
        </w:rPr>
        <w:t>本部门所有支出实行绩效目标管理。纳入2022年部门整体支出绩效目标的金额为</w:t>
      </w:r>
      <w:r>
        <w:rPr>
          <w:rFonts w:hint="eastAsia" w:ascii="仿宋" w:hAnsi="仿宋" w:eastAsia="仿宋" w:cs="仿宋"/>
          <w:sz w:val="32"/>
          <w:szCs w:val="32"/>
        </w:rPr>
        <w:t>1007.16</w:t>
      </w:r>
      <w:r>
        <w:rPr>
          <w:rFonts w:hint="eastAsia" w:ascii="仿宋" w:hAnsi="仿宋" w:eastAsia="仿宋" w:cs="仿宋"/>
          <w:bCs/>
          <w:kern w:val="0"/>
          <w:sz w:val="32"/>
          <w:szCs w:val="32"/>
        </w:rPr>
        <w:t>万元，其中，基本支出</w:t>
      </w:r>
      <w:r>
        <w:rPr>
          <w:rFonts w:hint="eastAsia" w:ascii="仿宋" w:hAnsi="仿宋" w:eastAsia="仿宋" w:cs="仿宋"/>
          <w:sz w:val="32"/>
          <w:szCs w:val="32"/>
        </w:rPr>
        <w:t>685.16</w:t>
      </w:r>
      <w:r>
        <w:rPr>
          <w:rFonts w:hint="eastAsia" w:ascii="仿宋" w:hAnsi="仿宋" w:eastAsia="仿宋" w:cs="仿宋"/>
          <w:bCs/>
          <w:kern w:val="0"/>
          <w:sz w:val="32"/>
          <w:szCs w:val="32"/>
        </w:rPr>
        <w:t>万元，项目支出</w:t>
      </w:r>
      <w:r>
        <w:rPr>
          <w:rFonts w:hint="eastAsia" w:ascii="仿宋" w:hAnsi="仿宋" w:eastAsia="仿宋" w:cs="仿宋"/>
          <w:sz w:val="32"/>
          <w:szCs w:val="32"/>
        </w:rPr>
        <w:t>322</w:t>
      </w:r>
      <w:r>
        <w:rPr>
          <w:rFonts w:hint="eastAsia" w:ascii="仿宋" w:hAnsi="仿宋" w:eastAsia="仿宋" w:cs="仿宋"/>
          <w:bCs/>
          <w:kern w:val="0"/>
          <w:sz w:val="32"/>
          <w:szCs w:val="32"/>
        </w:rPr>
        <w:t>万元，具体绩效目标详见报表。</w:t>
      </w:r>
      <w:bookmarkStart w:id="0" w:name="_Hlk144815343"/>
      <w:r>
        <w:rPr>
          <w:rFonts w:hint="eastAsia" w:ascii="仿宋" w:hAnsi="仿宋" w:eastAsia="仿宋" w:cs="仿宋"/>
          <w:sz w:val="32"/>
          <w:szCs w:val="32"/>
        </w:rPr>
        <w:t>本部门2022年度无重点项目支出，为常规性项目开支，</w:t>
      </w:r>
      <w:bookmarkEnd w:id="0"/>
      <w:r>
        <w:rPr>
          <w:rFonts w:hint="eastAsia" w:ascii="仿宋" w:hAnsi="仿宋" w:eastAsia="仿宋" w:cs="仿宋"/>
          <w:sz w:val="32"/>
          <w:szCs w:val="32"/>
        </w:rPr>
        <w:t>详见附件2022年项目支出绩效目标表。</w:t>
      </w:r>
    </w:p>
    <w:p>
      <w:pPr>
        <w:widowControl/>
        <w:spacing w:line="600" w:lineRule="exact"/>
        <w:ind w:firstLine="643" w:firstLineChars="200"/>
        <w:jc w:val="left"/>
        <w:rPr>
          <w:rFonts w:ascii="仿宋" w:hAnsi="仿宋" w:eastAsia="仿宋"/>
          <w:b/>
          <w:bCs/>
          <w:sz w:val="32"/>
          <w:szCs w:val="32"/>
        </w:rPr>
      </w:pPr>
      <w:r>
        <w:rPr>
          <w:rFonts w:hint="eastAsia" w:ascii="仿宋" w:hAnsi="仿宋" w:eastAsia="仿宋"/>
          <w:b/>
          <w:bCs/>
          <w:sz w:val="32"/>
          <w:szCs w:val="32"/>
        </w:rPr>
        <w:t>（五）国有资产占用情况</w:t>
      </w:r>
    </w:p>
    <w:p>
      <w:pPr>
        <w:widowControl/>
        <w:spacing w:line="600" w:lineRule="exact"/>
        <w:ind w:firstLine="640" w:firstLineChars="200"/>
        <w:jc w:val="left"/>
        <w:rPr>
          <w:rFonts w:ascii="仿宋" w:hAnsi="仿宋" w:eastAsia="仿宋"/>
          <w:kern w:val="0"/>
          <w:sz w:val="32"/>
          <w:szCs w:val="32"/>
        </w:rPr>
      </w:pPr>
      <w:r>
        <w:rPr>
          <w:rFonts w:hint="eastAsia" w:ascii="仿宋" w:hAnsi="仿宋" w:eastAsia="仿宋"/>
          <w:sz w:val="32"/>
          <w:szCs w:val="32"/>
        </w:rPr>
        <w:t>截至2021年12月31日，本部门共有车辆2辆，其中，一般公务用车2辆、一般执法执勤用车0辆、</w:t>
      </w:r>
      <w:r>
        <w:rPr>
          <w:rFonts w:ascii="仿宋" w:hAnsi="仿宋" w:eastAsia="仿宋"/>
          <w:kern w:val="0"/>
          <w:sz w:val="32"/>
          <w:szCs w:val="32"/>
        </w:rPr>
        <w:t>特种专业技术用车</w:t>
      </w:r>
      <w:r>
        <w:rPr>
          <w:rFonts w:hint="eastAsia" w:ascii="仿宋" w:hAnsi="仿宋" w:eastAsia="仿宋"/>
          <w:sz w:val="32"/>
          <w:szCs w:val="32"/>
        </w:rPr>
        <w:t>0</w:t>
      </w:r>
      <w:r>
        <w:rPr>
          <w:rFonts w:ascii="仿宋" w:hAnsi="仿宋" w:eastAsia="仿宋"/>
          <w:kern w:val="0"/>
          <w:sz w:val="32"/>
          <w:szCs w:val="32"/>
        </w:rPr>
        <w:t>辆、其他用车</w:t>
      </w:r>
      <w:r>
        <w:rPr>
          <w:rFonts w:hint="eastAsia" w:ascii="仿宋" w:hAnsi="仿宋" w:eastAsia="仿宋"/>
          <w:sz w:val="32"/>
          <w:szCs w:val="32"/>
        </w:rPr>
        <w:t>0</w:t>
      </w:r>
      <w:r>
        <w:rPr>
          <w:rFonts w:ascii="仿宋" w:hAnsi="仿宋" w:eastAsia="仿宋"/>
          <w:kern w:val="0"/>
          <w:sz w:val="32"/>
          <w:szCs w:val="32"/>
        </w:rPr>
        <w:t>辆</w:t>
      </w:r>
      <w:r>
        <w:rPr>
          <w:rFonts w:hint="eastAsia" w:ascii="仿宋" w:hAnsi="仿宋" w:eastAsia="仿宋"/>
          <w:sz w:val="32"/>
          <w:szCs w:val="32"/>
        </w:rPr>
        <w:t>。</w:t>
      </w:r>
      <w:r>
        <w:rPr>
          <w:rFonts w:ascii="仿宋" w:hAnsi="仿宋" w:eastAsia="仿宋"/>
          <w:kern w:val="0"/>
          <w:sz w:val="32"/>
          <w:szCs w:val="32"/>
        </w:rPr>
        <w:t>单位价值50万元以上通用设备</w:t>
      </w:r>
      <w:r>
        <w:rPr>
          <w:rFonts w:hint="eastAsia" w:ascii="仿宋" w:hAnsi="仿宋" w:eastAsia="仿宋"/>
          <w:sz w:val="32"/>
          <w:szCs w:val="32"/>
        </w:rPr>
        <w:t>0</w:t>
      </w:r>
      <w:r>
        <w:rPr>
          <w:rFonts w:ascii="仿宋" w:hAnsi="仿宋" w:eastAsia="仿宋"/>
          <w:kern w:val="0"/>
          <w:sz w:val="32"/>
          <w:szCs w:val="32"/>
        </w:rPr>
        <w:t>台（套），单价100万元以上专用设备</w:t>
      </w:r>
      <w:r>
        <w:rPr>
          <w:rFonts w:hint="eastAsia" w:ascii="仿宋" w:hAnsi="仿宋" w:eastAsia="仿宋"/>
          <w:sz w:val="32"/>
          <w:szCs w:val="32"/>
        </w:rPr>
        <w:t>0</w:t>
      </w:r>
      <w:r>
        <w:rPr>
          <w:rFonts w:ascii="仿宋" w:hAnsi="仿宋" w:eastAsia="仿宋"/>
          <w:kern w:val="0"/>
          <w:sz w:val="32"/>
          <w:szCs w:val="32"/>
        </w:rPr>
        <w:t>台（套）。</w:t>
      </w:r>
      <w:r>
        <w:rPr>
          <w:rFonts w:hint="eastAsia" w:ascii="仿宋" w:hAnsi="仿宋" w:eastAsia="仿宋" w:cs="仿宋"/>
          <w:bCs/>
          <w:color w:val="000000"/>
          <w:kern w:val="0"/>
          <w:sz w:val="32"/>
          <w:szCs w:val="32"/>
        </w:rPr>
        <w:t>2022年拟新增配置公务用车</w:t>
      </w:r>
      <w:r>
        <w:rPr>
          <w:rFonts w:ascii="仿宋" w:hAnsi="仿宋" w:eastAsia="仿宋" w:cs="仿宋"/>
          <w:bCs/>
          <w:color w:val="000000"/>
          <w:kern w:val="0"/>
          <w:sz w:val="32"/>
          <w:szCs w:val="32"/>
        </w:rPr>
        <w:t>0</w:t>
      </w:r>
      <w:r>
        <w:rPr>
          <w:rFonts w:hint="eastAsia" w:ascii="仿宋" w:hAnsi="仿宋" w:eastAsia="仿宋" w:cs="仿宋"/>
          <w:bCs/>
          <w:color w:val="000000"/>
          <w:kern w:val="0"/>
          <w:sz w:val="32"/>
          <w:szCs w:val="32"/>
        </w:rPr>
        <w:t>辆，其中，机要通信用车</w:t>
      </w:r>
      <w:r>
        <w:rPr>
          <w:rFonts w:ascii="仿宋" w:hAnsi="仿宋" w:eastAsia="仿宋" w:cs="仿宋"/>
          <w:bCs/>
          <w:color w:val="000000"/>
          <w:kern w:val="0"/>
          <w:sz w:val="32"/>
          <w:szCs w:val="32"/>
        </w:rPr>
        <w:t>0</w:t>
      </w:r>
      <w:r>
        <w:rPr>
          <w:rFonts w:hint="eastAsia" w:ascii="仿宋" w:hAnsi="仿宋" w:eastAsia="仿宋" w:cs="仿宋"/>
          <w:bCs/>
          <w:color w:val="000000"/>
          <w:kern w:val="0"/>
          <w:sz w:val="32"/>
          <w:szCs w:val="32"/>
        </w:rPr>
        <w:t>辆，应急保障用车</w:t>
      </w:r>
      <w:r>
        <w:rPr>
          <w:rFonts w:ascii="仿宋" w:hAnsi="仿宋" w:eastAsia="仿宋" w:cs="仿宋"/>
          <w:bCs/>
          <w:color w:val="000000"/>
          <w:kern w:val="0"/>
          <w:sz w:val="32"/>
          <w:szCs w:val="32"/>
        </w:rPr>
        <w:t>0</w:t>
      </w:r>
      <w:r>
        <w:rPr>
          <w:rFonts w:hint="eastAsia" w:ascii="仿宋" w:hAnsi="仿宋" w:eastAsia="仿宋" w:cs="仿宋"/>
          <w:bCs/>
          <w:color w:val="000000"/>
          <w:kern w:val="0"/>
          <w:sz w:val="32"/>
          <w:szCs w:val="32"/>
        </w:rPr>
        <w:t>辆，执法执勤用车辆，特种专业技术用车</w:t>
      </w:r>
      <w:r>
        <w:rPr>
          <w:rFonts w:ascii="仿宋" w:hAnsi="仿宋" w:eastAsia="仿宋" w:cs="仿宋"/>
          <w:bCs/>
          <w:color w:val="000000"/>
          <w:kern w:val="0"/>
          <w:sz w:val="32"/>
          <w:szCs w:val="32"/>
        </w:rPr>
        <w:t>0</w:t>
      </w:r>
      <w:r>
        <w:rPr>
          <w:rFonts w:hint="eastAsia" w:ascii="仿宋" w:hAnsi="仿宋" w:eastAsia="仿宋" w:cs="仿宋"/>
          <w:bCs/>
          <w:color w:val="000000"/>
          <w:kern w:val="0"/>
          <w:sz w:val="32"/>
          <w:szCs w:val="32"/>
        </w:rPr>
        <w:t>辆，其他按照规定配备的公务用车辆；新增配备单位价值50万元以上通用设备</w:t>
      </w:r>
      <w:r>
        <w:rPr>
          <w:rFonts w:ascii="仿宋" w:hAnsi="仿宋" w:eastAsia="仿宋" w:cs="仿宋"/>
          <w:bCs/>
          <w:color w:val="000000"/>
          <w:kern w:val="0"/>
          <w:sz w:val="32"/>
          <w:szCs w:val="32"/>
        </w:rPr>
        <w:t>0</w:t>
      </w:r>
      <w:r>
        <w:rPr>
          <w:rFonts w:hint="eastAsia" w:ascii="仿宋" w:hAnsi="仿宋" w:eastAsia="仿宋" w:cs="仿宋"/>
          <w:bCs/>
          <w:color w:val="000000"/>
          <w:kern w:val="0"/>
          <w:sz w:val="32"/>
          <w:szCs w:val="32"/>
        </w:rPr>
        <w:t>台，单位价值100万元以上专用设备</w:t>
      </w:r>
      <w:r>
        <w:rPr>
          <w:rFonts w:ascii="仿宋" w:hAnsi="仿宋" w:eastAsia="仿宋" w:cs="仿宋"/>
          <w:bCs/>
          <w:color w:val="000000"/>
          <w:kern w:val="0"/>
          <w:sz w:val="32"/>
          <w:szCs w:val="32"/>
        </w:rPr>
        <w:t>0</w:t>
      </w:r>
      <w:r>
        <w:rPr>
          <w:rFonts w:hint="eastAsia" w:ascii="仿宋" w:hAnsi="仿宋" w:eastAsia="仿宋" w:cs="仿宋"/>
          <w:bCs/>
          <w:color w:val="000000"/>
          <w:kern w:val="0"/>
          <w:sz w:val="32"/>
          <w:szCs w:val="32"/>
        </w:rPr>
        <w:t>台。</w:t>
      </w:r>
    </w:p>
    <w:p>
      <w:pPr>
        <w:widowControl/>
        <w:numPr>
          <w:ilvl w:val="0"/>
          <w:numId w:val="2"/>
        </w:numPr>
        <w:spacing w:line="600" w:lineRule="exact"/>
        <w:ind w:firstLine="643" w:firstLineChars="200"/>
        <w:jc w:val="left"/>
        <w:rPr>
          <w:rFonts w:ascii="仿宋" w:hAnsi="仿宋" w:eastAsia="仿宋"/>
          <w:b/>
          <w:bCs/>
          <w:kern w:val="0"/>
          <w:sz w:val="32"/>
          <w:szCs w:val="32"/>
        </w:rPr>
      </w:pPr>
      <w:r>
        <w:rPr>
          <w:rFonts w:hint="eastAsia" w:ascii="仿宋" w:hAnsi="仿宋" w:eastAsia="仿宋"/>
          <w:b/>
          <w:bCs/>
          <w:kern w:val="0"/>
          <w:sz w:val="32"/>
          <w:szCs w:val="32"/>
        </w:rPr>
        <w:t>一般性支出情况</w:t>
      </w:r>
    </w:p>
    <w:p>
      <w:pPr>
        <w:widowControl/>
        <w:spacing w:line="600" w:lineRule="exact"/>
        <w:ind w:firstLine="640" w:firstLineChars="200"/>
        <w:jc w:val="left"/>
        <w:rPr>
          <w:rFonts w:ascii="仿宋" w:hAnsi="仿宋" w:eastAsia="仿宋"/>
          <w:b/>
          <w:bCs/>
          <w:sz w:val="32"/>
          <w:szCs w:val="32"/>
        </w:rPr>
      </w:pPr>
      <w:r>
        <w:rPr>
          <w:rFonts w:hint="eastAsia" w:ascii="仿宋" w:hAnsi="仿宋" w:eastAsia="仿宋"/>
          <w:kern w:val="0"/>
          <w:sz w:val="32"/>
          <w:szCs w:val="32"/>
        </w:rPr>
        <w:t>1</w:t>
      </w:r>
      <w:r>
        <w:rPr>
          <w:rFonts w:hint="eastAsia" w:ascii="仿宋" w:hAnsi="仿宋" w:eastAsia="仿宋" w:cs="黑体"/>
          <w:kern w:val="0"/>
          <w:sz w:val="32"/>
          <w:szCs w:val="32"/>
        </w:rPr>
        <w:t>.</w:t>
      </w:r>
      <w:r>
        <w:rPr>
          <w:rFonts w:hint="eastAsia" w:ascii="仿宋" w:hAnsi="仿宋" w:eastAsia="仿宋"/>
          <w:kern w:val="0"/>
          <w:sz w:val="32"/>
          <w:szCs w:val="32"/>
        </w:rPr>
        <w:t>2022年，本部门会议费预算</w:t>
      </w:r>
      <w:r>
        <w:rPr>
          <w:rFonts w:hint="eastAsia" w:ascii="仿宋" w:hAnsi="仿宋" w:eastAsia="仿宋"/>
          <w:sz w:val="32"/>
          <w:szCs w:val="32"/>
        </w:rPr>
        <w:t>2万元，具体为：全市党风廉政建设工作会议，内容为全市民政工作党风廉政建设，预计参会人数50人，预算0.8万元；怀化市流浪乞讨人员救助管理会议，内容为提升全市救助管理水平，预计参会人数40人，预算0.6万元；全市养老服务真抓实干工作会议，内容为提升全市养老服务水平，预计参会人员40人，预算0.6万元。</w:t>
      </w:r>
    </w:p>
    <w:p>
      <w:pPr>
        <w:widowControl/>
        <w:spacing w:line="600" w:lineRule="exact"/>
        <w:ind w:firstLine="640" w:firstLineChars="200"/>
        <w:jc w:val="left"/>
        <w:rPr>
          <w:rFonts w:ascii="仿宋" w:hAnsi="仿宋" w:eastAsia="仿宋"/>
          <w:sz w:val="32"/>
          <w:szCs w:val="32"/>
        </w:rPr>
      </w:pPr>
      <w:r>
        <w:rPr>
          <w:rFonts w:hint="eastAsia" w:ascii="仿宋" w:hAnsi="仿宋" w:eastAsia="仿宋"/>
          <w:sz w:val="32"/>
          <w:szCs w:val="32"/>
        </w:rPr>
        <w:t>2</w:t>
      </w:r>
      <w:r>
        <w:rPr>
          <w:rFonts w:hint="eastAsia" w:ascii="仿宋" w:hAnsi="仿宋" w:eastAsia="仿宋" w:cs="黑体"/>
          <w:kern w:val="0"/>
          <w:sz w:val="32"/>
          <w:szCs w:val="32"/>
        </w:rPr>
        <w:t>.</w:t>
      </w:r>
      <w:r>
        <w:rPr>
          <w:rFonts w:hint="eastAsia" w:ascii="仿宋" w:hAnsi="仿宋" w:eastAsia="仿宋"/>
          <w:sz w:val="32"/>
          <w:szCs w:val="32"/>
        </w:rPr>
        <w:t>2022年本部门无培训费预算。</w:t>
      </w:r>
    </w:p>
    <w:p>
      <w:pPr>
        <w:widowControl/>
        <w:spacing w:line="600" w:lineRule="exact"/>
        <w:ind w:firstLine="640" w:firstLineChars="200"/>
        <w:jc w:val="left"/>
        <w:rPr>
          <w:rFonts w:ascii="仿宋" w:hAnsi="仿宋" w:eastAsia="仿宋"/>
          <w:sz w:val="32"/>
          <w:szCs w:val="32"/>
        </w:rPr>
      </w:pPr>
      <w:r>
        <w:rPr>
          <w:rFonts w:hint="eastAsia" w:ascii="仿宋" w:hAnsi="仿宋" w:eastAsia="仿宋"/>
          <w:sz w:val="32"/>
          <w:szCs w:val="32"/>
        </w:rPr>
        <w:t>3</w:t>
      </w:r>
      <w:r>
        <w:rPr>
          <w:rFonts w:hint="eastAsia" w:ascii="仿宋" w:hAnsi="仿宋" w:eastAsia="仿宋" w:cs="黑体"/>
          <w:kern w:val="0"/>
          <w:sz w:val="32"/>
          <w:szCs w:val="32"/>
        </w:rPr>
        <w:t>.</w:t>
      </w:r>
      <w:r>
        <w:rPr>
          <w:rFonts w:hint="eastAsia" w:ascii="仿宋" w:hAnsi="仿宋" w:eastAsia="仿宋"/>
          <w:sz w:val="32"/>
          <w:szCs w:val="32"/>
        </w:rPr>
        <w:t>2022年本部门无举办节庆、晚会、论坛、赛事等预算。</w:t>
      </w:r>
    </w:p>
    <w:p>
      <w:pPr>
        <w:widowControl/>
        <w:spacing w:line="600" w:lineRule="exact"/>
        <w:ind w:firstLine="640" w:firstLineChars="200"/>
        <w:jc w:val="left"/>
        <w:rPr>
          <w:rFonts w:ascii="黑体" w:hAnsi="黑体" w:eastAsia="黑体"/>
          <w:sz w:val="32"/>
          <w:szCs w:val="32"/>
        </w:rPr>
      </w:pPr>
      <w:r>
        <w:rPr>
          <w:rFonts w:hint="eastAsia" w:ascii="黑体" w:hAnsi="黑体" w:eastAsia="黑体"/>
          <w:sz w:val="32"/>
          <w:szCs w:val="32"/>
        </w:rPr>
        <w:t>七、专业名词解释</w:t>
      </w:r>
    </w:p>
    <w:p>
      <w:pPr>
        <w:widowControl/>
        <w:spacing w:line="600" w:lineRule="exact"/>
        <w:ind w:firstLine="643" w:firstLineChars="200"/>
        <w:jc w:val="left"/>
        <w:rPr>
          <w:rFonts w:ascii="仿宋" w:hAnsi="仿宋" w:eastAsia="仿宋"/>
          <w:sz w:val="32"/>
          <w:szCs w:val="32"/>
        </w:rPr>
      </w:pPr>
      <w:r>
        <w:rPr>
          <w:rFonts w:hint="eastAsia" w:ascii="仿宋" w:hAnsi="仿宋" w:eastAsia="仿宋" w:cs="楷体_GB2312"/>
          <w:b/>
          <w:bCs/>
          <w:sz w:val="32"/>
          <w:szCs w:val="32"/>
        </w:rPr>
        <w:t>1.机关运行经费：</w:t>
      </w:r>
      <w:r>
        <w:rPr>
          <w:rFonts w:hint="eastAsia" w:ascii="仿宋" w:hAnsi="仿宋" w:eastAsia="仿宋"/>
          <w:sz w:val="32"/>
          <w:szCs w:val="32"/>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pPr>
        <w:widowControl/>
        <w:spacing w:line="600" w:lineRule="exact"/>
        <w:ind w:firstLine="643" w:firstLineChars="200"/>
        <w:jc w:val="left"/>
        <w:rPr>
          <w:rFonts w:ascii="仿宋" w:hAnsi="仿宋" w:eastAsia="仿宋"/>
          <w:sz w:val="32"/>
          <w:szCs w:val="32"/>
        </w:rPr>
      </w:pPr>
      <w:r>
        <w:rPr>
          <w:rFonts w:hint="eastAsia" w:ascii="仿宋" w:hAnsi="仿宋" w:eastAsia="仿宋" w:cs="楷体_GB2312"/>
          <w:b/>
          <w:bCs/>
          <w:sz w:val="32"/>
          <w:szCs w:val="32"/>
        </w:rPr>
        <w:t>2.“三公”经费：</w:t>
      </w:r>
      <w:r>
        <w:rPr>
          <w:rFonts w:hint="eastAsia" w:ascii="仿宋" w:hAnsi="仿宋" w:eastAsia="仿宋"/>
          <w:sz w:val="32"/>
          <w:szCs w:val="32"/>
        </w:rPr>
        <w:t>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spacing w:line="600" w:lineRule="exact"/>
        <w:ind w:firstLine="640" w:firstLineChars="200"/>
        <w:rPr>
          <w:rFonts w:ascii="仿宋" w:hAnsi="仿宋" w:eastAsia="仿宋" w:cs="黑体"/>
          <w:sz w:val="32"/>
          <w:szCs w:val="32"/>
        </w:rPr>
      </w:pPr>
    </w:p>
    <w:p>
      <w:pPr>
        <w:widowControl/>
        <w:spacing w:line="600" w:lineRule="exact"/>
        <w:ind w:firstLine="640" w:firstLineChars="200"/>
        <w:jc w:val="left"/>
        <w:rPr>
          <w:rFonts w:hint="eastAsia" w:ascii="仿宋" w:hAnsi="仿宋" w:eastAsia="仿宋"/>
          <w:color w:val="000000"/>
          <w:sz w:val="32"/>
          <w:szCs w:val="32"/>
        </w:rPr>
      </w:pPr>
    </w:p>
    <w:p>
      <w:pPr>
        <w:widowControl/>
        <w:spacing w:line="600" w:lineRule="exact"/>
        <w:ind w:firstLine="883" w:firstLineChars="200"/>
        <w:jc w:val="center"/>
        <w:rPr>
          <w:rStyle w:val="7"/>
          <w:rFonts w:ascii="黑体" w:hAnsi="黑体" w:eastAsia="黑体"/>
          <w:color w:val="000000"/>
          <w:sz w:val="44"/>
          <w:szCs w:val="44"/>
        </w:rPr>
      </w:pPr>
      <w:r>
        <w:rPr>
          <w:rStyle w:val="7"/>
          <w:rFonts w:hint="eastAsia" w:ascii="黑体" w:hAnsi="黑体" w:eastAsia="黑体"/>
          <w:color w:val="000000"/>
          <w:sz w:val="44"/>
          <w:szCs w:val="44"/>
        </w:rPr>
        <w:t>第二部分2022年部门预算表</w:t>
      </w:r>
    </w:p>
    <w:p>
      <w:pPr>
        <w:widowControl/>
        <w:spacing w:line="600" w:lineRule="exact"/>
        <w:ind w:firstLine="640" w:firstLineChars="200"/>
        <w:jc w:val="center"/>
        <w:rPr>
          <w:rFonts w:hint="eastAsia" w:ascii="仿宋" w:hAnsi="仿宋" w:eastAsia="仿宋"/>
          <w:b/>
          <w:bCs/>
          <w:color w:val="000000"/>
          <w:sz w:val="32"/>
          <w:szCs w:val="32"/>
        </w:rPr>
      </w:pPr>
      <w:r>
        <w:rPr>
          <w:rStyle w:val="7"/>
          <w:rFonts w:hint="eastAsia" w:ascii="仿宋" w:hAnsi="仿宋" w:eastAsia="仿宋"/>
          <w:b w:val="0"/>
          <w:bCs w:val="0"/>
          <w:color w:val="000000"/>
          <w:sz w:val="32"/>
          <w:szCs w:val="32"/>
        </w:rPr>
        <w:t>（详情见附件）</w:t>
      </w:r>
    </w:p>
    <w:p>
      <w:pPr>
        <w:spacing w:line="600" w:lineRule="exact"/>
        <w:ind w:firstLine="640" w:firstLineChars="200"/>
        <w:rPr>
          <w:rFonts w:ascii="仿宋" w:hAnsi="仿宋" w:eastAsia="仿宋"/>
          <w:sz w:val="32"/>
          <w:szCs w:val="32"/>
        </w:rPr>
      </w:pPr>
    </w:p>
    <w:sectPr>
      <w:headerReference r:id="rId3" w:type="default"/>
      <w:footerReference r:id="rId4" w:type="even"/>
      <w:pgSz w:w="11906" w:h="16838"/>
      <w:pgMar w:top="1984"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楷体简体">
    <w:altName w:val="宋体"/>
    <w:panose1 w:val="00000000000000000000"/>
    <w:charset w:val="00"/>
    <w:family w:val="auto"/>
    <w:pitch w:val="default"/>
    <w:sig w:usb0="00000000" w:usb1="00000000" w:usb2="00000012" w:usb3="00000000" w:csb0="00040001" w:csb1="00000000"/>
  </w:font>
  <w:font w:name="方正小标宋简体">
    <w:altName w:val="黑体"/>
    <w:panose1 w:val="00000000000000000000"/>
    <w:charset w:val="00"/>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6670" cy="131445"/>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26670" cy="131445"/>
                      </a:xfrm>
                      <a:prstGeom prst="rect">
                        <a:avLst/>
                      </a:prstGeom>
                      <a:noFill/>
                      <a:ln>
                        <a:noFill/>
                      </a:ln>
                    </wps:spPr>
                    <wps:txbx>
                      <w:txbxContent>
                        <w:p>
                          <w:pPr>
                            <w:pStyle w:val="2"/>
                            <w:rPr>
                              <w:rStyle w:val="8"/>
                            </w:rPr>
                          </w:pPr>
                          <w:r>
                            <w:fldChar w:fldCharType="begin"/>
                          </w:r>
                          <w:r>
                            <w:rPr>
                              <w:rStyle w:val="8"/>
                            </w:rPr>
                            <w:instrText xml:space="preserve">PAGE  </w:instrText>
                          </w:r>
                          <w:r>
                            <w:fldChar w:fldCharType="separate"/>
                          </w:r>
                          <w:r>
                            <w:rPr>
                              <w:rStyle w:val="8"/>
                            </w:rP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2.1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NR4T90AAAAAIBAAAPAAAAAAAAAAEAIAAAACIAAABkcnMvZG93bnJl&#10;di54bWxQSwECFAAUAAAACACHTuJAOF6AXcwBAACWAwAADgAAAAAAAAABACAAAAAfAQAAZHJzL2Uy&#10;b0RvYy54bWxQSwUGAAAAAAYABgBZAQAAXQUAAAAA&#10;">
              <v:fill on="f" focussize="0,0"/>
              <v:stroke on="f"/>
              <v:imagedata o:title=""/>
              <o:lock v:ext="edit" aspectratio="f"/>
              <v:textbox inset="0mm,0mm,0mm,0mm" style="mso-fit-shape-to-text:t;">
                <w:txbxContent>
                  <w:p>
                    <w:pPr>
                      <w:pStyle w:val="2"/>
                      <w:rPr>
                        <w:rStyle w:val="8"/>
                      </w:rPr>
                    </w:pPr>
                    <w:r>
                      <w:fldChar w:fldCharType="begin"/>
                    </w:r>
                    <w:r>
                      <w:rPr>
                        <w:rStyle w:val="8"/>
                      </w:rPr>
                      <w:instrText xml:space="preserve">PAGE  </w:instrText>
                    </w:r>
                    <w:r>
                      <w:fldChar w:fldCharType="separate"/>
                    </w:r>
                    <w:r>
                      <w:rPr>
                        <w:rStyle w:val="8"/>
                      </w:rPr>
                      <w:t>1</w:t>
                    </w:r>
                    <w:r>
                      <w:fldChar w:fldCharType="end"/>
                    </w:r>
                  </w:p>
                </w:txbxContent>
              </v:textbox>
              <w10:wrap type="squar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21EE9E"/>
    <w:multiLevelType w:val="singleLevel"/>
    <w:tmpl w:val="E421EE9E"/>
    <w:lvl w:ilvl="0" w:tentative="0">
      <w:start w:val="6"/>
      <w:numFmt w:val="chineseCounting"/>
      <w:suff w:val="nothing"/>
      <w:lvlText w:val="（%1）"/>
      <w:lvlJc w:val="left"/>
      <w:rPr>
        <w:rFonts w:hint="eastAsia"/>
      </w:rPr>
    </w:lvl>
  </w:abstractNum>
  <w:abstractNum w:abstractNumId="1">
    <w:nsid w:val="19A0957C"/>
    <w:multiLevelType w:val="singleLevel"/>
    <w:tmpl w:val="19A0957C"/>
    <w:lvl w:ilvl="0" w:tentative="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4MjM4OGRjMjA1YmIwNDg3YWY0MmMwNWU4YTAwYjIifQ=="/>
  </w:docVars>
  <w:rsids>
    <w:rsidRoot w:val="7EFDF7A4"/>
    <w:rsid w:val="0000603E"/>
    <w:rsid w:val="00270FA2"/>
    <w:rsid w:val="002855F9"/>
    <w:rsid w:val="003771D7"/>
    <w:rsid w:val="007C4501"/>
    <w:rsid w:val="00AE5842"/>
    <w:rsid w:val="00BA4A88"/>
    <w:rsid w:val="00E73C5B"/>
    <w:rsid w:val="00EE3F07"/>
    <w:rsid w:val="22B14E01"/>
    <w:rsid w:val="3DF53AF1"/>
    <w:rsid w:val="4A200FFF"/>
    <w:rsid w:val="506254BC"/>
    <w:rsid w:val="7EFDF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character" w:styleId="7">
    <w:name w:val="Strong"/>
    <w:qFormat/>
    <w:uiPriority w:val="22"/>
    <w:rPr>
      <w:b/>
      <w:bCs/>
    </w:rPr>
  </w:style>
  <w:style w:type="character" w:styleId="8">
    <w:name w:val="page number"/>
    <w:basedOn w:val="6"/>
    <w:qFormat/>
    <w:uiPriority w:val="0"/>
  </w:style>
  <w:style w:type="paragraph" w:customStyle="1" w:styleId="9">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517</Words>
  <Characters>2951</Characters>
  <Lines>24</Lines>
  <Paragraphs>6</Paragraphs>
  <TotalTime>178</TotalTime>
  <ScaleCrop>false</ScaleCrop>
  <LinksUpToDate>false</LinksUpToDate>
  <CharactersWithSpaces>3462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2023-09-01T15:29:00Z</dcterms:created>
  <dc:creator>greatwall</dc:creator>
  <cp:lastModifiedBy>非鱼</cp:lastModifiedBy>
  <dcterms:modified xsi:type="dcterms:W3CDTF">2023-10-11T13:47:38Z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F3A6D054C5F04281AF8DE7B7A280F495_12</vt:lpwstr>
  </property>
</Properties>
</file>