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223CB">
      <w:pPr>
        <w:pStyle w:val="13"/>
        <w:jc w:val="both"/>
        <w:rPr>
          <w:rFonts w:hAnsi="黑体"/>
          <w:sz w:val="36"/>
          <w:szCs w:val="36"/>
        </w:rPr>
      </w:pPr>
      <w:r>
        <w:rPr>
          <w:rFonts w:hint="eastAsia" w:hAnsi="黑体"/>
          <w:sz w:val="36"/>
          <w:szCs w:val="36"/>
        </w:rPr>
        <w:t>附件1</w:t>
      </w:r>
    </w:p>
    <w:p w14:paraId="39F5A485">
      <w:pPr>
        <w:pStyle w:val="13"/>
        <w:jc w:val="center"/>
        <w:rPr>
          <w:rFonts w:ascii="Times New Roman" w:hAnsi="Times New Roman" w:cs="Times New Roman"/>
          <w:sz w:val="56"/>
          <w:szCs w:val="56"/>
        </w:rPr>
      </w:pPr>
    </w:p>
    <w:p w14:paraId="6FF7737C">
      <w:pPr>
        <w:pStyle w:val="13"/>
        <w:jc w:val="center"/>
        <w:rPr>
          <w:rFonts w:ascii="Times New Roman" w:hAnsi="Times New Roman" w:cs="Times New Roman"/>
          <w:sz w:val="84"/>
          <w:szCs w:val="84"/>
        </w:rPr>
      </w:pPr>
    </w:p>
    <w:p w14:paraId="6C1EB931">
      <w:pPr>
        <w:pStyle w:val="13"/>
        <w:jc w:val="center"/>
        <w:rPr>
          <w:rFonts w:ascii="Times New Roman" w:hAnsi="Times New Roman" w:cs="Times New Roman"/>
          <w:sz w:val="84"/>
          <w:szCs w:val="84"/>
        </w:rPr>
      </w:pPr>
    </w:p>
    <w:p w14:paraId="6EC6C10A">
      <w:pPr>
        <w:pStyle w:val="13"/>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2712AA40">
      <w:pPr>
        <w:pStyle w:val="13"/>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eastAsia="zh-CN"/>
        </w:rPr>
        <w:t>怀化市疾病预防控制中心</w:t>
      </w:r>
      <w:r>
        <w:rPr>
          <w:rFonts w:ascii="Times New Roman" w:hAnsi="Times New Roman" w:eastAsia="方正小标宋简体" w:cs="Times New Roman"/>
          <w:sz w:val="72"/>
          <w:szCs w:val="72"/>
        </w:rPr>
        <w:t>部门决算</w:t>
      </w:r>
    </w:p>
    <w:p w14:paraId="0E92693C">
      <w:pPr>
        <w:pStyle w:val="13"/>
        <w:jc w:val="center"/>
        <w:rPr>
          <w:rFonts w:ascii="Times New Roman" w:hAnsi="Times New Roman" w:eastAsia="方正小标宋_GBK" w:cs="Times New Roman"/>
          <w:sz w:val="56"/>
          <w:szCs w:val="56"/>
        </w:rPr>
      </w:pPr>
    </w:p>
    <w:p w14:paraId="22665349">
      <w:pPr>
        <w:pStyle w:val="13"/>
        <w:spacing w:line="600" w:lineRule="exact"/>
        <w:jc w:val="both"/>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p>
    <w:p w14:paraId="24270A52">
      <w:pPr>
        <w:pStyle w:val="13"/>
        <w:spacing w:line="600" w:lineRule="exact"/>
        <w:ind w:firstLine="3960" w:firstLineChars="1100"/>
        <w:jc w:val="both"/>
        <w:rPr>
          <w:rFonts w:ascii="Times New Roman" w:hAnsi="Times New Roman" w:cs="Times New Roman"/>
          <w:bCs/>
          <w:sz w:val="36"/>
          <w:szCs w:val="28"/>
        </w:rPr>
      </w:pPr>
      <w:r>
        <w:rPr>
          <w:rFonts w:ascii="Times New Roman" w:hAnsi="Times New Roman" w:cs="Times New Roman"/>
          <w:bCs/>
          <w:sz w:val="36"/>
          <w:szCs w:val="28"/>
        </w:rPr>
        <w:t>目  录</w:t>
      </w:r>
    </w:p>
    <w:p w14:paraId="10AEF348">
      <w:pPr>
        <w:pStyle w:val="13"/>
        <w:spacing w:line="600" w:lineRule="exact"/>
        <w:jc w:val="center"/>
        <w:rPr>
          <w:rFonts w:ascii="Times New Roman" w:hAnsi="Times New Roman" w:cs="Times New Roman"/>
          <w:b/>
          <w:sz w:val="36"/>
          <w:szCs w:val="28"/>
        </w:rPr>
      </w:pPr>
    </w:p>
    <w:p w14:paraId="69A379FD">
      <w:pPr>
        <w:pStyle w:val="13"/>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eastAsia="zh-CN"/>
        </w:rPr>
        <w:t>怀化市疾病预防控制中心</w:t>
      </w:r>
      <w:r>
        <w:rPr>
          <w:rFonts w:ascii="Times New Roman" w:hAnsi="Times New Roman" w:cs="Times New Roman"/>
          <w:bCs/>
          <w:sz w:val="32"/>
          <w:szCs w:val="32"/>
        </w:rPr>
        <w:t>概况</w:t>
      </w:r>
    </w:p>
    <w:p w14:paraId="4DF22898">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54AC1DFD">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633AB2E1">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3E6DC24C">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0583EA3D">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4619CE67">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7FDDEE7A">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2C14FEDD">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57D23336">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63679046">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42FD66C7">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494A44C3">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4D8D7272">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0D859DFD">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08D43798">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72EA5264">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41D80B57">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10DB9EB0">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0278E149">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14:paraId="09BC6747">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2D286E44">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65153C8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1E6C09E6">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九、</w:t>
      </w:r>
      <w:r>
        <w:rPr>
          <w:rFonts w:hint="eastAsia" w:ascii="Times New Roman" w:hAnsi="Times New Roman" w:eastAsia="仿宋_GB2312" w:cs="Times New Roman"/>
          <w:color w:val="000000"/>
          <w:kern w:val="0"/>
          <w:sz w:val="32"/>
          <w:szCs w:val="32"/>
        </w:rPr>
        <w:t>国有资本经营预算财政拨款支出决算</w:t>
      </w:r>
      <w:r>
        <w:rPr>
          <w:rFonts w:hint="eastAsia" w:ascii="Times New Roman" w:hAnsi="Times New Roman" w:eastAsia="仿宋_GB2312" w:cs="Times New Roman"/>
          <w:color w:val="000000"/>
          <w:kern w:val="0"/>
          <w:sz w:val="32"/>
          <w:szCs w:val="32"/>
          <w:lang w:eastAsia="zh-CN"/>
        </w:rPr>
        <w:t>情况</w:t>
      </w:r>
    </w:p>
    <w:p w14:paraId="5ADDDEE5">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十</w:t>
      </w:r>
      <w:r>
        <w:rPr>
          <w:rFonts w:ascii="Times New Roman" w:hAnsi="Times New Roman" w:eastAsia="仿宋_GB2312" w:cs="Times New Roman"/>
          <w:color w:val="000000"/>
          <w:kern w:val="0"/>
          <w:sz w:val="32"/>
          <w:szCs w:val="32"/>
        </w:rPr>
        <w:t>、关于机关运行经费支出说明</w:t>
      </w:r>
    </w:p>
    <w:p w14:paraId="04A2626F">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eastAsia="zh-CN"/>
        </w:rPr>
        <w:t>一</w:t>
      </w:r>
      <w:r>
        <w:rPr>
          <w:rFonts w:ascii="Times New Roman" w:hAnsi="Times New Roman" w:eastAsia="仿宋_GB2312" w:cs="Times New Roman"/>
          <w:color w:val="000000"/>
          <w:kern w:val="0"/>
          <w:sz w:val="32"/>
          <w:szCs w:val="32"/>
        </w:rPr>
        <w:t>、一般性支出情况说明</w:t>
      </w:r>
    </w:p>
    <w:p w14:paraId="1DBEC0B6">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eastAsia="zh-CN"/>
        </w:rPr>
        <w:t>二</w:t>
      </w:r>
      <w:r>
        <w:rPr>
          <w:rFonts w:ascii="Times New Roman" w:hAnsi="Times New Roman" w:eastAsia="仿宋_GB2312" w:cs="Times New Roman"/>
          <w:color w:val="000000"/>
          <w:kern w:val="0"/>
          <w:sz w:val="32"/>
          <w:szCs w:val="32"/>
        </w:rPr>
        <w:t>、关于政府采购支出说明</w:t>
      </w:r>
    </w:p>
    <w:p w14:paraId="2F285B8F">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、关于国有资产占用情况说明</w:t>
      </w:r>
    </w:p>
    <w:p w14:paraId="1CDE931F">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eastAsia="zh-CN"/>
        </w:rPr>
        <w:t>四</w:t>
      </w:r>
      <w:r>
        <w:rPr>
          <w:rFonts w:ascii="Times New Roman" w:hAnsi="Times New Roman" w:eastAsia="仿宋_GB2312" w:cs="Times New Roman"/>
          <w:sz w:val="32"/>
          <w:szCs w:val="32"/>
        </w:rPr>
        <w:t>、关于2024年度预算绩效管理情况的说明</w:t>
      </w:r>
    </w:p>
    <w:p w14:paraId="5F8F2FB2">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1B9B802F">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7AF9EC91">
      <w:pPr>
        <w:pStyle w:val="13"/>
        <w:spacing w:line="600" w:lineRule="exact"/>
        <w:rPr>
          <w:rFonts w:ascii="Times New Roman" w:hAnsi="Times New Roman" w:cs="Times New Roman"/>
          <w:bCs/>
          <w:sz w:val="28"/>
          <w:szCs w:val="28"/>
        </w:rPr>
      </w:pPr>
    </w:p>
    <w:p w14:paraId="79B357C5">
      <w:pPr>
        <w:jc w:val="center"/>
        <w:rPr>
          <w:rFonts w:ascii="Times New Roman" w:hAnsi="Times New Roman" w:cs="Times New Roman"/>
          <w:sz w:val="72"/>
          <w:szCs w:val="72"/>
        </w:rPr>
      </w:pPr>
    </w:p>
    <w:p w14:paraId="6F6106A4">
      <w:pPr>
        <w:jc w:val="center"/>
        <w:rPr>
          <w:rFonts w:ascii="Times New Roman" w:hAnsi="Times New Roman" w:cs="Times New Roman"/>
          <w:sz w:val="72"/>
          <w:szCs w:val="72"/>
        </w:rPr>
      </w:pPr>
    </w:p>
    <w:p w14:paraId="03B97A9F">
      <w:pPr>
        <w:jc w:val="center"/>
        <w:rPr>
          <w:rFonts w:ascii="Times New Roman" w:hAnsi="Times New Roman" w:cs="Times New Roman"/>
          <w:sz w:val="72"/>
          <w:szCs w:val="72"/>
        </w:rPr>
      </w:pPr>
    </w:p>
    <w:p w14:paraId="54A243EF">
      <w:pPr>
        <w:pStyle w:val="7"/>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26911487">
      <w:pPr>
        <w:rPr>
          <w:rFonts w:ascii="Times New Roman" w:hAnsi="Times New Roman" w:eastAsia="方正小标宋_GBK" w:cs="Times New Roman"/>
          <w:sz w:val="72"/>
          <w:szCs w:val="72"/>
        </w:rPr>
      </w:pPr>
    </w:p>
    <w:p w14:paraId="7DA8D670">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0EAAB3E0">
      <w:pPr>
        <w:pStyle w:val="13"/>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eastAsia="zh-CN"/>
        </w:rPr>
        <w:t>怀化市疾病预防控制中心</w:t>
      </w:r>
      <w:r>
        <w:rPr>
          <w:rFonts w:ascii="Times New Roman" w:hAnsi="Times New Roman" w:eastAsia="方正小标宋_GBK" w:cs="Times New Roman"/>
          <w:sz w:val="52"/>
          <w:szCs w:val="52"/>
        </w:rPr>
        <w:t>概况</w:t>
      </w:r>
    </w:p>
    <w:p w14:paraId="7B168451">
      <w:pPr>
        <w:pStyle w:val="3"/>
        <w:ind w:left="0" w:leftChars="0" w:firstLine="0" w:firstLineChars="0"/>
        <w:rPr>
          <w:rFonts w:ascii="Times New Roman" w:hAnsi="Times New Roman" w:cs="Times New Roman"/>
        </w:rPr>
      </w:pPr>
    </w:p>
    <w:p w14:paraId="3E797CE6">
      <w:pPr>
        <w:pStyle w:val="14"/>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3141D061">
      <w:pPr>
        <w:widowControl/>
        <w:spacing w:line="600" w:lineRule="exact"/>
        <w:ind w:firstLine="640" w:firstLineChars="2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怀化市疾病预防控制中心属市卫健委下属事业单位。承担着七大职能：</w:t>
      </w:r>
    </w:p>
    <w:p w14:paraId="44283187">
      <w:pPr>
        <w:widowControl/>
        <w:spacing w:line="600" w:lineRule="exact"/>
        <w:ind w:firstLine="320" w:firstLineChars="1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eastAsia="zh-CN"/>
        </w:rPr>
        <w:t>（一）</w:t>
      </w:r>
      <w:r>
        <w:rPr>
          <w:rFonts w:hint="eastAsia" w:ascii="Times New Roman" w:hAnsi="Times New Roman" w:eastAsia="仿宋_GB2312" w:cs="Times New Roman"/>
          <w:bCs/>
          <w:kern w:val="0"/>
          <w:sz w:val="32"/>
          <w:szCs w:val="32"/>
        </w:rPr>
        <w:t>传染病、寄生虫病、地方病、非传染病等预防与控制；</w:t>
      </w:r>
    </w:p>
    <w:p w14:paraId="202656C3">
      <w:pPr>
        <w:widowControl/>
        <w:spacing w:line="600" w:lineRule="exact"/>
        <w:ind w:firstLine="320" w:firstLineChars="1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eastAsia="zh-CN"/>
        </w:rPr>
        <w:t>（二）</w:t>
      </w:r>
      <w:r>
        <w:rPr>
          <w:rFonts w:hint="eastAsia" w:ascii="Times New Roman" w:hAnsi="Times New Roman" w:eastAsia="仿宋_GB2312" w:cs="Times New Roman"/>
          <w:bCs/>
          <w:kern w:val="0"/>
          <w:sz w:val="32"/>
          <w:szCs w:val="32"/>
        </w:rPr>
        <w:t>突发公共卫生事件和灾害疫情应急处置；</w:t>
      </w:r>
    </w:p>
    <w:p w14:paraId="6AD515B4">
      <w:pPr>
        <w:widowControl/>
        <w:spacing w:line="600" w:lineRule="exact"/>
        <w:ind w:firstLine="320" w:firstLineChars="1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eastAsia="zh-CN"/>
        </w:rPr>
        <w:t>（三）</w:t>
      </w:r>
      <w:r>
        <w:rPr>
          <w:rFonts w:hint="eastAsia" w:ascii="Times New Roman" w:hAnsi="Times New Roman" w:eastAsia="仿宋_GB2312" w:cs="Times New Roman"/>
          <w:bCs/>
          <w:kern w:val="0"/>
          <w:sz w:val="32"/>
          <w:szCs w:val="32"/>
        </w:rPr>
        <w:t>疫情及健康相关因素信息管理，开展疾病监测，收集、报告、分析和评价疾病与健康危害因素等公共卫生信息；</w:t>
      </w:r>
    </w:p>
    <w:p w14:paraId="737701BA">
      <w:pPr>
        <w:widowControl/>
        <w:spacing w:line="600" w:lineRule="exact"/>
        <w:ind w:firstLine="320" w:firstLineChars="1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eastAsia="zh-CN"/>
        </w:rPr>
        <w:t>（四）</w:t>
      </w:r>
      <w:r>
        <w:rPr>
          <w:rFonts w:hint="eastAsia" w:ascii="Times New Roman" w:hAnsi="Times New Roman" w:eastAsia="仿宋_GB2312" w:cs="Times New Roman"/>
          <w:bCs/>
          <w:kern w:val="0"/>
          <w:sz w:val="32"/>
          <w:szCs w:val="32"/>
        </w:rPr>
        <w:t>健康危害因素监测与干预，开展食源性、职业性、放射性、环境性等疾病的监测评价和流行病学调查，开展公众健康和营养状况监测与评价，提出干预策略与措施；</w:t>
      </w:r>
    </w:p>
    <w:p w14:paraId="4FAA5C63">
      <w:pPr>
        <w:widowControl/>
        <w:spacing w:line="600" w:lineRule="exact"/>
        <w:ind w:firstLine="320" w:firstLineChars="1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eastAsia="zh-CN"/>
        </w:rPr>
        <w:t>（五）</w:t>
      </w:r>
      <w:r>
        <w:rPr>
          <w:rFonts w:hint="eastAsia" w:ascii="Times New Roman" w:hAnsi="Times New Roman" w:eastAsia="仿宋_GB2312" w:cs="Times New Roman"/>
          <w:bCs/>
          <w:kern w:val="0"/>
          <w:sz w:val="32"/>
          <w:szCs w:val="32"/>
        </w:rPr>
        <w:t>疾病病原微生物检测、鉴定和物理、化学因子检测、评价；</w:t>
      </w:r>
    </w:p>
    <w:p w14:paraId="7DE02972">
      <w:pPr>
        <w:widowControl/>
        <w:spacing w:line="600" w:lineRule="exact"/>
        <w:ind w:firstLine="320" w:firstLineChars="1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eastAsia="zh-CN"/>
        </w:rPr>
        <w:t>（六）</w:t>
      </w:r>
      <w:r>
        <w:rPr>
          <w:rFonts w:hint="eastAsia" w:ascii="Times New Roman" w:hAnsi="Times New Roman" w:eastAsia="仿宋_GB2312" w:cs="Times New Roman"/>
          <w:bCs/>
          <w:kern w:val="0"/>
          <w:sz w:val="32"/>
          <w:szCs w:val="32"/>
        </w:rPr>
        <w:t>健康教育与健康促进，对公众进行健康指导和不良健康行为干预；</w:t>
      </w:r>
    </w:p>
    <w:p w14:paraId="73274BFB">
      <w:pPr>
        <w:widowControl/>
        <w:spacing w:line="600" w:lineRule="exact"/>
        <w:ind w:firstLine="320" w:firstLineChars="1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Times New Roman"/>
          <w:bCs/>
          <w:kern w:val="0"/>
          <w:sz w:val="32"/>
          <w:szCs w:val="32"/>
          <w:lang w:eastAsia="zh-CN"/>
        </w:rPr>
        <w:t>（七）疾病预防控制技术管理与应用研究指导等。</w:t>
      </w:r>
    </w:p>
    <w:p w14:paraId="77B7D132">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26A0FD32">
      <w:pPr>
        <w:keepNext w:val="0"/>
        <w:keepLines w:val="0"/>
        <w:pageBreakBefore w:val="0"/>
        <w:widowControl/>
        <w:kinsoku/>
        <w:overflowPunct/>
        <w:topLinePunct w:val="0"/>
        <w:bidi w:val="0"/>
        <w:snapToGrid/>
        <w:spacing w:afterAutospacing="0" w:line="600" w:lineRule="exact"/>
        <w:ind w:firstLine="640" w:firstLineChars="200"/>
        <w:jc w:val="both"/>
        <w:textAlignment w:val="auto"/>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eastAsia="zh-CN"/>
        </w:rPr>
        <w:t>怀化市疾病预防控制中心为隶属怀化市卫生健康委员会的二级预算单位。</w:t>
      </w:r>
    </w:p>
    <w:p w14:paraId="70CB43EE">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lang w:eastAsia="zh-CN"/>
        </w:rPr>
        <w:t>怀化市疾病预防控制中心</w:t>
      </w:r>
      <w:r>
        <w:rPr>
          <w:rFonts w:hint="eastAsia" w:ascii="Times New Roman" w:hAnsi="Times New Roman" w:eastAsia="仿宋_GB2312" w:cs="仿宋_GB2312"/>
          <w:bCs/>
          <w:kern w:val="0"/>
          <w:sz w:val="32"/>
          <w:szCs w:val="32"/>
        </w:rPr>
        <w:t>单位内设机构</w:t>
      </w:r>
      <w:r>
        <w:rPr>
          <w:rFonts w:hint="eastAsia" w:ascii="Times New Roman" w:hAnsi="Times New Roman" w:eastAsia="仿宋_GB2312" w:cs="仿宋_GB2312"/>
          <w:bCs/>
          <w:kern w:val="0"/>
          <w:sz w:val="32"/>
          <w:szCs w:val="32"/>
          <w:lang w:val="en-US" w:eastAsia="zh-CN"/>
        </w:rPr>
        <w:t>13个科室，</w:t>
      </w:r>
      <w:r>
        <w:rPr>
          <w:rFonts w:hint="eastAsia" w:ascii="Times New Roman" w:hAnsi="Times New Roman" w:eastAsia="仿宋_GB2312" w:cs="仿宋_GB2312"/>
          <w:bCs/>
          <w:kern w:val="0"/>
          <w:sz w:val="32"/>
          <w:szCs w:val="32"/>
        </w:rPr>
        <w:t>包括：</w:t>
      </w:r>
      <w:r>
        <w:rPr>
          <w:rFonts w:hint="eastAsia" w:ascii="Times New Roman" w:hAnsi="Times New Roman" w:eastAsia="仿宋_GB2312" w:cs="仿宋_GB2312"/>
          <w:bCs/>
          <w:kern w:val="0"/>
          <w:sz w:val="32"/>
          <w:szCs w:val="32"/>
          <w:lang w:eastAsia="zh-CN"/>
        </w:rPr>
        <w:t>办公室、财务科、行政后勤科、人事科、流行病预防控制科、皮肤病性病防治科、地方病慢病控制科、卫生监测科、结核病防治科、职业病防治科、检验科、健康教育科、生物制品科。</w:t>
      </w:r>
      <w:r>
        <w:rPr>
          <w:rFonts w:hint="eastAsia" w:ascii="Times New Roman" w:hAnsi="Times New Roman" w:eastAsia="仿宋_GB2312" w:cs="仿宋_GB2312"/>
          <w:bCs/>
          <w:kern w:val="0"/>
          <w:sz w:val="32"/>
          <w:szCs w:val="32"/>
          <w:lang w:val="en-US" w:eastAsia="zh-CN"/>
        </w:rPr>
        <w:t xml:space="preserve"> </w:t>
      </w:r>
    </w:p>
    <w:p w14:paraId="09AE3DD1">
      <w:pPr>
        <w:widowControl/>
        <w:spacing w:line="600" w:lineRule="exac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怀化市疾病预防控制中心</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rPr>
        <w:t>年部门决算</w:t>
      </w:r>
      <w:r>
        <w:rPr>
          <w:rFonts w:hint="eastAsia" w:ascii="Times New Roman" w:hAnsi="Times New Roman" w:eastAsia="仿宋_GB2312" w:cs="仿宋_GB2312"/>
          <w:bCs/>
          <w:kern w:val="0"/>
          <w:sz w:val="32"/>
          <w:szCs w:val="32"/>
          <w:lang w:eastAsia="zh-CN"/>
        </w:rPr>
        <w:t>仅本单位。</w:t>
      </w:r>
    </w:p>
    <w:p w14:paraId="1354A712">
      <w:pPr>
        <w:widowControl/>
        <w:spacing w:line="600" w:lineRule="exact"/>
        <w:rPr>
          <w:rFonts w:hint="eastAsia" w:ascii="Times New Roman" w:hAnsi="Times New Roman" w:eastAsia="仿宋_GB2312" w:cs="仿宋_GB2312"/>
          <w:bCs/>
          <w:kern w:val="0"/>
          <w:sz w:val="32"/>
          <w:szCs w:val="32"/>
        </w:rPr>
      </w:pPr>
    </w:p>
    <w:p w14:paraId="115638DF">
      <w:pPr>
        <w:jc w:val="left"/>
        <w:rPr>
          <w:rFonts w:ascii="Times New Roman" w:hAnsi="Times New Roman" w:eastAsia="仿宋_GB2312" w:cs="Times New Roman"/>
          <w:sz w:val="28"/>
          <w:szCs w:val="32"/>
        </w:rPr>
      </w:pPr>
    </w:p>
    <w:p w14:paraId="39112FBE">
      <w:pPr>
        <w:jc w:val="center"/>
        <w:rPr>
          <w:rFonts w:ascii="Times New Roman" w:hAnsi="Times New Roman" w:eastAsia="黑体" w:cs="Times New Roman"/>
          <w:sz w:val="28"/>
          <w:szCs w:val="28"/>
        </w:rPr>
      </w:pPr>
    </w:p>
    <w:p w14:paraId="0A2F87DA">
      <w:pPr>
        <w:jc w:val="center"/>
        <w:rPr>
          <w:rFonts w:ascii="Times New Roman" w:hAnsi="Times New Roman" w:eastAsia="黑体" w:cs="Times New Roman"/>
          <w:sz w:val="28"/>
          <w:szCs w:val="28"/>
        </w:rPr>
      </w:pPr>
    </w:p>
    <w:p w14:paraId="6965E550">
      <w:pPr>
        <w:jc w:val="center"/>
        <w:rPr>
          <w:rFonts w:ascii="Times New Roman" w:hAnsi="Times New Roman" w:eastAsia="黑体" w:cs="Times New Roman"/>
          <w:sz w:val="28"/>
          <w:szCs w:val="28"/>
        </w:rPr>
      </w:pPr>
    </w:p>
    <w:p w14:paraId="4DB78D8F">
      <w:pPr>
        <w:jc w:val="center"/>
        <w:rPr>
          <w:rFonts w:ascii="Times New Roman" w:hAnsi="Times New Roman" w:eastAsia="黑体" w:cs="Times New Roman"/>
          <w:sz w:val="28"/>
          <w:szCs w:val="28"/>
        </w:rPr>
      </w:pPr>
    </w:p>
    <w:p w14:paraId="7B8AB154">
      <w:pPr>
        <w:jc w:val="center"/>
        <w:rPr>
          <w:rFonts w:ascii="Times New Roman" w:hAnsi="Times New Roman" w:eastAsia="黑体" w:cs="Times New Roman"/>
          <w:sz w:val="28"/>
          <w:szCs w:val="28"/>
        </w:rPr>
      </w:pPr>
    </w:p>
    <w:p w14:paraId="2312E48C">
      <w:pPr>
        <w:pStyle w:val="7"/>
        <w:rPr>
          <w:rFonts w:ascii="Times New Roman" w:hAnsi="Times New Roman" w:cs="Times New Roman"/>
        </w:rPr>
        <w:sectPr>
          <w:footerReference r:id="rId6" w:type="default"/>
          <w:pgSz w:w="11906" w:h="16838"/>
          <w:pgMar w:top="1417" w:right="1588" w:bottom="1417" w:left="1588" w:header="851" w:footer="992" w:gutter="0"/>
          <w:pgNumType w:start="1"/>
          <w:cols w:space="425" w:num="1"/>
          <w:docGrid w:type="lines" w:linePitch="312" w:charSpace="0"/>
        </w:sectPr>
      </w:pPr>
    </w:p>
    <w:p w14:paraId="6D79FA7D">
      <w:pPr>
        <w:pStyle w:val="13"/>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353F0E56">
      <w:pPr>
        <w:widowControl/>
        <w:spacing w:after="156"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lang w:bidi="ar"/>
        </w:rPr>
        <w:t>收入支出决算总表</w:t>
      </w:r>
    </w:p>
    <w:p w14:paraId="21152A4B">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公开01表</w:t>
      </w:r>
    </w:p>
    <w:p w14:paraId="681C4682">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单位：万元</w:t>
      </w:r>
    </w:p>
    <w:tbl>
      <w:tblPr>
        <w:tblStyle w:val="9"/>
        <w:tblW w:w="14896" w:type="dxa"/>
        <w:jc w:val="center"/>
        <w:tblLayout w:type="autofit"/>
        <w:tblCellMar>
          <w:top w:w="0" w:type="dxa"/>
          <w:left w:w="108" w:type="dxa"/>
          <w:bottom w:w="0" w:type="dxa"/>
          <w:right w:w="108" w:type="dxa"/>
        </w:tblCellMar>
      </w:tblPr>
      <w:tblGrid>
        <w:gridCol w:w="5762"/>
        <w:gridCol w:w="850"/>
        <w:gridCol w:w="1291"/>
        <w:gridCol w:w="4851"/>
        <w:gridCol w:w="850"/>
        <w:gridCol w:w="1292"/>
      </w:tblGrid>
      <w:tr w14:paraId="2B87AFEA">
        <w:tblPrEx>
          <w:tblCellMar>
            <w:top w:w="0" w:type="dxa"/>
            <w:left w:w="108" w:type="dxa"/>
            <w:bottom w:w="0" w:type="dxa"/>
            <w:right w:w="108" w:type="dxa"/>
          </w:tblCellMar>
        </w:tblPrEx>
        <w:trPr>
          <w:trHeight w:val="340" w:hRule="exac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71CD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8D35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支出</w:t>
            </w:r>
          </w:p>
        </w:tc>
      </w:tr>
      <w:tr w14:paraId="1E8CC34E">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B773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C3E3B">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18988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D13F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7C341">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4F37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r>
      <w:tr w14:paraId="1F888A88">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394D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0297A">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AC332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6143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994FE">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DBB2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r>
      <w:tr w14:paraId="3260F35A">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8B961">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B118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E7615">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4753B">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877AA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4AF73">
            <w:pPr>
              <w:jc w:val="right"/>
              <w:rPr>
                <w:rFonts w:ascii="Times New Roman" w:hAnsi="Times New Roman" w:eastAsia="仿宋_GB2312" w:cs="Times New Roman"/>
                <w:color w:val="000000"/>
                <w:sz w:val="22"/>
              </w:rPr>
            </w:pPr>
          </w:p>
        </w:tc>
      </w:tr>
      <w:tr w14:paraId="7D8169E8">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7474F">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FE64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8F5DE">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206AB">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797A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60390">
            <w:pPr>
              <w:jc w:val="right"/>
              <w:rPr>
                <w:rFonts w:ascii="Times New Roman" w:hAnsi="Times New Roman" w:eastAsia="仿宋_GB2312" w:cs="Times New Roman"/>
                <w:color w:val="000000"/>
                <w:sz w:val="22"/>
              </w:rPr>
            </w:pPr>
          </w:p>
        </w:tc>
      </w:tr>
      <w:tr w14:paraId="13092879">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6D9FC">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31A6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175B1">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833AF">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8343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CE4C3">
            <w:pPr>
              <w:jc w:val="right"/>
              <w:rPr>
                <w:rFonts w:ascii="Times New Roman" w:hAnsi="Times New Roman" w:eastAsia="仿宋_GB2312" w:cs="Times New Roman"/>
                <w:color w:val="000000"/>
                <w:sz w:val="22"/>
              </w:rPr>
            </w:pPr>
          </w:p>
        </w:tc>
      </w:tr>
      <w:tr w14:paraId="5CA2D291">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C047B">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0C16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04869">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12563">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6856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586E7">
            <w:pPr>
              <w:jc w:val="right"/>
              <w:rPr>
                <w:rFonts w:ascii="Times New Roman" w:hAnsi="Times New Roman" w:eastAsia="仿宋_GB2312" w:cs="Times New Roman"/>
                <w:color w:val="000000"/>
                <w:sz w:val="22"/>
              </w:rPr>
            </w:pPr>
          </w:p>
        </w:tc>
      </w:tr>
      <w:tr w14:paraId="7CE95284">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B2C27">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D5FD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57EE8">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2C4F6">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663F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F6393">
            <w:pPr>
              <w:jc w:val="right"/>
              <w:rPr>
                <w:rFonts w:ascii="Times New Roman" w:hAnsi="Times New Roman" w:eastAsia="仿宋_GB2312" w:cs="Times New Roman"/>
                <w:color w:val="000000"/>
                <w:sz w:val="22"/>
              </w:rPr>
            </w:pPr>
          </w:p>
        </w:tc>
      </w:tr>
      <w:tr w14:paraId="792877F0">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E07CD">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D778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03A3E">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AA167">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B20E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471EA">
            <w:pPr>
              <w:jc w:val="right"/>
              <w:rPr>
                <w:rFonts w:ascii="Times New Roman" w:hAnsi="Times New Roman" w:eastAsia="仿宋_GB2312" w:cs="Times New Roman"/>
                <w:color w:val="000000"/>
                <w:sz w:val="22"/>
              </w:rPr>
            </w:pPr>
          </w:p>
        </w:tc>
      </w:tr>
      <w:tr w14:paraId="0D026D31">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396BD">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A29C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17971">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DDA4F">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7D85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371A6">
            <w:pPr>
              <w:jc w:val="right"/>
              <w:rPr>
                <w:rFonts w:ascii="Times New Roman" w:hAnsi="Times New Roman" w:eastAsia="仿宋_GB2312" w:cs="Times New Roman"/>
                <w:color w:val="000000"/>
                <w:sz w:val="22"/>
              </w:rPr>
            </w:pPr>
          </w:p>
        </w:tc>
      </w:tr>
      <w:tr w14:paraId="3CF78D41">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84284">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F3D8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AE47B">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4BD3D">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E985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95326">
            <w:pPr>
              <w:jc w:val="center"/>
              <w:rPr>
                <w:rFonts w:ascii="Times New Roman" w:hAnsi="Times New Roman" w:eastAsia="仿宋_GB2312" w:cs="Times New Roman"/>
                <w:color w:val="000000"/>
                <w:sz w:val="22"/>
              </w:rPr>
            </w:pPr>
          </w:p>
        </w:tc>
      </w:tr>
      <w:tr w14:paraId="38459A7F">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6278A">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64F5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B89E2">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4C480">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70F3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92AAE">
            <w:pPr>
              <w:rPr>
                <w:rFonts w:ascii="Times New Roman" w:hAnsi="Times New Roman" w:eastAsia="仿宋_GB2312" w:cs="Times New Roman"/>
                <w:b/>
                <w:color w:val="000000"/>
                <w:sz w:val="22"/>
              </w:rPr>
            </w:pPr>
          </w:p>
        </w:tc>
      </w:tr>
      <w:tr w14:paraId="1E059FB8">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A8058">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04F1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52050">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000ED">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194F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89FEB">
            <w:pPr>
              <w:rPr>
                <w:rFonts w:ascii="Times New Roman" w:hAnsi="Times New Roman" w:eastAsia="仿宋_GB2312" w:cs="Times New Roman"/>
                <w:color w:val="000000"/>
                <w:sz w:val="22"/>
              </w:rPr>
            </w:pPr>
          </w:p>
        </w:tc>
      </w:tr>
      <w:tr w14:paraId="2F251D53">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E67FE">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5845B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8D220">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1C4BB">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AEEE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1CB3E">
            <w:pPr>
              <w:rPr>
                <w:rFonts w:ascii="Times New Roman" w:hAnsi="Times New Roman" w:eastAsia="仿宋_GB2312" w:cs="Times New Roman"/>
                <w:color w:val="000000"/>
                <w:sz w:val="22"/>
              </w:rPr>
            </w:pPr>
          </w:p>
        </w:tc>
      </w:tr>
      <w:tr w14:paraId="2179E3F7">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7284F">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294F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6E5A">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8AAB8">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036FD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14E37">
            <w:pPr>
              <w:rPr>
                <w:rFonts w:ascii="Times New Roman" w:hAnsi="Times New Roman" w:eastAsia="仿宋_GB2312" w:cs="Times New Roman"/>
                <w:color w:val="000000"/>
                <w:sz w:val="22"/>
              </w:rPr>
            </w:pPr>
          </w:p>
        </w:tc>
      </w:tr>
      <w:tr w14:paraId="4107DF7A">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FC3EE">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EC67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EC198">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B8920">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3939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F0CBD">
            <w:pPr>
              <w:rPr>
                <w:rFonts w:ascii="Times New Roman" w:hAnsi="Times New Roman" w:eastAsia="仿宋_GB2312" w:cs="Times New Roman"/>
                <w:b/>
                <w:color w:val="000000"/>
                <w:sz w:val="22"/>
              </w:rPr>
            </w:pPr>
          </w:p>
        </w:tc>
      </w:tr>
    </w:tbl>
    <w:p w14:paraId="49FD82A9">
      <w:pPr>
        <w:widowControl/>
        <w:jc w:val="left"/>
        <w:textAlignment w:val="center"/>
        <w:rPr>
          <w:rFonts w:ascii="Times New Roman" w:hAnsi="Times New Roman" w:eastAsia="宋体" w:cs="Times New Roman"/>
          <w:color w:val="000000"/>
          <w:kern w:val="0"/>
          <w:sz w:val="24"/>
          <w:szCs w:val="24"/>
          <w:lang w:bidi="ar"/>
        </w:rPr>
      </w:pPr>
    </w:p>
    <w:p w14:paraId="13EE684C">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注：1.本表反映部门本年度的总收支和年末结转结余情况。</w:t>
      </w:r>
      <w:r>
        <w:rPr>
          <w:rFonts w:ascii="Times New Roman" w:hAnsi="Times New Roman" w:eastAsia="仿宋_GB2312" w:cs="Times New Roman"/>
          <w:color w:val="000000"/>
          <w:kern w:val="0"/>
          <w:sz w:val="24"/>
          <w:szCs w:val="24"/>
          <w:lang w:bidi="ar"/>
        </w:rPr>
        <w:br w:type="textWrapping"/>
      </w:r>
      <w:r>
        <w:rPr>
          <w:rFonts w:ascii="Times New Roman" w:hAnsi="Times New Roman" w:eastAsia="仿宋_GB2312" w:cs="Times New Roman"/>
          <w:color w:val="000000"/>
          <w:kern w:val="0"/>
          <w:sz w:val="24"/>
          <w:szCs w:val="24"/>
          <w:lang w:bidi="ar"/>
        </w:rPr>
        <w:t xml:space="preserve">    2.本套报表金额单位转换时可能存在尾数误差。</w:t>
      </w:r>
    </w:p>
    <w:p w14:paraId="5BC0B70F">
      <w:pPr>
        <w:rPr>
          <w:rFonts w:ascii="Times New Roman" w:hAnsi="Times New Roman" w:eastAsia="华文中宋" w:cs="Times New Roman"/>
          <w:color w:val="000000"/>
          <w:sz w:val="32"/>
          <w:szCs w:val="32"/>
        </w:rPr>
      </w:pPr>
      <w:r>
        <w:rPr>
          <w:rFonts w:ascii="Times New Roman" w:hAnsi="Times New Roman" w:eastAsia="华文中宋" w:cs="Times New Roman"/>
          <w:color w:val="000000"/>
          <w:sz w:val="32"/>
          <w:szCs w:val="32"/>
        </w:rPr>
        <w:br w:type="page"/>
      </w:r>
    </w:p>
    <w:p w14:paraId="1FC870AE">
      <w:pPr>
        <w:widowControl/>
        <w:spacing w:line="400" w:lineRule="exact"/>
        <w:jc w:val="center"/>
        <w:textAlignment w:val="center"/>
        <w:rPr>
          <w:rFonts w:ascii="Times New Roman" w:hAnsi="Times New Roman" w:eastAsia="黑体" w:cs="Times New Roman"/>
          <w:color w:val="000000"/>
          <w:kern w:val="0"/>
          <w:sz w:val="32"/>
          <w:szCs w:val="32"/>
          <w:lang w:bidi="ar"/>
        </w:rPr>
      </w:pPr>
    </w:p>
    <w:p w14:paraId="52C6AB94">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收入决算表</w:t>
      </w:r>
    </w:p>
    <w:p w14:paraId="73BA85C3">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14:paraId="31A8530A">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单位：万元</w:t>
      </w:r>
    </w:p>
    <w:tbl>
      <w:tblPr>
        <w:tblStyle w:val="9"/>
        <w:tblW w:w="14666" w:type="dxa"/>
        <w:jc w:val="center"/>
        <w:tblLayout w:type="fixed"/>
        <w:tblCellMar>
          <w:top w:w="0" w:type="dxa"/>
          <w:left w:w="0" w:type="dxa"/>
          <w:bottom w:w="0" w:type="dxa"/>
          <w:right w:w="0" w:type="dxa"/>
        </w:tblCellMar>
      </w:tblPr>
      <w:tblGrid>
        <w:gridCol w:w="1886"/>
        <w:gridCol w:w="1300"/>
        <w:gridCol w:w="1640"/>
        <w:gridCol w:w="1640"/>
        <w:gridCol w:w="1640"/>
        <w:gridCol w:w="1640"/>
        <w:gridCol w:w="1640"/>
        <w:gridCol w:w="1897"/>
        <w:gridCol w:w="1383"/>
      </w:tblGrid>
      <w:tr w14:paraId="3C922604">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A04DAFD">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2937527">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EF52A7A">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DCCBE77">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5214671">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47DC339">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FD9942B">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21A5A58">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14:paraId="11577D24">
        <w:tblPrEx>
          <w:tblCellMar>
            <w:top w:w="0" w:type="dxa"/>
            <w:left w:w="0" w:type="dxa"/>
            <w:bottom w:w="0" w:type="dxa"/>
            <w:right w:w="0" w:type="dxa"/>
          </w:tblCellMar>
        </w:tblPrEx>
        <w:trPr>
          <w:trHeight w:val="334" w:hRule="exact"/>
          <w:jc w:val="center"/>
        </w:trPr>
        <w:tc>
          <w:tcPr>
            <w:tcW w:w="188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EA455C5">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130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D4D8F33">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76C52AE0">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62B0E8FA">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43A0CF52">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5117A82C">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05B18974">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47DEF890">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1E4EC3D9">
            <w:pPr>
              <w:rPr>
                <w:rFonts w:ascii="Times New Roman" w:hAnsi="Times New Roman" w:eastAsia="仿宋_GB2312" w:cs="Times New Roman"/>
                <w:sz w:val="24"/>
                <w:szCs w:val="24"/>
              </w:rPr>
            </w:pPr>
          </w:p>
        </w:tc>
      </w:tr>
      <w:tr w14:paraId="07D31F51">
        <w:tblPrEx>
          <w:tblCellMar>
            <w:top w:w="0" w:type="dxa"/>
            <w:left w:w="0" w:type="dxa"/>
            <w:bottom w:w="0" w:type="dxa"/>
            <w:right w:w="0" w:type="dxa"/>
          </w:tblCellMar>
        </w:tblPrEx>
        <w:trPr>
          <w:trHeight w:val="312" w:hRule="atLeast"/>
          <w:jc w:val="center"/>
        </w:trPr>
        <w:tc>
          <w:tcPr>
            <w:tcW w:w="1886" w:type="dxa"/>
            <w:vMerge w:val="continue"/>
            <w:tcBorders>
              <w:top w:val="single" w:color="auto" w:sz="4" w:space="0"/>
              <w:left w:val="single" w:color="auto" w:sz="4" w:space="0"/>
              <w:bottom w:val="single" w:color="auto" w:sz="4" w:space="0"/>
              <w:right w:val="single" w:color="auto" w:sz="4" w:space="0"/>
            </w:tcBorders>
            <w:vAlign w:val="center"/>
          </w:tcPr>
          <w:p w14:paraId="37EAB70C">
            <w:pPr>
              <w:rPr>
                <w:rFonts w:ascii="Times New Roman" w:hAnsi="Times New Roman" w:eastAsia="仿宋_GB2312" w:cs="Times New Roman"/>
                <w:sz w:val="24"/>
                <w:szCs w:val="24"/>
              </w:rPr>
            </w:pPr>
          </w:p>
        </w:tc>
        <w:tc>
          <w:tcPr>
            <w:tcW w:w="1300" w:type="dxa"/>
            <w:vMerge w:val="continue"/>
            <w:tcBorders>
              <w:top w:val="nil"/>
              <w:left w:val="single" w:color="auto" w:sz="4" w:space="0"/>
              <w:bottom w:val="single" w:color="auto" w:sz="4" w:space="0"/>
              <w:right w:val="single" w:color="auto" w:sz="4" w:space="0"/>
            </w:tcBorders>
            <w:vAlign w:val="center"/>
          </w:tcPr>
          <w:p w14:paraId="4AC104AC">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1309E657">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61E64DFD">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663F9D07">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470591B7">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1F1BA1C6">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4F92712B">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69AF4B1F">
            <w:pPr>
              <w:rPr>
                <w:rFonts w:ascii="Times New Roman" w:hAnsi="Times New Roman" w:eastAsia="仿宋_GB2312" w:cs="Times New Roman"/>
                <w:sz w:val="24"/>
                <w:szCs w:val="24"/>
              </w:rPr>
            </w:pPr>
          </w:p>
        </w:tc>
      </w:tr>
      <w:tr w14:paraId="5E49A551">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39F51E2">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CA2B218">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C990021">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5568F06">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DE4FFC3">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2A2E3C0">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8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61C7450">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3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8809B29">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14:paraId="64C01550">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1E56D46">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1DCA98">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3B4430">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CFFE04">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CA2F98">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49DEC3">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D553F6">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C7B238">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5E12B7C7">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E4FCDC8">
            <w:pPr>
              <w:rPr>
                <w:rFonts w:ascii="Times New Roman" w:hAnsi="Times New Roman" w:eastAsia="仿宋_GB2312" w:cs="Times New Roman"/>
                <w:sz w:val="24"/>
                <w:szCs w:val="24"/>
              </w:rPr>
            </w:pPr>
            <w:r>
              <w:rPr>
                <w:rFonts w:ascii="Times New Roman" w:hAnsi="Times New Roman" w:eastAsia="仿宋_GB2312" w:cs="Times New Roman"/>
              </w:rPr>
              <w:t>　</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2D672FF">
            <w:pPr>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ABF5A8">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825865">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75BF68">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9B12AE">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6C8C77">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997E52">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8CED94">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3CFA98E7">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8C05EED">
            <w:pPr>
              <w:rPr>
                <w:rFonts w:ascii="Times New Roman" w:hAnsi="Times New Roman" w:eastAsia="仿宋_GB2312" w:cs="Times New Roman"/>
                <w:sz w:val="24"/>
                <w:szCs w:val="24"/>
              </w:rPr>
            </w:pPr>
            <w:r>
              <w:rPr>
                <w:rFonts w:ascii="Times New Roman" w:hAnsi="Times New Roman" w:eastAsia="仿宋_GB2312" w:cs="Times New Roman"/>
              </w:rPr>
              <w:t>　</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EA0A9E3">
            <w:pPr>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8840F5">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709E35">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F4442D">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074FA6">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E0E088">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0114F8">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D5EC46">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6D30FAC2">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A45EF43">
            <w:pPr>
              <w:rPr>
                <w:rFonts w:ascii="Times New Roman" w:hAnsi="Times New Roman" w:eastAsia="仿宋_GB2312" w:cs="Times New Roman"/>
                <w:sz w:val="24"/>
                <w:szCs w:val="24"/>
              </w:rPr>
            </w:pPr>
            <w:r>
              <w:rPr>
                <w:rFonts w:ascii="Times New Roman" w:hAnsi="Times New Roman" w:eastAsia="仿宋_GB2312" w:cs="Times New Roman"/>
              </w:rPr>
              <w:t>　</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199D624">
            <w:pPr>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DF0AF3">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AFD6DC">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540A06">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230646">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3D1D5C">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1E7AF7">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B03FD1">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0B5A2E2F">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36A4A2B">
            <w:pPr>
              <w:rPr>
                <w:rFonts w:ascii="Times New Roman" w:hAnsi="Times New Roman" w:eastAsia="仿宋_GB2312" w:cs="Times New Roman"/>
                <w:sz w:val="24"/>
                <w:szCs w:val="24"/>
              </w:rPr>
            </w:pPr>
            <w:r>
              <w:rPr>
                <w:rFonts w:ascii="Times New Roman" w:hAnsi="Times New Roman" w:eastAsia="仿宋_GB2312" w:cs="Times New Roman"/>
              </w:rPr>
              <w:t>　</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4E3ECDE">
            <w:pPr>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FD7194">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24C047">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413D94">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E88D54">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6652E5">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37AB04">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73F787">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2F836965">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F1ED380">
            <w:pPr>
              <w:rPr>
                <w:rFonts w:ascii="Times New Roman" w:hAnsi="Times New Roman" w:eastAsia="仿宋_GB2312" w:cs="Times New Roman"/>
                <w:sz w:val="24"/>
                <w:szCs w:val="24"/>
              </w:rPr>
            </w:pPr>
            <w:r>
              <w:rPr>
                <w:rFonts w:ascii="Times New Roman" w:hAnsi="Times New Roman" w:eastAsia="仿宋_GB2312" w:cs="Times New Roman"/>
              </w:rPr>
              <w:t>　</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80C9D7D">
            <w:pPr>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C18E31">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3964A7">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3BC41B">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5AD47A">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085C1C">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3D20C9">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201406">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6114FE5F">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66022CB">
            <w:pPr>
              <w:rPr>
                <w:rFonts w:ascii="Times New Roman" w:hAnsi="Times New Roman" w:eastAsia="仿宋_GB2312" w:cs="Times New Roman"/>
                <w:sz w:val="24"/>
                <w:szCs w:val="24"/>
              </w:rPr>
            </w:pPr>
            <w:r>
              <w:rPr>
                <w:rFonts w:ascii="Times New Roman" w:hAnsi="Times New Roman" w:eastAsia="仿宋_GB2312" w:cs="Times New Roman"/>
              </w:rPr>
              <w:t>　</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FF1BD2C">
            <w:pPr>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36A4EE">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779A39">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9AE350">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3F790C">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0E66EA">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ACD44C">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1830B6">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bl>
    <w:p w14:paraId="296A1B73">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14:paraId="7D8193D4">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44A0D062">
      <w:pPr>
        <w:widowControl/>
        <w:jc w:val="center"/>
        <w:textAlignment w:val="center"/>
        <w:rPr>
          <w:rFonts w:ascii="Times New Roman" w:hAnsi="Times New Roman" w:eastAsia="黑体" w:cs="Times New Roman"/>
          <w:color w:val="000000"/>
          <w:kern w:val="0"/>
          <w:sz w:val="32"/>
          <w:szCs w:val="32"/>
          <w:lang w:bidi="ar"/>
        </w:rPr>
      </w:pPr>
    </w:p>
    <w:p w14:paraId="2767F535">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支出决算表</w:t>
      </w:r>
    </w:p>
    <w:p w14:paraId="6BCA25B3">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14:paraId="0E9DB671">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9"/>
        <w:tblW w:w="4998" w:type="pct"/>
        <w:jc w:val="center"/>
        <w:tblLayout w:type="autofit"/>
        <w:tblCellMar>
          <w:top w:w="0" w:type="dxa"/>
          <w:left w:w="108" w:type="dxa"/>
          <w:bottom w:w="0" w:type="dxa"/>
          <w:right w:w="108" w:type="dxa"/>
        </w:tblCellMar>
      </w:tblPr>
      <w:tblGrid>
        <w:gridCol w:w="2424"/>
        <w:gridCol w:w="1337"/>
        <w:gridCol w:w="1877"/>
        <w:gridCol w:w="1334"/>
        <w:gridCol w:w="1334"/>
        <w:gridCol w:w="1877"/>
        <w:gridCol w:w="1334"/>
        <w:gridCol w:w="2697"/>
      </w:tblGrid>
      <w:tr w14:paraId="6D2E5692">
        <w:tblPrEx>
          <w:tblCellMar>
            <w:top w:w="0" w:type="dxa"/>
            <w:left w:w="108" w:type="dxa"/>
            <w:bottom w:w="0" w:type="dxa"/>
            <w:right w:w="108" w:type="dxa"/>
          </w:tblCellMar>
        </w:tblPrEx>
        <w:trPr>
          <w:trHeight w:val="595"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5B36616">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66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26BF576">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C747DDE">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4CA27B4">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66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2269852">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196E47D">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94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B9CE008">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14:paraId="3D99C6AA">
        <w:tblPrEx>
          <w:tblCellMar>
            <w:top w:w="0" w:type="dxa"/>
            <w:left w:w="108" w:type="dxa"/>
            <w:bottom w:w="0" w:type="dxa"/>
            <w:right w:w="108" w:type="dxa"/>
          </w:tblCellMar>
        </w:tblPrEx>
        <w:trPr>
          <w:trHeight w:val="312" w:hRule="exact"/>
          <w:jc w:val="center"/>
        </w:trPr>
        <w:tc>
          <w:tcPr>
            <w:tcW w:w="85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8C0884F">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469" w:type="pct"/>
            <w:vMerge w:val="restart"/>
            <w:tcBorders>
              <w:top w:val="nil"/>
              <w:left w:val="single" w:color="auto" w:sz="4" w:space="0"/>
              <w:bottom w:val="single" w:color="auto" w:sz="4" w:space="0"/>
              <w:right w:val="single" w:color="auto" w:sz="4" w:space="0"/>
            </w:tcBorders>
            <w:shd w:val="clear" w:color="000000" w:fill="FFFFFF"/>
            <w:vAlign w:val="center"/>
          </w:tcPr>
          <w:p w14:paraId="7AB678ED">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1A0FF598">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5B72C14F">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01A320DF">
            <w:pPr>
              <w:widowControl/>
              <w:jc w:val="left"/>
              <w:rPr>
                <w:rFonts w:ascii="Times New Roman" w:hAnsi="Times New Roman" w:eastAsia="仿宋_GB2312" w:cs="Times New Roman"/>
                <w:b/>
                <w:bCs/>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3B3E1E9B">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23364531">
            <w:pPr>
              <w:widowControl/>
              <w:jc w:val="left"/>
              <w:rPr>
                <w:rFonts w:ascii="Times New Roman" w:hAnsi="Times New Roman" w:eastAsia="仿宋_GB2312" w:cs="Times New Roman"/>
                <w:b/>
                <w:bCs/>
                <w:kern w:val="0"/>
                <w:sz w:val="24"/>
                <w:szCs w:val="24"/>
              </w:rPr>
            </w:pPr>
          </w:p>
        </w:tc>
        <w:tc>
          <w:tcPr>
            <w:tcW w:w="948" w:type="pct"/>
            <w:vMerge w:val="continue"/>
            <w:tcBorders>
              <w:top w:val="single" w:color="auto" w:sz="4" w:space="0"/>
              <w:left w:val="single" w:color="auto" w:sz="4" w:space="0"/>
              <w:bottom w:val="single" w:color="auto" w:sz="4" w:space="0"/>
              <w:right w:val="single" w:color="auto" w:sz="4" w:space="0"/>
            </w:tcBorders>
            <w:vAlign w:val="center"/>
          </w:tcPr>
          <w:p w14:paraId="6EEECF03">
            <w:pPr>
              <w:widowControl/>
              <w:jc w:val="left"/>
              <w:rPr>
                <w:rFonts w:ascii="Times New Roman" w:hAnsi="Times New Roman" w:eastAsia="仿宋_GB2312" w:cs="Times New Roman"/>
                <w:b/>
                <w:bCs/>
                <w:kern w:val="0"/>
                <w:sz w:val="24"/>
                <w:szCs w:val="24"/>
              </w:rPr>
            </w:pPr>
          </w:p>
        </w:tc>
      </w:tr>
      <w:tr w14:paraId="3CBFEFF1">
        <w:tblPrEx>
          <w:tblCellMar>
            <w:top w:w="0" w:type="dxa"/>
            <w:left w:w="108" w:type="dxa"/>
            <w:bottom w:w="0" w:type="dxa"/>
            <w:right w:w="108" w:type="dxa"/>
          </w:tblCellMar>
        </w:tblPrEx>
        <w:trPr>
          <w:trHeight w:val="595" w:hRule="atLeast"/>
          <w:jc w:val="center"/>
        </w:trPr>
        <w:tc>
          <w:tcPr>
            <w:tcW w:w="852" w:type="pct"/>
            <w:vMerge w:val="continue"/>
            <w:tcBorders>
              <w:top w:val="single" w:color="auto" w:sz="4" w:space="0"/>
              <w:left w:val="single" w:color="auto" w:sz="4" w:space="0"/>
              <w:bottom w:val="single" w:color="auto" w:sz="4" w:space="0"/>
              <w:right w:val="single" w:color="auto" w:sz="4" w:space="0"/>
            </w:tcBorders>
            <w:vAlign w:val="center"/>
          </w:tcPr>
          <w:p w14:paraId="549A5C28">
            <w:pPr>
              <w:widowControl/>
              <w:jc w:val="left"/>
              <w:rPr>
                <w:rFonts w:ascii="Times New Roman" w:hAnsi="Times New Roman" w:eastAsia="仿宋_GB2312" w:cs="Times New Roman"/>
                <w:kern w:val="0"/>
                <w:sz w:val="24"/>
                <w:szCs w:val="24"/>
              </w:rPr>
            </w:pPr>
          </w:p>
        </w:tc>
        <w:tc>
          <w:tcPr>
            <w:tcW w:w="469" w:type="pct"/>
            <w:vMerge w:val="continue"/>
            <w:tcBorders>
              <w:top w:val="nil"/>
              <w:left w:val="single" w:color="auto" w:sz="4" w:space="0"/>
              <w:bottom w:val="single" w:color="auto" w:sz="4" w:space="0"/>
              <w:right w:val="single" w:color="auto" w:sz="4" w:space="0"/>
            </w:tcBorders>
            <w:vAlign w:val="center"/>
          </w:tcPr>
          <w:p w14:paraId="1AF863A2">
            <w:pPr>
              <w:widowControl/>
              <w:jc w:val="left"/>
              <w:rPr>
                <w:rFonts w:ascii="Times New Roman" w:hAnsi="Times New Roman" w:eastAsia="仿宋_GB2312" w:cs="Times New Roman"/>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7800848D">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11BAE9EC">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7D3D16BC">
            <w:pPr>
              <w:widowControl/>
              <w:jc w:val="left"/>
              <w:rPr>
                <w:rFonts w:ascii="Times New Roman" w:hAnsi="Times New Roman" w:eastAsia="仿宋_GB2312" w:cs="Times New Roman"/>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79FB4139">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53561A56">
            <w:pPr>
              <w:widowControl/>
              <w:jc w:val="left"/>
              <w:rPr>
                <w:rFonts w:ascii="Times New Roman" w:hAnsi="Times New Roman" w:eastAsia="仿宋_GB2312" w:cs="Times New Roman"/>
                <w:kern w:val="0"/>
                <w:sz w:val="24"/>
                <w:szCs w:val="24"/>
              </w:rPr>
            </w:pPr>
          </w:p>
        </w:tc>
        <w:tc>
          <w:tcPr>
            <w:tcW w:w="948" w:type="pct"/>
            <w:vMerge w:val="continue"/>
            <w:tcBorders>
              <w:top w:val="single" w:color="auto" w:sz="4" w:space="0"/>
              <w:left w:val="single" w:color="auto" w:sz="4" w:space="0"/>
              <w:bottom w:val="single" w:color="auto" w:sz="4" w:space="0"/>
              <w:right w:val="single" w:color="auto" w:sz="4" w:space="0"/>
            </w:tcBorders>
            <w:vAlign w:val="center"/>
          </w:tcPr>
          <w:p w14:paraId="1B7D10BF">
            <w:pPr>
              <w:widowControl/>
              <w:jc w:val="left"/>
              <w:rPr>
                <w:rFonts w:ascii="Times New Roman" w:hAnsi="Times New Roman" w:eastAsia="仿宋_GB2312" w:cs="Times New Roman"/>
                <w:kern w:val="0"/>
                <w:sz w:val="24"/>
                <w:szCs w:val="24"/>
              </w:rPr>
            </w:pPr>
          </w:p>
        </w:tc>
      </w:tr>
      <w:tr w14:paraId="316D1B5F">
        <w:tblPrEx>
          <w:tblCellMar>
            <w:top w:w="0" w:type="dxa"/>
            <w:left w:w="108" w:type="dxa"/>
            <w:bottom w:w="0" w:type="dxa"/>
            <w:right w:w="108" w:type="dxa"/>
          </w:tblCellMar>
        </w:tblPrEx>
        <w:trPr>
          <w:trHeight w:val="595"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637E1A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660" w:type="pct"/>
            <w:tcBorders>
              <w:top w:val="nil"/>
              <w:left w:val="nil"/>
              <w:bottom w:val="single" w:color="auto" w:sz="4" w:space="0"/>
              <w:right w:val="single" w:color="auto" w:sz="4" w:space="0"/>
            </w:tcBorders>
            <w:shd w:val="clear" w:color="000000" w:fill="FFFFFF"/>
            <w:noWrap/>
            <w:vAlign w:val="center"/>
          </w:tcPr>
          <w:p w14:paraId="0218FAE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469" w:type="pct"/>
            <w:tcBorders>
              <w:top w:val="nil"/>
              <w:left w:val="nil"/>
              <w:bottom w:val="single" w:color="auto" w:sz="4" w:space="0"/>
              <w:right w:val="single" w:color="auto" w:sz="4" w:space="0"/>
            </w:tcBorders>
            <w:shd w:val="clear" w:color="000000" w:fill="FFFFFF"/>
            <w:noWrap/>
            <w:vAlign w:val="center"/>
          </w:tcPr>
          <w:p w14:paraId="3B56ECC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469" w:type="pct"/>
            <w:tcBorders>
              <w:top w:val="nil"/>
              <w:left w:val="nil"/>
              <w:bottom w:val="single" w:color="auto" w:sz="4" w:space="0"/>
              <w:right w:val="single" w:color="auto" w:sz="4" w:space="0"/>
            </w:tcBorders>
            <w:shd w:val="clear" w:color="000000" w:fill="FFFFFF"/>
            <w:noWrap/>
            <w:vAlign w:val="center"/>
          </w:tcPr>
          <w:p w14:paraId="3C3E478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660" w:type="pct"/>
            <w:tcBorders>
              <w:top w:val="nil"/>
              <w:left w:val="nil"/>
              <w:bottom w:val="single" w:color="auto" w:sz="4" w:space="0"/>
              <w:right w:val="single" w:color="auto" w:sz="4" w:space="0"/>
            </w:tcBorders>
            <w:shd w:val="clear" w:color="000000" w:fill="FFFFFF"/>
            <w:noWrap/>
            <w:vAlign w:val="center"/>
          </w:tcPr>
          <w:p w14:paraId="71D768D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469" w:type="pct"/>
            <w:tcBorders>
              <w:top w:val="nil"/>
              <w:left w:val="nil"/>
              <w:bottom w:val="single" w:color="auto" w:sz="4" w:space="0"/>
              <w:right w:val="single" w:color="auto" w:sz="4" w:space="0"/>
            </w:tcBorders>
            <w:shd w:val="clear" w:color="000000" w:fill="FFFFFF"/>
            <w:noWrap/>
            <w:vAlign w:val="center"/>
          </w:tcPr>
          <w:p w14:paraId="258908B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948" w:type="pct"/>
            <w:tcBorders>
              <w:top w:val="nil"/>
              <w:left w:val="nil"/>
              <w:bottom w:val="single" w:color="auto" w:sz="4" w:space="0"/>
              <w:right w:val="single" w:color="auto" w:sz="4" w:space="0"/>
            </w:tcBorders>
            <w:shd w:val="clear" w:color="000000" w:fill="FFFFFF"/>
            <w:noWrap/>
            <w:vAlign w:val="center"/>
          </w:tcPr>
          <w:p w14:paraId="69DB075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14:paraId="49B82B0B">
        <w:tblPrEx>
          <w:tblCellMar>
            <w:top w:w="0" w:type="dxa"/>
            <w:left w:w="108" w:type="dxa"/>
            <w:bottom w:w="0" w:type="dxa"/>
            <w:right w:w="108" w:type="dxa"/>
          </w:tblCellMar>
        </w:tblPrEx>
        <w:trPr>
          <w:trHeight w:val="595"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F27791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660" w:type="pct"/>
            <w:tcBorders>
              <w:top w:val="nil"/>
              <w:left w:val="nil"/>
              <w:bottom w:val="single" w:color="auto" w:sz="4" w:space="0"/>
              <w:right w:val="single" w:color="auto" w:sz="4" w:space="0"/>
            </w:tcBorders>
            <w:shd w:val="clear" w:color="auto" w:fill="auto"/>
            <w:noWrap/>
            <w:vAlign w:val="center"/>
          </w:tcPr>
          <w:p w14:paraId="7C4461D4">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1267F338">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2CBFD0A4">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660" w:type="pct"/>
            <w:tcBorders>
              <w:top w:val="nil"/>
              <w:left w:val="nil"/>
              <w:bottom w:val="single" w:color="auto" w:sz="4" w:space="0"/>
              <w:right w:val="single" w:color="auto" w:sz="4" w:space="0"/>
            </w:tcBorders>
            <w:shd w:val="clear" w:color="auto" w:fill="auto"/>
            <w:noWrap/>
            <w:vAlign w:val="center"/>
          </w:tcPr>
          <w:p w14:paraId="685DF3E1">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1CC43783">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016592C7">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2E10D1A7">
        <w:tblPrEx>
          <w:tblCellMar>
            <w:top w:w="0" w:type="dxa"/>
            <w:left w:w="108" w:type="dxa"/>
            <w:bottom w:w="0" w:type="dxa"/>
            <w:right w:w="108" w:type="dxa"/>
          </w:tblCellMar>
        </w:tblPrEx>
        <w:trPr>
          <w:trHeight w:val="595" w:hRule="atLeast"/>
          <w:jc w:val="center"/>
        </w:trPr>
        <w:tc>
          <w:tcPr>
            <w:tcW w:w="85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5A8A64B">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000000" w:fill="FFFFFF"/>
            <w:noWrap/>
            <w:vAlign w:val="center"/>
          </w:tcPr>
          <w:p w14:paraId="534D1285">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660" w:type="pct"/>
            <w:tcBorders>
              <w:top w:val="nil"/>
              <w:left w:val="nil"/>
              <w:bottom w:val="single" w:color="auto" w:sz="4" w:space="0"/>
              <w:right w:val="single" w:color="auto" w:sz="4" w:space="0"/>
            </w:tcBorders>
            <w:shd w:val="clear" w:color="auto" w:fill="auto"/>
            <w:noWrap/>
            <w:vAlign w:val="center"/>
          </w:tcPr>
          <w:p w14:paraId="1423FF75">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63849C32">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60703944">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660" w:type="pct"/>
            <w:tcBorders>
              <w:top w:val="nil"/>
              <w:left w:val="nil"/>
              <w:bottom w:val="single" w:color="auto" w:sz="4" w:space="0"/>
              <w:right w:val="single" w:color="auto" w:sz="4" w:space="0"/>
            </w:tcBorders>
            <w:shd w:val="clear" w:color="auto" w:fill="auto"/>
            <w:noWrap/>
            <w:vAlign w:val="center"/>
          </w:tcPr>
          <w:p w14:paraId="04D0E839">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0FF27CD1">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373E098B">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4B2767C8">
        <w:tblPrEx>
          <w:tblCellMar>
            <w:top w:w="0" w:type="dxa"/>
            <w:left w:w="108" w:type="dxa"/>
            <w:bottom w:w="0" w:type="dxa"/>
            <w:right w:w="108" w:type="dxa"/>
          </w:tblCellMar>
        </w:tblPrEx>
        <w:trPr>
          <w:trHeight w:val="595" w:hRule="atLeast"/>
          <w:jc w:val="center"/>
        </w:trPr>
        <w:tc>
          <w:tcPr>
            <w:tcW w:w="85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821C9D7">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000000" w:fill="FFFFFF"/>
            <w:noWrap/>
            <w:vAlign w:val="center"/>
          </w:tcPr>
          <w:p w14:paraId="23FF9CFB">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660" w:type="pct"/>
            <w:tcBorders>
              <w:top w:val="nil"/>
              <w:left w:val="nil"/>
              <w:bottom w:val="single" w:color="auto" w:sz="4" w:space="0"/>
              <w:right w:val="single" w:color="auto" w:sz="4" w:space="0"/>
            </w:tcBorders>
            <w:shd w:val="clear" w:color="auto" w:fill="auto"/>
            <w:noWrap/>
            <w:vAlign w:val="center"/>
          </w:tcPr>
          <w:p w14:paraId="61750BB8">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2F449866">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0E46EF23">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660" w:type="pct"/>
            <w:tcBorders>
              <w:top w:val="nil"/>
              <w:left w:val="nil"/>
              <w:bottom w:val="single" w:color="auto" w:sz="4" w:space="0"/>
              <w:right w:val="single" w:color="auto" w:sz="4" w:space="0"/>
            </w:tcBorders>
            <w:shd w:val="clear" w:color="auto" w:fill="auto"/>
            <w:noWrap/>
            <w:vAlign w:val="center"/>
          </w:tcPr>
          <w:p w14:paraId="0B666283">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3F3504B1">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1729E227">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5CC56AC0">
        <w:tblPrEx>
          <w:tblCellMar>
            <w:top w:w="0" w:type="dxa"/>
            <w:left w:w="108" w:type="dxa"/>
            <w:bottom w:w="0" w:type="dxa"/>
            <w:right w:w="108" w:type="dxa"/>
          </w:tblCellMar>
        </w:tblPrEx>
        <w:trPr>
          <w:trHeight w:val="595" w:hRule="atLeast"/>
          <w:jc w:val="center"/>
        </w:trPr>
        <w:tc>
          <w:tcPr>
            <w:tcW w:w="85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5565B34">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000000" w:fill="FFFFFF"/>
            <w:noWrap/>
            <w:vAlign w:val="center"/>
          </w:tcPr>
          <w:p w14:paraId="4D709433">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660" w:type="pct"/>
            <w:tcBorders>
              <w:top w:val="nil"/>
              <w:left w:val="nil"/>
              <w:bottom w:val="single" w:color="auto" w:sz="4" w:space="0"/>
              <w:right w:val="single" w:color="auto" w:sz="4" w:space="0"/>
            </w:tcBorders>
            <w:shd w:val="clear" w:color="auto" w:fill="auto"/>
            <w:noWrap/>
            <w:vAlign w:val="center"/>
          </w:tcPr>
          <w:p w14:paraId="3AEB0872">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310BE5CB">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179E74BF">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660" w:type="pct"/>
            <w:tcBorders>
              <w:top w:val="nil"/>
              <w:left w:val="nil"/>
              <w:bottom w:val="single" w:color="auto" w:sz="4" w:space="0"/>
              <w:right w:val="single" w:color="auto" w:sz="4" w:space="0"/>
            </w:tcBorders>
            <w:shd w:val="clear" w:color="auto" w:fill="auto"/>
            <w:noWrap/>
            <w:vAlign w:val="center"/>
          </w:tcPr>
          <w:p w14:paraId="02BF30B4">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038F2FDA">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63B5405B">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30D36881">
        <w:tblPrEx>
          <w:tblCellMar>
            <w:top w:w="0" w:type="dxa"/>
            <w:left w:w="108" w:type="dxa"/>
            <w:bottom w:w="0" w:type="dxa"/>
            <w:right w:w="108" w:type="dxa"/>
          </w:tblCellMar>
        </w:tblPrEx>
        <w:trPr>
          <w:trHeight w:val="595" w:hRule="atLeast"/>
          <w:jc w:val="center"/>
        </w:trPr>
        <w:tc>
          <w:tcPr>
            <w:tcW w:w="85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EDCE47B">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000000" w:fill="FFFFFF"/>
            <w:noWrap/>
            <w:vAlign w:val="center"/>
          </w:tcPr>
          <w:p w14:paraId="76EE8FF0">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660" w:type="pct"/>
            <w:tcBorders>
              <w:top w:val="nil"/>
              <w:left w:val="nil"/>
              <w:bottom w:val="single" w:color="auto" w:sz="4" w:space="0"/>
              <w:right w:val="single" w:color="auto" w:sz="4" w:space="0"/>
            </w:tcBorders>
            <w:shd w:val="clear" w:color="auto" w:fill="auto"/>
            <w:noWrap/>
            <w:vAlign w:val="center"/>
          </w:tcPr>
          <w:p w14:paraId="03BC1EA2">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7EDD0BD6">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1F6CE840">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660" w:type="pct"/>
            <w:tcBorders>
              <w:top w:val="nil"/>
              <w:left w:val="nil"/>
              <w:bottom w:val="single" w:color="auto" w:sz="4" w:space="0"/>
              <w:right w:val="single" w:color="auto" w:sz="4" w:space="0"/>
            </w:tcBorders>
            <w:shd w:val="clear" w:color="auto" w:fill="auto"/>
            <w:noWrap/>
            <w:vAlign w:val="center"/>
          </w:tcPr>
          <w:p w14:paraId="375AAF09">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08AEC0C6">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6D0ED8BB">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4D6FC6B5">
        <w:tblPrEx>
          <w:tblCellMar>
            <w:top w:w="0" w:type="dxa"/>
            <w:left w:w="108" w:type="dxa"/>
            <w:bottom w:w="0" w:type="dxa"/>
            <w:right w:w="108" w:type="dxa"/>
          </w:tblCellMar>
        </w:tblPrEx>
        <w:trPr>
          <w:trHeight w:val="595" w:hRule="atLeast"/>
          <w:jc w:val="center"/>
        </w:trPr>
        <w:tc>
          <w:tcPr>
            <w:tcW w:w="85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372CC09">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000000" w:fill="FFFFFF"/>
            <w:noWrap/>
            <w:vAlign w:val="center"/>
          </w:tcPr>
          <w:p w14:paraId="4E6C5A5F">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660" w:type="pct"/>
            <w:tcBorders>
              <w:top w:val="nil"/>
              <w:left w:val="nil"/>
              <w:bottom w:val="single" w:color="auto" w:sz="4" w:space="0"/>
              <w:right w:val="single" w:color="auto" w:sz="4" w:space="0"/>
            </w:tcBorders>
            <w:shd w:val="clear" w:color="auto" w:fill="auto"/>
            <w:noWrap/>
            <w:vAlign w:val="center"/>
          </w:tcPr>
          <w:p w14:paraId="557E242E">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0AD3AC6A">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222A59D5">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660" w:type="pct"/>
            <w:tcBorders>
              <w:top w:val="nil"/>
              <w:left w:val="nil"/>
              <w:bottom w:val="single" w:color="auto" w:sz="4" w:space="0"/>
              <w:right w:val="single" w:color="auto" w:sz="4" w:space="0"/>
            </w:tcBorders>
            <w:shd w:val="clear" w:color="auto" w:fill="auto"/>
            <w:noWrap/>
            <w:vAlign w:val="center"/>
          </w:tcPr>
          <w:p w14:paraId="447FFE10">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6A96E3E4">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5E2DE560">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47A51F94">
        <w:tblPrEx>
          <w:tblCellMar>
            <w:top w:w="0" w:type="dxa"/>
            <w:left w:w="108" w:type="dxa"/>
            <w:bottom w:w="0" w:type="dxa"/>
            <w:right w:w="108" w:type="dxa"/>
          </w:tblCellMar>
        </w:tblPrEx>
        <w:trPr>
          <w:trHeight w:val="595" w:hRule="atLeast"/>
          <w:jc w:val="center"/>
        </w:trPr>
        <w:tc>
          <w:tcPr>
            <w:tcW w:w="85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1D61D47">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000000" w:fill="FFFFFF"/>
            <w:noWrap/>
            <w:vAlign w:val="center"/>
          </w:tcPr>
          <w:p w14:paraId="4C7D9D2A">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660" w:type="pct"/>
            <w:tcBorders>
              <w:top w:val="nil"/>
              <w:left w:val="nil"/>
              <w:bottom w:val="single" w:color="auto" w:sz="4" w:space="0"/>
              <w:right w:val="single" w:color="auto" w:sz="4" w:space="0"/>
            </w:tcBorders>
            <w:shd w:val="clear" w:color="auto" w:fill="auto"/>
            <w:noWrap/>
            <w:vAlign w:val="center"/>
          </w:tcPr>
          <w:p w14:paraId="1593C09C">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6570C5D4">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29C657F2">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660" w:type="pct"/>
            <w:tcBorders>
              <w:top w:val="nil"/>
              <w:left w:val="nil"/>
              <w:bottom w:val="single" w:color="auto" w:sz="4" w:space="0"/>
              <w:right w:val="single" w:color="auto" w:sz="4" w:space="0"/>
            </w:tcBorders>
            <w:shd w:val="clear" w:color="auto" w:fill="auto"/>
            <w:noWrap/>
            <w:vAlign w:val="center"/>
          </w:tcPr>
          <w:p w14:paraId="34090071">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4F7E5AE7">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0AA4C768">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bl>
    <w:p w14:paraId="2BE12448">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14:paraId="146D0DBE">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bookmarkStart w:id="0" w:name="RANGE!A1:I22"/>
      <w:bookmarkEnd w:id="0"/>
      <w:bookmarkStart w:id="1"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14:paraId="77D92BC1">
      <w:pPr>
        <w:widowControl/>
        <w:spacing w:line="400" w:lineRule="exact"/>
        <w:jc w:val="center"/>
        <w:textAlignment w:val="center"/>
        <w:rPr>
          <w:rFonts w:ascii="Times New Roman" w:hAnsi="Times New Roman" w:eastAsia="黑体" w:cs="Times New Roman"/>
          <w:color w:val="000000"/>
          <w:kern w:val="0"/>
          <w:sz w:val="32"/>
          <w:szCs w:val="32"/>
          <w:lang w:bidi="ar"/>
        </w:rPr>
      </w:pPr>
    </w:p>
    <w:p w14:paraId="4A892FE3">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财政拨款收入支出决算总表</w:t>
      </w:r>
    </w:p>
    <w:p w14:paraId="757AF6B4">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14:paraId="53395ADF">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9"/>
        <w:tblW w:w="0" w:type="auto"/>
        <w:jc w:val="center"/>
        <w:tblLayout w:type="autofit"/>
        <w:tblCellMar>
          <w:top w:w="0" w:type="dxa"/>
          <w:left w:w="108" w:type="dxa"/>
          <w:bottom w:w="0" w:type="dxa"/>
          <w:right w:w="108" w:type="dxa"/>
        </w:tblCellMar>
      </w:tblPr>
      <w:tblGrid>
        <w:gridCol w:w="3516"/>
        <w:gridCol w:w="616"/>
        <w:gridCol w:w="696"/>
        <w:gridCol w:w="2636"/>
        <w:gridCol w:w="616"/>
        <w:gridCol w:w="696"/>
        <w:gridCol w:w="1678"/>
        <w:gridCol w:w="1815"/>
        <w:gridCol w:w="1951"/>
      </w:tblGrid>
      <w:tr w14:paraId="43553BE0">
        <w:tblPrEx>
          <w:tblCellMar>
            <w:top w:w="0" w:type="dxa"/>
            <w:left w:w="108" w:type="dxa"/>
            <w:bottom w:w="0" w:type="dxa"/>
            <w:right w:w="108" w:type="dxa"/>
          </w:tblCellMar>
        </w:tblPrEx>
        <w:trPr>
          <w:trHeight w:val="402" w:hRule="atLeast"/>
          <w:jc w:val="center"/>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1444A1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0" w:type="auto"/>
            <w:gridSpan w:val="6"/>
            <w:tcBorders>
              <w:top w:val="single" w:color="auto" w:sz="4" w:space="0"/>
              <w:left w:val="nil"/>
              <w:bottom w:val="single" w:color="auto" w:sz="4" w:space="0"/>
              <w:right w:val="single" w:color="auto" w:sz="4" w:space="0"/>
            </w:tcBorders>
            <w:shd w:val="clear" w:color="000000" w:fill="FFFFFF"/>
            <w:noWrap/>
            <w:vAlign w:val="center"/>
          </w:tcPr>
          <w:p w14:paraId="11923D5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14:paraId="732757A5">
        <w:tblPrEx>
          <w:tblCellMar>
            <w:top w:w="0" w:type="dxa"/>
            <w:left w:w="108" w:type="dxa"/>
            <w:bottom w:w="0" w:type="dxa"/>
            <w:right w:w="108" w:type="dxa"/>
          </w:tblCellMar>
        </w:tblPrEx>
        <w:trPr>
          <w:trHeight w:val="63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689452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14:paraId="2AA9200A">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14:paraId="64980AC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0" w:type="auto"/>
            <w:tcBorders>
              <w:top w:val="nil"/>
              <w:left w:val="nil"/>
              <w:bottom w:val="single" w:color="auto" w:sz="4" w:space="0"/>
              <w:right w:val="single" w:color="auto" w:sz="4" w:space="0"/>
            </w:tcBorders>
            <w:shd w:val="clear" w:color="auto" w:fill="auto"/>
            <w:noWrap/>
            <w:vAlign w:val="center"/>
          </w:tcPr>
          <w:p w14:paraId="49659C8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14:paraId="1A8A7F3D">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14:paraId="2056842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0" w:type="auto"/>
            <w:tcBorders>
              <w:top w:val="nil"/>
              <w:left w:val="nil"/>
              <w:bottom w:val="single" w:color="auto" w:sz="4" w:space="0"/>
              <w:right w:val="single" w:color="auto" w:sz="4" w:space="0"/>
            </w:tcBorders>
            <w:shd w:val="clear" w:color="auto" w:fill="auto"/>
            <w:vAlign w:val="center"/>
          </w:tcPr>
          <w:p w14:paraId="0726A94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0" w:type="auto"/>
            <w:tcBorders>
              <w:top w:val="nil"/>
              <w:left w:val="nil"/>
              <w:bottom w:val="single" w:color="auto" w:sz="4" w:space="0"/>
              <w:right w:val="single" w:color="auto" w:sz="4" w:space="0"/>
            </w:tcBorders>
            <w:shd w:val="clear" w:color="auto" w:fill="auto"/>
            <w:vAlign w:val="center"/>
          </w:tcPr>
          <w:p w14:paraId="7A96006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0" w:type="auto"/>
            <w:tcBorders>
              <w:top w:val="nil"/>
              <w:left w:val="nil"/>
              <w:bottom w:val="single" w:color="auto" w:sz="4" w:space="0"/>
              <w:right w:val="single" w:color="auto" w:sz="4" w:space="0"/>
            </w:tcBorders>
            <w:shd w:val="clear" w:color="auto" w:fill="auto"/>
            <w:vAlign w:val="center"/>
          </w:tcPr>
          <w:p w14:paraId="590D2F0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14:paraId="78BFD689">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7408A7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14:paraId="683514F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14:paraId="7A560B6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0" w:type="auto"/>
            <w:tcBorders>
              <w:top w:val="nil"/>
              <w:left w:val="nil"/>
              <w:bottom w:val="single" w:color="auto" w:sz="4" w:space="0"/>
              <w:right w:val="single" w:color="auto" w:sz="4" w:space="0"/>
            </w:tcBorders>
            <w:shd w:val="clear" w:color="auto" w:fill="auto"/>
            <w:noWrap/>
            <w:vAlign w:val="center"/>
          </w:tcPr>
          <w:p w14:paraId="03595F4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14:paraId="1287A87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14:paraId="24CD521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0" w:type="auto"/>
            <w:tcBorders>
              <w:top w:val="nil"/>
              <w:left w:val="nil"/>
              <w:bottom w:val="single" w:color="auto" w:sz="4" w:space="0"/>
              <w:right w:val="single" w:color="auto" w:sz="4" w:space="0"/>
            </w:tcBorders>
            <w:shd w:val="clear" w:color="auto" w:fill="auto"/>
            <w:noWrap/>
            <w:vAlign w:val="center"/>
          </w:tcPr>
          <w:p w14:paraId="19E3347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0" w:type="auto"/>
            <w:tcBorders>
              <w:top w:val="nil"/>
              <w:left w:val="nil"/>
              <w:bottom w:val="single" w:color="auto" w:sz="4" w:space="0"/>
              <w:right w:val="single" w:color="auto" w:sz="4" w:space="0"/>
            </w:tcBorders>
            <w:shd w:val="clear" w:color="auto" w:fill="auto"/>
            <w:noWrap/>
            <w:vAlign w:val="center"/>
          </w:tcPr>
          <w:p w14:paraId="1704C69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0" w:type="auto"/>
            <w:tcBorders>
              <w:top w:val="nil"/>
              <w:left w:val="nil"/>
              <w:bottom w:val="single" w:color="auto" w:sz="4" w:space="0"/>
              <w:right w:val="single" w:color="auto" w:sz="4" w:space="0"/>
            </w:tcBorders>
            <w:shd w:val="clear" w:color="auto" w:fill="auto"/>
            <w:noWrap/>
            <w:vAlign w:val="center"/>
          </w:tcPr>
          <w:p w14:paraId="70807BF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14:paraId="645BC631">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D72A4DC">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0" w:type="auto"/>
            <w:tcBorders>
              <w:top w:val="nil"/>
              <w:left w:val="nil"/>
              <w:bottom w:val="single" w:color="auto" w:sz="4" w:space="0"/>
              <w:right w:val="single" w:color="auto" w:sz="4" w:space="0"/>
            </w:tcBorders>
            <w:shd w:val="clear" w:color="auto" w:fill="auto"/>
            <w:noWrap/>
            <w:vAlign w:val="center"/>
          </w:tcPr>
          <w:p w14:paraId="4FA2D6C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0" w:type="auto"/>
            <w:tcBorders>
              <w:top w:val="nil"/>
              <w:left w:val="nil"/>
              <w:bottom w:val="single" w:color="auto" w:sz="4" w:space="0"/>
              <w:right w:val="single" w:color="auto" w:sz="4" w:space="0"/>
            </w:tcBorders>
            <w:shd w:val="clear" w:color="auto" w:fill="auto"/>
            <w:noWrap/>
            <w:vAlign w:val="center"/>
          </w:tcPr>
          <w:p w14:paraId="143015F0">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43983EC">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一、一般公共服务支出</w:t>
            </w:r>
          </w:p>
        </w:tc>
        <w:tc>
          <w:tcPr>
            <w:tcW w:w="0" w:type="auto"/>
            <w:tcBorders>
              <w:top w:val="nil"/>
              <w:left w:val="nil"/>
              <w:bottom w:val="single" w:color="auto" w:sz="4" w:space="0"/>
              <w:right w:val="single" w:color="auto" w:sz="4" w:space="0"/>
            </w:tcBorders>
            <w:shd w:val="clear" w:color="auto" w:fill="auto"/>
            <w:noWrap/>
            <w:vAlign w:val="center"/>
          </w:tcPr>
          <w:p w14:paraId="67931C4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15</w:t>
            </w:r>
          </w:p>
        </w:tc>
        <w:tc>
          <w:tcPr>
            <w:tcW w:w="0" w:type="auto"/>
            <w:tcBorders>
              <w:top w:val="nil"/>
              <w:left w:val="nil"/>
              <w:bottom w:val="single" w:color="auto" w:sz="4" w:space="0"/>
              <w:right w:val="single" w:color="auto" w:sz="4" w:space="0"/>
            </w:tcBorders>
            <w:shd w:val="clear" w:color="auto" w:fill="auto"/>
            <w:noWrap/>
            <w:vAlign w:val="center"/>
          </w:tcPr>
          <w:p w14:paraId="393EA90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D4FC73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C3FACD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8344157">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1755529E">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0EFE00A">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14:paraId="2F5D792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0" w:type="auto"/>
            <w:tcBorders>
              <w:top w:val="nil"/>
              <w:left w:val="nil"/>
              <w:bottom w:val="single" w:color="auto" w:sz="4" w:space="0"/>
              <w:right w:val="single" w:color="auto" w:sz="4" w:space="0"/>
            </w:tcBorders>
            <w:shd w:val="clear" w:color="auto" w:fill="auto"/>
            <w:noWrap/>
            <w:vAlign w:val="center"/>
          </w:tcPr>
          <w:p w14:paraId="6995FA70">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5FB5B12">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二、外交支出</w:t>
            </w:r>
          </w:p>
        </w:tc>
        <w:tc>
          <w:tcPr>
            <w:tcW w:w="0" w:type="auto"/>
            <w:tcBorders>
              <w:top w:val="nil"/>
              <w:left w:val="nil"/>
              <w:bottom w:val="single" w:color="auto" w:sz="4" w:space="0"/>
              <w:right w:val="single" w:color="auto" w:sz="4" w:space="0"/>
            </w:tcBorders>
            <w:shd w:val="clear" w:color="auto" w:fill="auto"/>
            <w:noWrap/>
            <w:vAlign w:val="center"/>
          </w:tcPr>
          <w:p w14:paraId="2A38714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16</w:t>
            </w:r>
          </w:p>
        </w:tc>
        <w:tc>
          <w:tcPr>
            <w:tcW w:w="0" w:type="auto"/>
            <w:tcBorders>
              <w:top w:val="nil"/>
              <w:left w:val="nil"/>
              <w:bottom w:val="single" w:color="auto" w:sz="4" w:space="0"/>
              <w:right w:val="single" w:color="auto" w:sz="4" w:space="0"/>
            </w:tcBorders>
            <w:shd w:val="clear" w:color="auto" w:fill="auto"/>
            <w:noWrap/>
            <w:vAlign w:val="center"/>
          </w:tcPr>
          <w:p w14:paraId="41AB119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27C6AB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4AD95E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59CA651">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7A91C291">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85B36EB">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14:paraId="7B6EB76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0" w:type="auto"/>
            <w:tcBorders>
              <w:top w:val="nil"/>
              <w:left w:val="nil"/>
              <w:bottom w:val="single" w:color="auto" w:sz="4" w:space="0"/>
              <w:right w:val="single" w:color="auto" w:sz="4" w:space="0"/>
            </w:tcBorders>
            <w:shd w:val="clear" w:color="auto" w:fill="auto"/>
            <w:noWrap/>
            <w:vAlign w:val="center"/>
          </w:tcPr>
          <w:p w14:paraId="70B4FCEA">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DF63CE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三、国防支出</w:t>
            </w:r>
          </w:p>
        </w:tc>
        <w:tc>
          <w:tcPr>
            <w:tcW w:w="0" w:type="auto"/>
            <w:tcBorders>
              <w:top w:val="nil"/>
              <w:left w:val="nil"/>
              <w:bottom w:val="single" w:color="auto" w:sz="4" w:space="0"/>
              <w:right w:val="single" w:color="auto" w:sz="4" w:space="0"/>
            </w:tcBorders>
            <w:shd w:val="clear" w:color="auto" w:fill="auto"/>
            <w:noWrap/>
            <w:vAlign w:val="center"/>
          </w:tcPr>
          <w:p w14:paraId="33933AC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17</w:t>
            </w:r>
          </w:p>
        </w:tc>
        <w:tc>
          <w:tcPr>
            <w:tcW w:w="0" w:type="auto"/>
            <w:tcBorders>
              <w:top w:val="nil"/>
              <w:left w:val="nil"/>
              <w:bottom w:val="single" w:color="auto" w:sz="4" w:space="0"/>
              <w:right w:val="single" w:color="auto" w:sz="4" w:space="0"/>
            </w:tcBorders>
            <w:shd w:val="clear" w:color="auto" w:fill="auto"/>
            <w:noWrap/>
            <w:vAlign w:val="center"/>
          </w:tcPr>
          <w:p w14:paraId="48A8923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6D85BA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ECB2FE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6D26988">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24BE3031">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6E538D5">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B63664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p>
        </w:tc>
        <w:tc>
          <w:tcPr>
            <w:tcW w:w="0" w:type="auto"/>
            <w:tcBorders>
              <w:top w:val="nil"/>
              <w:left w:val="nil"/>
              <w:bottom w:val="single" w:color="auto" w:sz="4" w:space="0"/>
              <w:right w:val="single" w:color="auto" w:sz="4" w:space="0"/>
            </w:tcBorders>
            <w:shd w:val="clear" w:color="auto" w:fill="auto"/>
            <w:noWrap/>
            <w:vAlign w:val="center"/>
          </w:tcPr>
          <w:p w14:paraId="743A9ABC">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66266C1">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四、公共安全支出</w:t>
            </w:r>
          </w:p>
        </w:tc>
        <w:tc>
          <w:tcPr>
            <w:tcW w:w="0" w:type="auto"/>
            <w:tcBorders>
              <w:top w:val="nil"/>
              <w:left w:val="nil"/>
              <w:bottom w:val="single" w:color="auto" w:sz="4" w:space="0"/>
              <w:right w:val="single" w:color="auto" w:sz="4" w:space="0"/>
            </w:tcBorders>
            <w:shd w:val="clear" w:color="auto" w:fill="auto"/>
            <w:noWrap/>
            <w:vAlign w:val="center"/>
          </w:tcPr>
          <w:p w14:paraId="687BBC2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18</w:t>
            </w:r>
          </w:p>
        </w:tc>
        <w:tc>
          <w:tcPr>
            <w:tcW w:w="0" w:type="auto"/>
            <w:tcBorders>
              <w:top w:val="nil"/>
              <w:left w:val="nil"/>
              <w:bottom w:val="single" w:color="auto" w:sz="4" w:space="0"/>
              <w:right w:val="single" w:color="auto" w:sz="4" w:space="0"/>
            </w:tcBorders>
            <w:shd w:val="clear" w:color="auto" w:fill="auto"/>
            <w:noWrap/>
            <w:vAlign w:val="center"/>
          </w:tcPr>
          <w:p w14:paraId="6D59431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0CD63B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5A1241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973E55C">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0FD3544D">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DFC14D4">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73E144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w:t>
            </w:r>
          </w:p>
        </w:tc>
        <w:tc>
          <w:tcPr>
            <w:tcW w:w="0" w:type="auto"/>
            <w:tcBorders>
              <w:top w:val="nil"/>
              <w:left w:val="nil"/>
              <w:bottom w:val="single" w:color="auto" w:sz="4" w:space="0"/>
              <w:right w:val="single" w:color="auto" w:sz="4" w:space="0"/>
            </w:tcBorders>
            <w:shd w:val="clear" w:color="auto" w:fill="auto"/>
            <w:noWrap/>
            <w:vAlign w:val="center"/>
          </w:tcPr>
          <w:p w14:paraId="264782FF">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FF3519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五、教育支出</w:t>
            </w:r>
          </w:p>
        </w:tc>
        <w:tc>
          <w:tcPr>
            <w:tcW w:w="0" w:type="auto"/>
            <w:tcBorders>
              <w:top w:val="nil"/>
              <w:left w:val="nil"/>
              <w:bottom w:val="single" w:color="auto" w:sz="4" w:space="0"/>
              <w:right w:val="single" w:color="auto" w:sz="4" w:space="0"/>
            </w:tcBorders>
            <w:shd w:val="clear" w:color="auto" w:fill="auto"/>
            <w:noWrap/>
            <w:vAlign w:val="center"/>
          </w:tcPr>
          <w:p w14:paraId="0E357C3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19</w:t>
            </w:r>
          </w:p>
        </w:tc>
        <w:tc>
          <w:tcPr>
            <w:tcW w:w="0" w:type="auto"/>
            <w:tcBorders>
              <w:top w:val="nil"/>
              <w:left w:val="nil"/>
              <w:bottom w:val="single" w:color="auto" w:sz="4" w:space="0"/>
              <w:right w:val="single" w:color="auto" w:sz="4" w:space="0"/>
            </w:tcBorders>
            <w:shd w:val="clear" w:color="auto" w:fill="auto"/>
            <w:noWrap/>
            <w:vAlign w:val="center"/>
          </w:tcPr>
          <w:p w14:paraId="6ABFB45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927A6D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37E14E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87324A4">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59A83DE2">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7786B1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1D4E3E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w:t>
            </w:r>
          </w:p>
        </w:tc>
        <w:tc>
          <w:tcPr>
            <w:tcW w:w="0" w:type="auto"/>
            <w:tcBorders>
              <w:top w:val="nil"/>
              <w:left w:val="nil"/>
              <w:bottom w:val="single" w:color="auto" w:sz="4" w:space="0"/>
              <w:right w:val="single" w:color="auto" w:sz="4" w:space="0"/>
            </w:tcBorders>
            <w:shd w:val="clear" w:color="auto" w:fill="auto"/>
            <w:noWrap/>
            <w:vAlign w:val="center"/>
          </w:tcPr>
          <w:p w14:paraId="487481E9">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D2243A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六、科学技术支出</w:t>
            </w:r>
          </w:p>
        </w:tc>
        <w:tc>
          <w:tcPr>
            <w:tcW w:w="0" w:type="auto"/>
            <w:tcBorders>
              <w:top w:val="nil"/>
              <w:left w:val="nil"/>
              <w:bottom w:val="single" w:color="auto" w:sz="4" w:space="0"/>
              <w:right w:val="single" w:color="auto" w:sz="4" w:space="0"/>
            </w:tcBorders>
            <w:shd w:val="clear" w:color="auto" w:fill="auto"/>
            <w:noWrap/>
            <w:vAlign w:val="center"/>
          </w:tcPr>
          <w:p w14:paraId="5521593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w:t>
            </w:r>
          </w:p>
        </w:tc>
        <w:tc>
          <w:tcPr>
            <w:tcW w:w="0" w:type="auto"/>
            <w:tcBorders>
              <w:top w:val="nil"/>
              <w:left w:val="nil"/>
              <w:bottom w:val="single" w:color="auto" w:sz="4" w:space="0"/>
              <w:right w:val="single" w:color="auto" w:sz="4" w:space="0"/>
            </w:tcBorders>
            <w:shd w:val="clear" w:color="auto" w:fill="auto"/>
            <w:noWrap/>
            <w:vAlign w:val="center"/>
          </w:tcPr>
          <w:p w14:paraId="6DBFE95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FD28F7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DCD325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5122828">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6FA9A26B">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733C58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98E8FA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w:t>
            </w:r>
          </w:p>
        </w:tc>
        <w:tc>
          <w:tcPr>
            <w:tcW w:w="0" w:type="auto"/>
            <w:tcBorders>
              <w:top w:val="nil"/>
              <w:left w:val="nil"/>
              <w:bottom w:val="single" w:color="auto" w:sz="4" w:space="0"/>
              <w:right w:val="single" w:color="auto" w:sz="4" w:space="0"/>
            </w:tcBorders>
            <w:shd w:val="clear" w:color="auto" w:fill="auto"/>
            <w:noWrap/>
            <w:vAlign w:val="center"/>
          </w:tcPr>
          <w:p w14:paraId="16F76FA4">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538850A">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0" w:type="auto"/>
            <w:tcBorders>
              <w:top w:val="nil"/>
              <w:left w:val="nil"/>
              <w:bottom w:val="single" w:color="auto" w:sz="4" w:space="0"/>
              <w:right w:val="single" w:color="auto" w:sz="4" w:space="0"/>
            </w:tcBorders>
            <w:shd w:val="clear" w:color="auto" w:fill="auto"/>
            <w:noWrap/>
            <w:vAlign w:val="center"/>
          </w:tcPr>
          <w:p w14:paraId="00169F8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21</w:t>
            </w:r>
          </w:p>
        </w:tc>
        <w:tc>
          <w:tcPr>
            <w:tcW w:w="0" w:type="auto"/>
            <w:tcBorders>
              <w:top w:val="nil"/>
              <w:left w:val="nil"/>
              <w:bottom w:val="single" w:color="auto" w:sz="4" w:space="0"/>
              <w:right w:val="single" w:color="auto" w:sz="4" w:space="0"/>
            </w:tcBorders>
            <w:shd w:val="clear" w:color="auto" w:fill="auto"/>
            <w:noWrap/>
            <w:vAlign w:val="center"/>
          </w:tcPr>
          <w:p w14:paraId="4F82363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9632D6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473461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5316EAC">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6E5D90CF">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45B661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4A204B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w:t>
            </w:r>
          </w:p>
        </w:tc>
        <w:tc>
          <w:tcPr>
            <w:tcW w:w="0" w:type="auto"/>
            <w:tcBorders>
              <w:top w:val="nil"/>
              <w:left w:val="nil"/>
              <w:bottom w:val="single" w:color="auto" w:sz="4" w:space="0"/>
              <w:right w:val="single" w:color="auto" w:sz="4" w:space="0"/>
            </w:tcBorders>
            <w:shd w:val="clear" w:color="auto" w:fill="auto"/>
            <w:noWrap/>
            <w:vAlign w:val="center"/>
          </w:tcPr>
          <w:p w14:paraId="52E2E602">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E7615B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E9A5E0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22</w:t>
            </w:r>
          </w:p>
        </w:tc>
        <w:tc>
          <w:tcPr>
            <w:tcW w:w="0" w:type="auto"/>
            <w:tcBorders>
              <w:top w:val="nil"/>
              <w:left w:val="nil"/>
              <w:bottom w:val="single" w:color="auto" w:sz="4" w:space="0"/>
              <w:right w:val="single" w:color="auto" w:sz="4" w:space="0"/>
            </w:tcBorders>
            <w:shd w:val="clear" w:color="auto" w:fill="auto"/>
            <w:noWrap/>
            <w:vAlign w:val="center"/>
          </w:tcPr>
          <w:p w14:paraId="1A7FFD1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C1B74E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2D5672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A4C1B5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01B705DF">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AE7C193">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本年收入合计</w:t>
            </w:r>
          </w:p>
        </w:tc>
        <w:tc>
          <w:tcPr>
            <w:tcW w:w="0" w:type="auto"/>
            <w:tcBorders>
              <w:top w:val="nil"/>
              <w:left w:val="nil"/>
              <w:bottom w:val="single" w:color="auto" w:sz="4" w:space="0"/>
              <w:right w:val="single" w:color="auto" w:sz="4" w:space="0"/>
            </w:tcBorders>
            <w:shd w:val="clear" w:color="auto" w:fill="auto"/>
            <w:noWrap/>
            <w:vAlign w:val="center"/>
          </w:tcPr>
          <w:p w14:paraId="23E9F3F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9</w:t>
            </w:r>
          </w:p>
        </w:tc>
        <w:tc>
          <w:tcPr>
            <w:tcW w:w="0" w:type="auto"/>
            <w:tcBorders>
              <w:top w:val="nil"/>
              <w:left w:val="nil"/>
              <w:bottom w:val="single" w:color="auto" w:sz="4" w:space="0"/>
              <w:right w:val="single" w:color="auto" w:sz="4" w:space="0"/>
            </w:tcBorders>
            <w:shd w:val="clear" w:color="auto" w:fill="auto"/>
            <w:noWrap/>
            <w:vAlign w:val="center"/>
          </w:tcPr>
          <w:p w14:paraId="560BF31A">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6A9233B">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本年支出合计</w:t>
            </w:r>
          </w:p>
        </w:tc>
        <w:tc>
          <w:tcPr>
            <w:tcW w:w="0" w:type="auto"/>
            <w:tcBorders>
              <w:top w:val="nil"/>
              <w:left w:val="nil"/>
              <w:bottom w:val="single" w:color="auto" w:sz="4" w:space="0"/>
              <w:right w:val="single" w:color="auto" w:sz="4" w:space="0"/>
            </w:tcBorders>
            <w:shd w:val="clear" w:color="auto" w:fill="auto"/>
            <w:noWrap/>
            <w:vAlign w:val="center"/>
          </w:tcPr>
          <w:p w14:paraId="03FA759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23</w:t>
            </w:r>
          </w:p>
        </w:tc>
        <w:tc>
          <w:tcPr>
            <w:tcW w:w="0" w:type="auto"/>
            <w:tcBorders>
              <w:top w:val="nil"/>
              <w:left w:val="nil"/>
              <w:bottom w:val="single" w:color="auto" w:sz="4" w:space="0"/>
              <w:right w:val="single" w:color="auto" w:sz="4" w:space="0"/>
            </w:tcBorders>
            <w:shd w:val="clear" w:color="auto" w:fill="auto"/>
            <w:noWrap/>
            <w:vAlign w:val="center"/>
          </w:tcPr>
          <w:p w14:paraId="0CEBF18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1D4F7C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651BBE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BC60111">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r w14:paraId="7F76DC44">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9C8FCD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年初财政拨款结转和结余</w:t>
            </w:r>
          </w:p>
        </w:tc>
        <w:tc>
          <w:tcPr>
            <w:tcW w:w="0" w:type="auto"/>
            <w:tcBorders>
              <w:top w:val="nil"/>
              <w:left w:val="nil"/>
              <w:bottom w:val="single" w:color="auto" w:sz="4" w:space="0"/>
              <w:right w:val="single" w:color="auto" w:sz="4" w:space="0"/>
            </w:tcBorders>
            <w:shd w:val="clear" w:color="auto" w:fill="auto"/>
            <w:noWrap/>
            <w:vAlign w:val="center"/>
          </w:tcPr>
          <w:p w14:paraId="7826037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w:t>
            </w:r>
          </w:p>
        </w:tc>
        <w:tc>
          <w:tcPr>
            <w:tcW w:w="0" w:type="auto"/>
            <w:tcBorders>
              <w:top w:val="nil"/>
              <w:left w:val="nil"/>
              <w:bottom w:val="single" w:color="auto" w:sz="4" w:space="0"/>
              <w:right w:val="single" w:color="auto" w:sz="4" w:space="0"/>
            </w:tcBorders>
            <w:shd w:val="clear" w:color="auto" w:fill="auto"/>
            <w:noWrap/>
            <w:vAlign w:val="center"/>
          </w:tcPr>
          <w:p w14:paraId="05480BC1">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FF4021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年末财政拨款结转和结余</w:t>
            </w:r>
          </w:p>
        </w:tc>
        <w:tc>
          <w:tcPr>
            <w:tcW w:w="0" w:type="auto"/>
            <w:tcBorders>
              <w:top w:val="nil"/>
              <w:left w:val="nil"/>
              <w:bottom w:val="single" w:color="auto" w:sz="4" w:space="0"/>
              <w:right w:val="single" w:color="auto" w:sz="4" w:space="0"/>
            </w:tcBorders>
            <w:shd w:val="clear" w:color="auto" w:fill="auto"/>
            <w:noWrap/>
            <w:vAlign w:val="center"/>
          </w:tcPr>
          <w:p w14:paraId="52762BB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24</w:t>
            </w:r>
          </w:p>
        </w:tc>
        <w:tc>
          <w:tcPr>
            <w:tcW w:w="0" w:type="auto"/>
            <w:tcBorders>
              <w:top w:val="nil"/>
              <w:left w:val="nil"/>
              <w:bottom w:val="single" w:color="auto" w:sz="4" w:space="0"/>
              <w:right w:val="single" w:color="auto" w:sz="4" w:space="0"/>
            </w:tcBorders>
            <w:shd w:val="clear" w:color="auto" w:fill="auto"/>
            <w:noWrap/>
            <w:vAlign w:val="center"/>
          </w:tcPr>
          <w:p w14:paraId="7986A1E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CE7ECC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117518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DD0BF55">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2F5AEAED">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FB0A20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一般公共预算财政拨款</w:t>
            </w:r>
          </w:p>
        </w:tc>
        <w:tc>
          <w:tcPr>
            <w:tcW w:w="0" w:type="auto"/>
            <w:tcBorders>
              <w:top w:val="nil"/>
              <w:left w:val="nil"/>
              <w:bottom w:val="single" w:color="auto" w:sz="4" w:space="0"/>
              <w:right w:val="single" w:color="auto" w:sz="4" w:space="0"/>
            </w:tcBorders>
            <w:shd w:val="clear" w:color="auto" w:fill="auto"/>
            <w:noWrap/>
            <w:vAlign w:val="center"/>
          </w:tcPr>
          <w:p w14:paraId="7E9BC17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11</w:t>
            </w:r>
          </w:p>
        </w:tc>
        <w:tc>
          <w:tcPr>
            <w:tcW w:w="0" w:type="auto"/>
            <w:tcBorders>
              <w:top w:val="nil"/>
              <w:left w:val="nil"/>
              <w:bottom w:val="single" w:color="auto" w:sz="4" w:space="0"/>
              <w:right w:val="single" w:color="auto" w:sz="4" w:space="0"/>
            </w:tcBorders>
            <w:shd w:val="clear" w:color="auto" w:fill="auto"/>
            <w:noWrap/>
            <w:vAlign w:val="center"/>
          </w:tcPr>
          <w:p w14:paraId="4811018B">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C34C9AB">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59E895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25</w:t>
            </w:r>
          </w:p>
        </w:tc>
        <w:tc>
          <w:tcPr>
            <w:tcW w:w="0" w:type="auto"/>
            <w:tcBorders>
              <w:top w:val="nil"/>
              <w:left w:val="nil"/>
              <w:bottom w:val="single" w:color="auto" w:sz="4" w:space="0"/>
              <w:right w:val="single" w:color="auto" w:sz="4" w:space="0"/>
            </w:tcBorders>
            <w:shd w:val="clear" w:color="auto" w:fill="auto"/>
            <w:noWrap/>
            <w:vAlign w:val="center"/>
          </w:tcPr>
          <w:p w14:paraId="1976BFB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160011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47FB5C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7914B0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6C0B869D">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5DDF1E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14:paraId="109443C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12</w:t>
            </w:r>
          </w:p>
        </w:tc>
        <w:tc>
          <w:tcPr>
            <w:tcW w:w="0" w:type="auto"/>
            <w:tcBorders>
              <w:top w:val="nil"/>
              <w:left w:val="nil"/>
              <w:bottom w:val="single" w:color="auto" w:sz="4" w:space="0"/>
              <w:right w:val="single" w:color="auto" w:sz="4" w:space="0"/>
            </w:tcBorders>
            <w:shd w:val="clear" w:color="auto" w:fill="auto"/>
            <w:noWrap/>
            <w:vAlign w:val="center"/>
          </w:tcPr>
          <w:p w14:paraId="6C1C1169">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B0B52CC">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6CFF20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26</w:t>
            </w:r>
          </w:p>
        </w:tc>
        <w:tc>
          <w:tcPr>
            <w:tcW w:w="0" w:type="auto"/>
            <w:tcBorders>
              <w:top w:val="nil"/>
              <w:left w:val="nil"/>
              <w:bottom w:val="single" w:color="auto" w:sz="4" w:space="0"/>
              <w:right w:val="single" w:color="auto" w:sz="4" w:space="0"/>
            </w:tcBorders>
            <w:shd w:val="clear" w:color="auto" w:fill="auto"/>
            <w:noWrap/>
            <w:vAlign w:val="center"/>
          </w:tcPr>
          <w:p w14:paraId="580BEEF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D3EB8E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5B67E4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2F60076">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5CCAF580">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96F0E7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14:paraId="6D54B7D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13</w:t>
            </w:r>
          </w:p>
        </w:tc>
        <w:tc>
          <w:tcPr>
            <w:tcW w:w="0" w:type="auto"/>
            <w:tcBorders>
              <w:top w:val="nil"/>
              <w:left w:val="nil"/>
              <w:bottom w:val="single" w:color="auto" w:sz="4" w:space="0"/>
              <w:right w:val="single" w:color="auto" w:sz="4" w:space="0"/>
            </w:tcBorders>
            <w:shd w:val="clear" w:color="auto" w:fill="auto"/>
            <w:noWrap/>
            <w:vAlign w:val="center"/>
          </w:tcPr>
          <w:p w14:paraId="5E3548A8">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11AC297">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559221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27</w:t>
            </w:r>
          </w:p>
        </w:tc>
        <w:tc>
          <w:tcPr>
            <w:tcW w:w="0" w:type="auto"/>
            <w:tcBorders>
              <w:top w:val="nil"/>
              <w:left w:val="nil"/>
              <w:bottom w:val="single" w:color="auto" w:sz="4" w:space="0"/>
              <w:right w:val="single" w:color="auto" w:sz="4" w:space="0"/>
            </w:tcBorders>
            <w:shd w:val="clear" w:color="auto" w:fill="auto"/>
            <w:noWrap/>
            <w:vAlign w:val="center"/>
          </w:tcPr>
          <w:p w14:paraId="273A3FE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75E0BE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DC6C67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D0ABB8E">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52C9E371">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5E5315BB">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0" w:type="auto"/>
            <w:tcBorders>
              <w:top w:val="nil"/>
              <w:left w:val="nil"/>
              <w:bottom w:val="single" w:color="auto" w:sz="4" w:space="0"/>
              <w:right w:val="single" w:color="auto" w:sz="4" w:space="0"/>
            </w:tcBorders>
            <w:shd w:val="clear" w:color="000000" w:fill="FFFFFF"/>
            <w:noWrap/>
            <w:vAlign w:val="center"/>
          </w:tcPr>
          <w:p w14:paraId="6758152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14</w:t>
            </w:r>
          </w:p>
        </w:tc>
        <w:tc>
          <w:tcPr>
            <w:tcW w:w="0" w:type="auto"/>
            <w:tcBorders>
              <w:top w:val="nil"/>
              <w:left w:val="nil"/>
              <w:bottom w:val="single" w:color="auto" w:sz="4" w:space="0"/>
              <w:right w:val="single" w:color="auto" w:sz="4" w:space="0"/>
            </w:tcBorders>
            <w:shd w:val="clear" w:color="auto" w:fill="auto"/>
            <w:noWrap/>
            <w:vAlign w:val="center"/>
          </w:tcPr>
          <w:p w14:paraId="1109016E">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000000" w:fill="FFFFFF"/>
            <w:noWrap/>
            <w:vAlign w:val="center"/>
          </w:tcPr>
          <w:p w14:paraId="3EC49BDE">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0" w:type="auto"/>
            <w:tcBorders>
              <w:top w:val="nil"/>
              <w:left w:val="nil"/>
              <w:bottom w:val="single" w:color="auto" w:sz="4" w:space="0"/>
              <w:right w:val="single" w:color="auto" w:sz="4" w:space="0"/>
            </w:tcBorders>
            <w:shd w:val="clear" w:color="000000" w:fill="FFFFFF"/>
            <w:noWrap/>
            <w:vAlign w:val="center"/>
          </w:tcPr>
          <w:p w14:paraId="3D78736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28</w:t>
            </w:r>
          </w:p>
        </w:tc>
        <w:tc>
          <w:tcPr>
            <w:tcW w:w="0" w:type="auto"/>
            <w:tcBorders>
              <w:top w:val="nil"/>
              <w:left w:val="nil"/>
              <w:bottom w:val="single" w:color="auto" w:sz="4" w:space="0"/>
              <w:right w:val="single" w:color="auto" w:sz="4" w:space="0"/>
            </w:tcBorders>
            <w:shd w:val="clear" w:color="000000" w:fill="FFFFFF"/>
            <w:noWrap/>
            <w:vAlign w:val="center"/>
          </w:tcPr>
          <w:p w14:paraId="79C33DD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000000" w:fill="FFFFFF"/>
            <w:noWrap/>
            <w:vAlign w:val="center"/>
          </w:tcPr>
          <w:p w14:paraId="3E3BB31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2CD6578">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FC7181F">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bl>
    <w:p w14:paraId="7C1C6AD2">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143C9F37">
      <w:pPr>
        <w:widowControl/>
        <w:jc w:val="center"/>
        <w:rPr>
          <w:rFonts w:ascii="Times New Roman" w:hAnsi="Times New Roman" w:eastAsia="方正小标宋_GBK" w:cs="Times New Roman"/>
          <w:kern w:val="0"/>
          <w:sz w:val="36"/>
          <w:szCs w:val="36"/>
        </w:rPr>
      </w:pPr>
    </w:p>
    <w:p w14:paraId="7418C796">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一般公共预算财政拨款支出决算表</w:t>
      </w:r>
      <w:bookmarkEnd w:id="1"/>
    </w:p>
    <w:p w14:paraId="5CAC2997">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                                                                                                     公开05表</w:t>
      </w:r>
    </w:p>
    <w:p w14:paraId="527AE05F">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76B571D9">
        <w:tblPrEx>
          <w:tblCellMar>
            <w:top w:w="0" w:type="dxa"/>
            <w:left w:w="108" w:type="dxa"/>
            <w:bottom w:w="0" w:type="dxa"/>
            <w:right w:w="108" w:type="dxa"/>
          </w:tblCellMar>
        </w:tblPrEx>
        <w:trPr>
          <w:trHeight w:val="54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5D55933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1A45AD7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409C594E">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7B32DA3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106A8C3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4B10B83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07CD4DD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295ACE9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64736D10">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1DED6E83">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1CD4E590">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40B583FE">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23BF0C22">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67D561E4">
            <w:pPr>
              <w:widowControl/>
              <w:jc w:val="left"/>
              <w:rPr>
                <w:rFonts w:ascii="Times New Roman" w:hAnsi="Times New Roman" w:eastAsia="仿宋_GB2312" w:cs="Times New Roman"/>
                <w:kern w:val="0"/>
                <w:szCs w:val="21"/>
              </w:rPr>
            </w:pPr>
          </w:p>
        </w:tc>
      </w:tr>
      <w:tr w14:paraId="3D2A59BC">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2F134B86">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46AB5B38">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5684D0E9">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07776713">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07A82740">
            <w:pPr>
              <w:widowControl/>
              <w:jc w:val="left"/>
              <w:rPr>
                <w:rFonts w:ascii="Times New Roman" w:hAnsi="Times New Roman" w:eastAsia="仿宋_GB2312" w:cs="Times New Roman"/>
                <w:kern w:val="0"/>
                <w:szCs w:val="21"/>
              </w:rPr>
            </w:pPr>
          </w:p>
        </w:tc>
      </w:tr>
      <w:tr w14:paraId="400C35A5">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473AF2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797CD10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14C7100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26186E6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2FB17443">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644B1A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7E32787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6DFD69F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533A515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2F1FFA5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4814FC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4E003CE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4639738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63ECC9F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47AC9C0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0B8DAA5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539CE4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3B2AE9A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5FA5BD4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693CF43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587F67A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25B738B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96DCD6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37B0EFB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1C300ED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4C07007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62790CA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5ACDE0B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41097B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2501981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3BC9619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05917DF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589FCD8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7E35FF6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78F0D6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4DB2489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0BE1612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37CF215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1134FD4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1E95B77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1A55C8A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14:paraId="3BBDBAB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14:paraId="6739B0E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14:paraId="242C5CE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14:paraId="143AD25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14:paraId="2838AD63">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14:paraId="608D842D">
      <w:pPr>
        <w:widowControl/>
        <w:jc w:val="left"/>
        <w:rPr>
          <w:rFonts w:ascii="Times New Roman" w:hAnsi="Times New Roman" w:eastAsia="仿宋_GB2312" w:cs="Times New Roman"/>
          <w:bCs/>
          <w:kern w:val="0"/>
          <w:szCs w:val="21"/>
        </w:rPr>
      </w:pPr>
    </w:p>
    <w:p w14:paraId="3C2286EC">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14:paraId="4B58ACD9">
      <w:pPr>
        <w:widowControl/>
        <w:spacing w:after="120"/>
        <w:jc w:val="center"/>
        <w:textAlignment w:val="center"/>
        <w:rPr>
          <w:rFonts w:ascii="Times New Roman" w:hAnsi="Times New Roman" w:eastAsia="黑体" w:cs="Times New Roman"/>
          <w:color w:val="000000"/>
          <w:kern w:val="0"/>
          <w:sz w:val="36"/>
          <w:szCs w:val="36"/>
          <w:lang w:bidi="ar"/>
        </w:rPr>
      </w:pPr>
      <w:bookmarkStart w:id="2" w:name="RANGE!A1:I34"/>
      <w:r>
        <w:rPr>
          <w:rFonts w:ascii="Times New Roman" w:hAnsi="Times New Roman" w:eastAsia="黑体" w:cs="Times New Roman"/>
          <w:color w:val="000000"/>
          <w:kern w:val="0"/>
          <w:sz w:val="36"/>
          <w:szCs w:val="36"/>
          <w:lang w:bidi="ar"/>
        </w:rPr>
        <w:t>一般公共预算财政拨款基本支出决算明细表</w:t>
      </w:r>
      <w:bookmarkEnd w:id="2"/>
    </w:p>
    <w:p w14:paraId="61D6310F">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                                                                                                                公开06表</w:t>
      </w:r>
    </w:p>
    <w:p w14:paraId="12565547">
      <w:pPr>
        <w:widowControl/>
        <w:spacing w:line="240" w:lineRule="exac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单位：万元</w:t>
      </w:r>
    </w:p>
    <w:tbl>
      <w:tblPr>
        <w:tblStyle w:val="9"/>
        <w:tblW w:w="14627" w:type="dxa"/>
        <w:jc w:val="center"/>
        <w:tblLayout w:type="fixed"/>
        <w:tblCellMar>
          <w:top w:w="0" w:type="dxa"/>
          <w:left w:w="108" w:type="dxa"/>
          <w:bottom w:w="0" w:type="dxa"/>
          <w:right w:w="108" w:type="dxa"/>
        </w:tblCellMar>
      </w:tblPr>
      <w:tblGrid>
        <w:gridCol w:w="1081"/>
        <w:gridCol w:w="2850"/>
        <w:gridCol w:w="966"/>
        <w:gridCol w:w="1116"/>
        <w:gridCol w:w="2018"/>
        <w:gridCol w:w="933"/>
        <w:gridCol w:w="1217"/>
        <w:gridCol w:w="3517"/>
        <w:gridCol w:w="929"/>
      </w:tblGrid>
      <w:tr w14:paraId="12FAB0FC">
        <w:tblPrEx>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6A3C4E62">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850" w:type="dxa"/>
            <w:tcBorders>
              <w:top w:val="single" w:color="auto" w:sz="4" w:space="0"/>
              <w:left w:val="nil"/>
              <w:bottom w:val="single" w:color="auto" w:sz="4" w:space="0"/>
              <w:right w:val="single" w:color="auto" w:sz="4" w:space="0"/>
            </w:tcBorders>
            <w:shd w:val="clear" w:color="auto" w:fill="auto"/>
            <w:vAlign w:val="center"/>
          </w:tcPr>
          <w:p w14:paraId="543C8C31">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66" w:type="dxa"/>
            <w:tcBorders>
              <w:top w:val="single" w:color="auto" w:sz="4" w:space="0"/>
              <w:left w:val="nil"/>
              <w:bottom w:val="single" w:color="auto" w:sz="4" w:space="0"/>
              <w:right w:val="single" w:color="auto" w:sz="4" w:space="0"/>
            </w:tcBorders>
            <w:shd w:val="clear" w:color="auto" w:fill="auto"/>
            <w:vAlign w:val="center"/>
          </w:tcPr>
          <w:p w14:paraId="074330CB">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14:paraId="1F5EA0FE">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14:paraId="1DB4D4BC">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14:paraId="773FC695">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14:paraId="7B2DD6A6">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14:paraId="71138286">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14:paraId="61C38FC8">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14:paraId="1DEE510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13FBCB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850" w:type="dxa"/>
            <w:tcBorders>
              <w:top w:val="nil"/>
              <w:left w:val="nil"/>
              <w:bottom w:val="single" w:color="auto" w:sz="4" w:space="0"/>
              <w:right w:val="single" w:color="auto" w:sz="4" w:space="0"/>
            </w:tcBorders>
            <w:shd w:val="clear" w:color="auto" w:fill="auto"/>
            <w:noWrap/>
            <w:vAlign w:val="center"/>
          </w:tcPr>
          <w:p w14:paraId="225D7B8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966" w:type="dxa"/>
            <w:tcBorders>
              <w:top w:val="nil"/>
              <w:left w:val="nil"/>
              <w:bottom w:val="single" w:color="auto" w:sz="4" w:space="0"/>
              <w:right w:val="single" w:color="auto" w:sz="4" w:space="0"/>
            </w:tcBorders>
            <w:shd w:val="clear" w:color="auto" w:fill="auto"/>
            <w:noWrap/>
            <w:vAlign w:val="center"/>
          </w:tcPr>
          <w:p w14:paraId="3CE6C8A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3E97D2C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2018" w:type="dxa"/>
            <w:tcBorders>
              <w:top w:val="nil"/>
              <w:left w:val="nil"/>
              <w:bottom w:val="single" w:color="auto" w:sz="4" w:space="0"/>
              <w:right w:val="single" w:color="auto" w:sz="4" w:space="0"/>
            </w:tcBorders>
            <w:shd w:val="clear" w:color="auto" w:fill="auto"/>
            <w:noWrap/>
            <w:vAlign w:val="center"/>
          </w:tcPr>
          <w:p w14:paraId="669DA5D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33" w:type="dxa"/>
            <w:tcBorders>
              <w:top w:val="nil"/>
              <w:left w:val="nil"/>
              <w:bottom w:val="single" w:color="auto" w:sz="4" w:space="0"/>
              <w:right w:val="single" w:color="auto" w:sz="4" w:space="0"/>
            </w:tcBorders>
            <w:shd w:val="clear" w:color="auto" w:fill="auto"/>
            <w:noWrap/>
            <w:vAlign w:val="center"/>
          </w:tcPr>
          <w:p w14:paraId="7DDA716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08A6552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517" w:type="dxa"/>
            <w:tcBorders>
              <w:top w:val="nil"/>
              <w:left w:val="nil"/>
              <w:bottom w:val="single" w:color="auto" w:sz="4" w:space="0"/>
              <w:right w:val="single" w:color="auto" w:sz="4" w:space="0"/>
            </w:tcBorders>
            <w:shd w:val="clear" w:color="auto" w:fill="auto"/>
            <w:noWrap/>
            <w:vAlign w:val="center"/>
          </w:tcPr>
          <w:p w14:paraId="28DE00C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29" w:type="dxa"/>
            <w:tcBorders>
              <w:top w:val="nil"/>
              <w:left w:val="nil"/>
              <w:bottom w:val="single" w:color="auto" w:sz="4" w:space="0"/>
              <w:right w:val="single" w:color="auto" w:sz="4" w:space="0"/>
            </w:tcBorders>
            <w:shd w:val="clear" w:color="auto" w:fill="auto"/>
            <w:noWrap/>
            <w:vAlign w:val="center"/>
          </w:tcPr>
          <w:p w14:paraId="1B1F9B0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DD712E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1608A1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850" w:type="dxa"/>
            <w:tcBorders>
              <w:top w:val="nil"/>
              <w:left w:val="nil"/>
              <w:bottom w:val="single" w:color="auto" w:sz="4" w:space="0"/>
              <w:right w:val="single" w:color="auto" w:sz="4" w:space="0"/>
            </w:tcBorders>
            <w:shd w:val="clear" w:color="auto" w:fill="auto"/>
            <w:noWrap/>
            <w:vAlign w:val="center"/>
          </w:tcPr>
          <w:p w14:paraId="23BE562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966" w:type="dxa"/>
            <w:tcBorders>
              <w:top w:val="nil"/>
              <w:left w:val="nil"/>
              <w:bottom w:val="single" w:color="auto" w:sz="4" w:space="0"/>
              <w:right w:val="single" w:color="auto" w:sz="4" w:space="0"/>
            </w:tcBorders>
            <w:shd w:val="clear" w:color="auto" w:fill="auto"/>
            <w:noWrap/>
            <w:vAlign w:val="center"/>
          </w:tcPr>
          <w:p w14:paraId="6C5A48D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5A2B79A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2018" w:type="dxa"/>
            <w:tcBorders>
              <w:top w:val="nil"/>
              <w:left w:val="nil"/>
              <w:bottom w:val="single" w:color="auto" w:sz="4" w:space="0"/>
              <w:right w:val="single" w:color="auto" w:sz="4" w:space="0"/>
            </w:tcBorders>
            <w:shd w:val="clear" w:color="auto" w:fill="auto"/>
            <w:noWrap/>
            <w:vAlign w:val="center"/>
          </w:tcPr>
          <w:p w14:paraId="50C5431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33" w:type="dxa"/>
            <w:tcBorders>
              <w:top w:val="nil"/>
              <w:left w:val="nil"/>
              <w:bottom w:val="single" w:color="auto" w:sz="4" w:space="0"/>
              <w:right w:val="single" w:color="auto" w:sz="4" w:space="0"/>
            </w:tcBorders>
            <w:shd w:val="clear" w:color="auto" w:fill="auto"/>
            <w:noWrap/>
            <w:vAlign w:val="center"/>
          </w:tcPr>
          <w:p w14:paraId="6EA097F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7829FBD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517" w:type="dxa"/>
            <w:tcBorders>
              <w:top w:val="nil"/>
              <w:left w:val="nil"/>
              <w:bottom w:val="single" w:color="auto" w:sz="4" w:space="0"/>
              <w:right w:val="single" w:color="auto" w:sz="4" w:space="0"/>
            </w:tcBorders>
            <w:shd w:val="clear" w:color="auto" w:fill="auto"/>
            <w:noWrap/>
            <w:vAlign w:val="center"/>
          </w:tcPr>
          <w:p w14:paraId="1E3FD3F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929" w:type="dxa"/>
            <w:tcBorders>
              <w:top w:val="nil"/>
              <w:left w:val="nil"/>
              <w:bottom w:val="single" w:color="auto" w:sz="4" w:space="0"/>
              <w:right w:val="single" w:color="auto" w:sz="4" w:space="0"/>
            </w:tcBorders>
            <w:shd w:val="clear" w:color="auto" w:fill="auto"/>
            <w:noWrap/>
            <w:vAlign w:val="center"/>
          </w:tcPr>
          <w:p w14:paraId="33E5782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B9829E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0568AE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850" w:type="dxa"/>
            <w:tcBorders>
              <w:top w:val="nil"/>
              <w:left w:val="nil"/>
              <w:bottom w:val="single" w:color="auto" w:sz="4" w:space="0"/>
              <w:right w:val="single" w:color="auto" w:sz="4" w:space="0"/>
            </w:tcBorders>
            <w:shd w:val="clear" w:color="auto" w:fill="auto"/>
            <w:noWrap/>
            <w:vAlign w:val="center"/>
          </w:tcPr>
          <w:p w14:paraId="1A6C89A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966" w:type="dxa"/>
            <w:tcBorders>
              <w:top w:val="nil"/>
              <w:left w:val="nil"/>
              <w:bottom w:val="single" w:color="auto" w:sz="4" w:space="0"/>
              <w:right w:val="single" w:color="auto" w:sz="4" w:space="0"/>
            </w:tcBorders>
            <w:shd w:val="clear" w:color="auto" w:fill="auto"/>
            <w:noWrap/>
            <w:vAlign w:val="center"/>
          </w:tcPr>
          <w:p w14:paraId="171A4E6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43952F2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2018" w:type="dxa"/>
            <w:tcBorders>
              <w:top w:val="nil"/>
              <w:left w:val="nil"/>
              <w:bottom w:val="single" w:color="auto" w:sz="4" w:space="0"/>
              <w:right w:val="single" w:color="auto" w:sz="4" w:space="0"/>
            </w:tcBorders>
            <w:shd w:val="clear" w:color="auto" w:fill="auto"/>
            <w:noWrap/>
            <w:vAlign w:val="center"/>
          </w:tcPr>
          <w:p w14:paraId="0256689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33" w:type="dxa"/>
            <w:tcBorders>
              <w:top w:val="nil"/>
              <w:left w:val="nil"/>
              <w:bottom w:val="single" w:color="auto" w:sz="4" w:space="0"/>
              <w:right w:val="single" w:color="auto" w:sz="4" w:space="0"/>
            </w:tcBorders>
            <w:shd w:val="clear" w:color="auto" w:fill="auto"/>
            <w:noWrap/>
            <w:vAlign w:val="center"/>
          </w:tcPr>
          <w:p w14:paraId="1CD404C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58B015E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517" w:type="dxa"/>
            <w:tcBorders>
              <w:top w:val="nil"/>
              <w:left w:val="nil"/>
              <w:bottom w:val="single" w:color="auto" w:sz="4" w:space="0"/>
              <w:right w:val="single" w:color="auto" w:sz="4" w:space="0"/>
            </w:tcBorders>
            <w:shd w:val="clear" w:color="auto" w:fill="auto"/>
            <w:noWrap/>
            <w:vAlign w:val="center"/>
          </w:tcPr>
          <w:p w14:paraId="0A4C489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929" w:type="dxa"/>
            <w:tcBorders>
              <w:top w:val="nil"/>
              <w:left w:val="nil"/>
              <w:bottom w:val="single" w:color="auto" w:sz="4" w:space="0"/>
              <w:right w:val="single" w:color="auto" w:sz="4" w:space="0"/>
            </w:tcBorders>
            <w:shd w:val="clear" w:color="auto" w:fill="auto"/>
            <w:noWrap/>
            <w:vAlign w:val="center"/>
          </w:tcPr>
          <w:p w14:paraId="1FF035D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E05BE3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0B79C2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850" w:type="dxa"/>
            <w:tcBorders>
              <w:top w:val="nil"/>
              <w:left w:val="nil"/>
              <w:bottom w:val="single" w:color="auto" w:sz="4" w:space="0"/>
              <w:right w:val="single" w:color="auto" w:sz="4" w:space="0"/>
            </w:tcBorders>
            <w:shd w:val="clear" w:color="auto" w:fill="auto"/>
            <w:noWrap/>
            <w:vAlign w:val="center"/>
          </w:tcPr>
          <w:p w14:paraId="4F41A47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966" w:type="dxa"/>
            <w:tcBorders>
              <w:top w:val="nil"/>
              <w:left w:val="nil"/>
              <w:bottom w:val="single" w:color="auto" w:sz="4" w:space="0"/>
              <w:right w:val="single" w:color="auto" w:sz="4" w:space="0"/>
            </w:tcBorders>
            <w:shd w:val="clear" w:color="auto" w:fill="auto"/>
            <w:noWrap/>
            <w:vAlign w:val="center"/>
          </w:tcPr>
          <w:p w14:paraId="63B452F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245B5DA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2018" w:type="dxa"/>
            <w:tcBorders>
              <w:top w:val="nil"/>
              <w:left w:val="nil"/>
              <w:bottom w:val="single" w:color="auto" w:sz="4" w:space="0"/>
              <w:right w:val="single" w:color="auto" w:sz="4" w:space="0"/>
            </w:tcBorders>
            <w:shd w:val="clear" w:color="auto" w:fill="auto"/>
            <w:noWrap/>
            <w:vAlign w:val="center"/>
          </w:tcPr>
          <w:p w14:paraId="4908D4C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33" w:type="dxa"/>
            <w:tcBorders>
              <w:top w:val="nil"/>
              <w:left w:val="nil"/>
              <w:bottom w:val="single" w:color="auto" w:sz="4" w:space="0"/>
              <w:right w:val="single" w:color="auto" w:sz="4" w:space="0"/>
            </w:tcBorders>
            <w:shd w:val="clear" w:color="auto" w:fill="auto"/>
            <w:noWrap/>
            <w:vAlign w:val="center"/>
          </w:tcPr>
          <w:p w14:paraId="3D4E3D2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2716EA2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517" w:type="dxa"/>
            <w:tcBorders>
              <w:top w:val="nil"/>
              <w:left w:val="nil"/>
              <w:bottom w:val="single" w:color="auto" w:sz="4" w:space="0"/>
              <w:right w:val="single" w:color="auto" w:sz="4" w:space="0"/>
            </w:tcBorders>
            <w:shd w:val="clear" w:color="auto" w:fill="auto"/>
            <w:noWrap/>
            <w:vAlign w:val="center"/>
          </w:tcPr>
          <w:p w14:paraId="61BA557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29" w:type="dxa"/>
            <w:tcBorders>
              <w:top w:val="nil"/>
              <w:left w:val="nil"/>
              <w:bottom w:val="single" w:color="auto" w:sz="4" w:space="0"/>
              <w:right w:val="single" w:color="auto" w:sz="4" w:space="0"/>
            </w:tcBorders>
            <w:shd w:val="clear" w:color="auto" w:fill="auto"/>
            <w:noWrap/>
            <w:vAlign w:val="center"/>
          </w:tcPr>
          <w:p w14:paraId="54B6805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674EDD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629B9D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850" w:type="dxa"/>
            <w:tcBorders>
              <w:top w:val="nil"/>
              <w:left w:val="nil"/>
              <w:bottom w:val="single" w:color="auto" w:sz="4" w:space="0"/>
              <w:right w:val="single" w:color="auto" w:sz="4" w:space="0"/>
            </w:tcBorders>
            <w:shd w:val="clear" w:color="auto" w:fill="auto"/>
            <w:noWrap/>
            <w:vAlign w:val="center"/>
          </w:tcPr>
          <w:p w14:paraId="3CD6073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966" w:type="dxa"/>
            <w:tcBorders>
              <w:top w:val="nil"/>
              <w:left w:val="nil"/>
              <w:bottom w:val="single" w:color="auto" w:sz="4" w:space="0"/>
              <w:right w:val="single" w:color="auto" w:sz="4" w:space="0"/>
            </w:tcBorders>
            <w:shd w:val="clear" w:color="auto" w:fill="auto"/>
            <w:noWrap/>
            <w:vAlign w:val="center"/>
          </w:tcPr>
          <w:p w14:paraId="240DE7A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3C401FD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2018" w:type="dxa"/>
            <w:tcBorders>
              <w:top w:val="nil"/>
              <w:left w:val="nil"/>
              <w:bottom w:val="single" w:color="auto" w:sz="4" w:space="0"/>
              <w:right w:val="single" w:color="auto" w:sz="4" w:space="0"/>
            </w:tcBorders>
            <w:shd w:val="clear" w:color="auto" w:fill="auto"/>
            <w:noWrap/>
            <w:vAlign w:val="center"/>
          </w:tcPr>
          <w:p w14:paraId="4518AB4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33" w:type="dxa"/>
            <w:tcBorders>
              <w:top w:val="nil"/>
              <w:left w:val="nil"/>
              <w:bottom w:val="single" w:color="auto" w:sz="4" w:space="0"/>
              <w:right w:val="single" w:color="auto" w:sz="4" w:space="0"/>
            </w:tcBorders>
            <w:shd w:val="clear" w:color="auto" w:fill="auto"/>
            <w:noWrap/>
            <w:vAlign w:val="center"/>
          </w:tcPr>
          <w:p w14:paraId="25B7EF7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74FF348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517" w:type="dxa"/>
            <w:tcBorders>
              <w:top w:val="nil"/>
              <w:left w:val="nil"/>
              <w:bottom w:val="single" w:color="auto" w:sz="4" w:space="0"/>
              <w:right w:val="single" w:color="auto" w:sz="4" w:space="0"/>
            </w:tcBorders>
            <w:shd w:val="clear" w:color="auto" w:fill="auto"/>
            <w:noWrap/>
            <w:vAlign w:val="center"/>
          </w:tcPr>
          <w:p w14:paraId="7C9ACB6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929" w:type="dxa"/>
            <w:tcBorders>
              <w:top w:val="nil"/>
              <w:left w:val="nil"/>
              <w:bottom w:val="single" w:color="auto" w:sz="4" w:space="0"/>
              <w:right w:val="single" w:color="auto" w:sz="4" w:space="0"/>
            </w:tcBorders>
            <w:shd w:val="clear" w:color="auto" w:fill="auto"/>
            <w:noWrap/>
            <w:vAlign w:val="center"/>
          </w:tcPr>
          <w:p w14:paraId="4CC1ADC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6933F3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47F181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850" w:type="dxa"/>
            <w:tcBorders>
              <w:top w:val="nil"/>
              <w:left w:val="nil"/>
              <w:bottom w:val="single" w:color="auto" w:sz="4" w:space="0"/>
              <w:right w:val="single" w:color="auto" w:sz="4" w:space="0"/>
            </w:tcBorders>
            <w:shd w:val="clear" w:color="auto" w:fill="auto"/>
            <w:noWrap/>
            <w:vAlign w:val="center"/>
          </w:tcPr>
          <w:p w14:paraId="7FDC660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966" w:type="dxa"/>
            <w:tcBorders>
              <w:top w:val="nil"/>
              <w:left w:val="nil"/>
              <w:bottom w:val="single" w:color="auto" w:sz="4" w:space="0"/>
              <w:right w:val="single" w:color="auto" w:sz="4" w:space="0"/>
            </w:tcBorders>
            <w:shd w:val="clear" w:color="auto" w:fill="auto"/>
            <w:noWrap/>
            <w:vAlign w:val="center"/>
          </w:tcPr>
          <w:p w14:paraId="69EEB36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6D88706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2018" w:type="dxa"/>
            <w:tcBorders>
              <w:top w:val="nil"/>
              <w:left w:val="nil"/>
              <w:bottom w:val="single" w:color="auto" w:sz="4" w:space="0"/>
              <w:right w:val="single" w:color="auto" w:sz="4" w:space="0"/>
            </w:tcBorders>
            <w:shd w:val="clear" w:color="auto" w:fill="auto"/>
            <w:noWrap/>
            <w:vAlign w:val="center"/>
          </w:tcPr>
          <w:p w14:paraId="2B09605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33" w:type="dxa"/>
            <w:tcBorders>
              <w:top w:val="nil"/>
              <w:left w:val="nil"/>
              <w:bottom w:val="single" w:color="auto" w:sz="4" w:space="0"/>
              <w:right w:val="single" w:color="auto" w:sz="4" w:space="0"/>
            </w:tcBorders>
            <w:shd w:val="clear" w:color="auto" w:fill="auto"/>
            <w:noWrap/>
            <w:vAlign w:val="center"/>
          </w:tcPr>
          <w:p w14:paraId="7D53A9A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05BAA74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517" w:type="dxa"/>
            <w:tcBorders>
              <w:top w:val="nil"/>
              <w:left w:val="nil"/>
              <w:bottom w:val="single" w:color="auto" w:sz="4" w:space="0"/>
              <w:right w:val="single" w:color="auto" w:sz="4" w:space="0"/>
            </w:tcBorders>
            <w:shd w:val="clear" w:color="auto" w:fill="auto"/>
            <w:noWrap/>
            <w:vAlign w:val="center"/>
          </w:tcPr>
          <w:p w14:paraId="54052FA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929" w:type="dxa"/>
            <w:tcBorders>
              <w:top w:val="nil"/>
              <w:left w:val="nil"/>
              <w:bottom w:val="single" w:color="auto" w:sz="4" w:space="0"/>
              <w:right w:val="single" w:color="auto" w:sz="4" w:space="0"/>
            </w:tcBorders>
            <w:shd w:val="clear" w:color="auto" w:fill="auto"/>
            <w:noWrap/>
            <w:vAlign w:val="center"/>
          </w:tcPr>
          <w:p w14:paraId="0756FE6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D98AD4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2FE4C6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850" w:type="dxa"/>
            <w:tcBorders>
              <w:top w:val="nil"/>
              <w:left w:val="nil"/>
              <w:bottom w:val="single" w:color="auto" w:sz="4" w:space="0"/>
              <w:right w:val="single" w:color="auto" w:sz="4" w:space="0"/>
            </w:tcBorders>
            <w:shd w:val="clear" w:color="auto" w:fill="auto"/>
            <w:noWrap/>
            <w:vAlign w:val="center"/>
          </w:tcPr>
          <w:p w14:paraId="0E13A0F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966" w:type="dxa"/>
            <w:tcBorders>
              <w:top w:val="nil"/>
              <w:left w:val="nil"/>
              <w:bottom w:val="single" w:color="auto" w:sz="4" w:space="0"/>
              <w:right w:val="single" w:color="auto" w:sz="4" w:space="0"/>
            </w:tcBorders>
            <w:shd w:val="clear" w:color="auto" w:fill="auto"/>
            <w:noWrap/>
            <w:vAlign w:val="center"/>
          </w:tcPr>
          <w:p w14:paraId="22A598F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2BBC209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2018" w:type="dxa"/>
            <w:tcBorders>
              <w:top w:val="nil"/>
              <w:left w:val="nil"/>
              <w:bottom w:val="single" w:color="auto" w:sz="4" w:space="0"/>
              <w:right w:val="single" w:color="auto" w:sz="4" w:space="0"/>
            </w:tcBorders>
            <w:shd w:val="clear" w:color="auto" w:fill="auto"/>
            <w:noWrap/>
            <w:vAlign w:val="center"/>
          </w:tcPr>
          <w:p w14:paraId="5D921B3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33" w:type="dxa"/>
            <w:tcBorders>
              <w:top w:val="nil"/>
              <w:left w:val="nil"/>
              <w:bottom w:val="single" w:color="auto" w:sz="4" w:space="0"/>
              <w:right w:val="single" w:color="auto" w:sz="4" w:space="0"/>
            </w:tcBorders>
            <w:shd w:val="clear" w:color="auto" w:fill="auto"/>
            <w:noWrap/>
            <w:vAlign w:val="center"/>
          </w:tcPr>
          <w:p w14:paraId="41B77BA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13036C2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517" w:type="dxa"/>
            <w:tcBorders>
              <w:top w:val="nil"/>
              <w:left w:val="nil"/>
              <w:bottom w:val="single" w:color="auto" w:sz="4" w:space="0"/>
              <w:right w:val="single" w:color="auto" w:sz="4" w:space="0"/>
            </w:tcBorders>
            <w:shd w:val="clear" w:color="auto" w:fill="auto"/>
            <w:noWrap/>
            <w:vAlign w:val="center"/>
          </w:tcPr>
          <w:p w14:paraId="1BFEE97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929" w:type="dxa"/>
            <w:tcBorders>
              <w:top w:val="nil"/>
              <w:left w:val="nil"/>
              <w:bottom w:val="single" w:color="auto" w:sz="4" w:space="0"/>
              <w:right w:val="single" w:color="auto" w:sz="4" w:space="0"/>
            </w:tcBorders>
            <w:shd w:val="clear" w:color="auto" w:fill="auto"/>
            <w:noWrap/>
            <w:vAlign w:val="center"/>
          </w:tcPr>
          <w:p w14:paraId="79ECD01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F2A02E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42AE0D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850" w:type="dxa"/>
            <w:tcBorders>
              <w:top w:val="nil"/>
              <w:left w:val="nil"/>
              <w:bottom w:val="single" w:color="auto" w:sz="4" w:space="0"/>
              <w:right w:val="single" w:color="auto" w:sz="4" w:space="0"/>
            </w:tcBorders>
            <w:shd w:val="clear" w:color="auto" w:fill="auto"/>
            <w:noWrap/>
            <w:vAlign w:val="center"/>
          </w:tcPr>
          <w:p w14:paraId="5146737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966" w:type="dxa"/>
            <w:tcBorders>
              <w:top w:val="nil"/>
              <w:left w:val="nil"/>
              <w:bottom w:val="single" w:color="auto" w:sz="4" w:space="0"/>
              <w:right w:val="single" w:color="auto" w:sz="4" w:space="0"/>
            </w:tcBorders>
            <w:shd w:val="clear" w:color="auto" w:fill="auto"/>
            <w:noWrap/>
            <w:vAlign w:val="center"/>
          </w:tcPr>
          <w:p w14:paraId="62F5E1F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4316050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2018" w:type="dxa"/>
            <w:tcBorders>
              <w:top w:val="nil"/>
              <w:left w:val="nil"/>
              <w:bottom w:val="single" w:color="auto" w:sz="4" w:space="0"/>
              <w:right w:val="single" w:color="auto" w:sz="4" w:space="0"/>
            </w:tcBorders>
            <w:shd w:val="clear" w:color="auto" w:fill="auto"/>
            <w:noWrap/>
            <w:vAlign w:val="center"/>
          </w:tcPr>
          <w:p w14:paraId="77342C3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33" w:type="dxa"/>
            <w:tcBorders>
              <w:top w:val="nil"/>
              <w:left w:val="nil"/>
              <w:bottom w:val="single" w:color="auto" w:sz="4" w:space="0"/>
              <w:right w:val="single" w:color="auto" w:sz="4" w:space="0"/>
            </w:tcBorders>
            <w:shd w:val="clear" w:color="auto" w:fill="auto"/>
            <w:noWrap/>
            <w:vAlign w:val="center"/>
          </w:tcPr>
          <w:p w14:paraId="777DA68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01A60ED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517" w:type="dxa"/>
            <w:tcBorders>
              <w:top w:val="nil"/>
              <w:left w:val="nil"/>
              <w:bottom w:val="single" w:color="auto" w:sz="4" w:space="0"/>
              <w:right w:val="single" w:color="auto" w:sz="4" w:space="0"/>
            </w:tcBorders>
            <w:shd w:val="clear" w:color="auto" w:fill="auto"/>
            <w:noWrap/>
            <w:vAlign w:val="center"/>
          </w:tcPr>
          <w:p w14:paraId="470572E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929" w:type="dxa"/>
            <w:tcBorders>
              <w:top w:val="nil"/>
              <w:left w:val="nil"/>
              <w:bottom w:val="single" w:color="auto" w:sz="4" w:space="0"/>
              <w:right w:val="single" w:color="auto" w:sz="4" w:space="0"/>
            </w:tcBorders>
            <w:shd w:val="clear" w:color="auto" w:fill="auto"/>
            <w:noWrap/>
            <w:vAlign w:val="center"/>
          </w:tcPr>
          <w:p w14:paraId="5A38A6A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F07D6B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6B3914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850" w:type="dxa"/>
            <w:tcBorders>
              <w:top w:val="nil"/>
              <w:left w:val="nil"/>
              <w:bottom w:val="single" w:color="auto" w:sz="4" w:space="0"/>
              <w:right w:val="single" w:color="auto" w:sz="4" w:space="0"/>
            </w:tcBorders>
            <w:shd w:val="clear" w:color="auto" w:fill="auto"/>
            <w:noWrap/>
            <w:vAlign w:val="center"/>
          </w:tcPr>
          <w:p w14:paraId="26B3CCE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966" w:type="dxa"/>
            <w:tcBorders>
              <w:top w:val="nil"/>
              <w:left w:val="nil"/>
              <w:bottom w:val="single" w:color="auto" w:sz="4" w:space="0"/>
              <w:right w:val="single" w:color="auto" w:sz="4" w:space="0"/>
            </w:tcBorders>
            <w:shd w:val="clear" w:color="auto" w:fill="auto"/>
            <w:noWrap/>
            <w:vAlign w:val="center"/>
          </w:tcPr>
          <w:p w14:paraId="17792F8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3D00DA8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2018" w:type="dxa"/>
            <w:tcBorders>
              <w:top w:val="nil"/>
              <w:left w:val="nil"/>
              <w:bottom w:val="single" w:color="auto" w:sz="4" w:space="0"/>
              <w:right w:val="single" w:color="auto" w:sz="4" w:space="0"/>
            </w:tcBorders>
            <w:shd w:val="clear" w:color="auto" w:fill="auto"/>
            <w:noWrap/>
            <w:vAlign w:val="center"/>
          </w:tcPr>
          <w:p w14:paraId="72CF7AB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33" w:type="dxa"/>
            <w:tcBorders>
              <w:top w:val="nil"/>
              <w:left w:val="nil"/>
              <w:bottom w:val="single" w:color="auto" w:sz="4" w:space="0"/>
              <w:right w:val="single" w:color="auto" w:sz="4" w:space="0"/>
            </w:tcBorders>
            <w:shd w:val="clear" w:color="auto" w:fill="auto"/>
            <w:noWrap/>
            <w:vAlign w:val="center"/>
          </w:tcPr>
          <w:p w14:paraId="2BBFA05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77E5F7E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517" w:type="dxa"/>
            <w:tcBorders>
              <w:top w:val="nil"/>
              <w:left w:val="nil"/>
              <w:bottom w:val="single" w:color="auto" w:sz="4" w:space="0"/>
              <w:right w:val="single" w:color="auto" w:sz="4" w:space="0"/>
            </w:tcBorders>
            <w:shd w:val="clear" w:color="auto" w:fill="auto"/>
            <w:noWrap/>
            <w:vAlign w:val="center"/>
          </w:tcPr>
          <w:p w14:paraId="762E5B6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929" w:type="dxa"/>
            <w:tcBorders>
              <w:top w:val="nil"/>
              <w:left w:val="nil"/>
              <w:bottom w:val="single" w:color="auto" w:sz="4" w:space="0"/>
              <w:right w:val="single" w:color="auto" w:sz="4" w:space="0"/>
            </w:tcBorders>
            <w:shd w:val="clear" w:color="auto" w:fill="auto"/>
            <w:noWrap/>
            <w:vAlign w:val="center"/>
          </w:tcPr>
          <w:p w14:paraId="1E4B32F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7EE3E8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B3430F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850" w:type="dxa"/>
            <w:tcBorders>
              <w:top w:val="nil"/>
              <w:left w:val="nil"/>
              <w:bottom w:val="single" w:color="auto" w:sz="4" w:space="0"/>
              <w:right w:val="single" w:color="auto" w:sz="4" w:space="0"/>
            </w:tcBorders>
            <w:shd w:val="clear" w:color="auto" w:fill="auto"/>
            <w:noWrap/>
            <w:vAlign w:val="center"/>
          </w:tcPr>
          <w:p w14:paraId="0C59246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966" w:type="dxa"/>
            <w:tcBorders>
              <w:top w:val="nil"/>
              <w:left w:val="nil"/>
              <w:bottom w:val="single" w:color="auto" w:sz="4" w:space="0"/>
              <w:right w:val="single" w:color="auto" w:sz="4" w:space="0"/>
            </w:tcBorders>
            <w:shd w:val="clear" w:color="auto" w:fill="auto"/>
            <w:noWrap/>
            <w:vAlign w:val="center"/>
          </w:tcPr>
          <w:p w14:paraId="278A43F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678C5E8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2018" w:type="dxa"/>
            <w:tcBorders>
              <w:top w:val="nil"/>
              <w:left w:val="nil"/>
              <w:bottom w:val="single" w:color="auto" w:sz="4" w:space="0"/>
              <w:right w:val="single" w:color="auto" w:sz="4" w:space="0"/>
            </w:tcBorders>
            <w:shd w:val="clear" w:color="auto" w:fill="auto"/>
            <w:noWrap/>
            <w:vAlign w:val="center"/>
          </w:tcPr>
          <w:p w14:paraId="6C0C849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33" w:type="dxa"/>
            <w:tcBorders>
              <w:top w:val="nil"/>
              <w:left w:val="nil"/>
              <w:bottom w:val="single" w:color="auto" w:sz="4" w:space="0"/>
              <w:right w:val="single" w:color="auto" w:sz="4" w:space="0"/>
            </w:tcBorders>
            <w:shd w:val="clear" w:color="auto" w:fill="auto"/>
            <w:noWrap/>
            <w:vAlign w:val="center"/>
          </w:tcPr>
          <w:p w14:paraId="590E1DA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072578C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517" w:type="dxa"/>
            <w:tcBorders>
              <w:top w:val="nil"/>
              <w:left w:val="nil"/>
              <w:bottom w:val="single" w:color="auto" w:sz="4" w:space="0"/>
              <w:right w:val="single" w:color="auto" w:sz="4" w:space="0"/>
            </w:tcBorders>
            <w:shd w:val="clear" w:color="auto" w:fill="auto"/>
            <w:noWrap/>
            <w:vAlign w:val="center"/>
          </w:tcPr>
          <w:p w14:paraId="19E24F0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929" w:type="dxa"/>
            <w:tcBorders>
              <w:top w:val="nil"/>
              <w:left w:val="nil"/>
              <w:bottom w:val="single" w:color="auto" w:sz="4" w:space="0"/>
              <w:right w:val="single" w:color="auto" w:sz="4" w:space="0"/>
            </w:tcBorders>
            <w:shd w:val="clear" w:color="auto" w:fill="auto"/>
            <w:noWrap/>
            <w:vAlign w:val="center"/>
          </w:tcPr>
          <w:p w14:paraId="6290C43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07C7B6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AD921C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850" w:type="dxa"/>
            <w:tcBorders>
              <w:top w:val="nil"/>
              <w:left w:val="nil"/>
              <w:bottom w:val="single" w:color="auto" w:sz="4" w:space="0"/>
              <w:right w:val="single" w:color="auto" w:sz="4" w:space="0"/>
            </w:tcBorders>
            <w:shd w:val="clear" w:color="auto" w:fill="auto"/>
            <w:noWrap/>
            <w:vAlign w:val="center"/>
          </w:tcPr>
          <w:p w14:paraId="50A6026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966" w:type="dxa"/>
            <w:tcBorders>
              <w:top w:val="nil"/>
              <w:left w:val="nil"/>
              <w:bottom w:val="single" w:color="auto" w:sz="4" w:space="0"/>
              <w:right w:val="single" w:color="auto" w:sz="4" w:space="0"/>
            </w:tcBorders>
            <w:shd w:val="clear" w:color="auto" w:fill="auto"/>
            <w:noWrap/>
            <w:vAlign w:val="center"/>
          </w:tcPr>
          <w:p w14:paraId="3C53844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4798900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2018" w:type="dxa"/>
            <w:tcBorders>
              <w:top w:val="nil"/>
              <w:left w:val="nil"/>
              <w:bottom w:val="single" w:color="auto" w:sz="4" w:space="0"/>
              <w:right w:val="single" w:color="auto" w:sz="4" w:space="0"/>
            </w:tcBorders>
            <w:shd w:val="clear" w:color="auto" w:fill="auto"/>
            <w:noWrap/>
            <w:vAlign w:val="center"/>
          </w:tcPr>
          <w:p w14:paraId="350F83F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33" w:type="dxa"/>
            <w:tcBorders>
              <w:top w:val="nil"/>
              <w:left w:val="nil"/>
              <w:bottom w:val="single" w:color="auto" w:sz="4" w:space="0"/>
              <w:right w:val="single" w:color="auto" w:sz="4" w:space="0"/>
            </w:tcBorders>
            <w:shd w:val="clear" w:color="auto" w:fill="auto"/>
            <w:noWrap/>
            <w:vAlign w:val="center"/>
          </w:tcPr>
          <w:p w14:paraId="7D9996D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7EAA8BE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517" w:type="dxa"/>
            <w:tcBorders>
              <w:top w:val="nil"/>
              <w:left w:val="nil"/>
              <w:bottom w:val="single" w:color="auto" w:sz="4" w:space="0"/>
              <w:right w:val="single" w:color="auto" w:sz="4" w:space="0"/>
            </w:tcBorders>
            <w:shd w:val="clear" w:color="auto" w:fill="auto"/>
            <w:noWrap/>
            <w:vAlign w:val="center"/>
          </w:tcPr>
          <w:p w14:paraId="154936D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929" w:type="dxa"/>
            <w:tcBorders>
              <w:top w:val="nil"/>
              <w:left w:val="nil"/>
              <w:bottom w:val="single" w:color="auto" w:sz="4" w:space="0"/>
              <w:right w:val="single" w:color="auto" w:sz="4" w:space="0"/>
            </w:tcBorders>
            <w:shd w:val="clear" w:color="auto" w:fill="auto"/>
            <w:noWrap/>
            <w:vAlign w:val="center"/>
          </w:tcPr>
          <w:p w14:paraId="4375A8A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9E1BF6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7F25A7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850" w:type="dxa"/>
            <w:tcBorders>
              <w:top w:val="nil"/>
              <w:left w:val="nil"/>
              <w:bottom w:val="single" w:color="auto" w:sz="4" w:space="0"/>
              <w:right w:val="single" w:color="auto" w:sz="4" w:space="0"/>
            </w:tcBorders>
            <w:shd w:val="clear" w:color="auto" w:fill="auto"/>
            <w:noWrap/>
            <w:vAlign w:val="center"/>
          </w:tcPr>
          <w:p w14:paraId="5203B39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966" w:type="dxa"/>
            <w:tcBorders>
              <w:top w:val="nil"/>
              <w:left w:val="nil"/>
              <w:bottom w:val="single" w:color="auto" w:sz="4" w:space="0"/>
              <w:right w:val="single" w:color="auto" w:sz="4" w:space="0"/>
            </w:tcBorders>
            <w:shd w:val="clear" w:color="auto" w:fill="auto"/>
            <w:noWrap/>
            <w:vAlign w:val="center"/>
          </w:tcPr>
          <w:p w14:paraId="033915E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2450216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2018" w:type="dxa"/>
            <w:tcBorders>
              <w:top w:val="nil"/>
              <w:left w:val="nil"/>
              <w:bottom w:val="single" w:color="auto" w:sz="4" w:space="0"/>
              <w:right w:val="single" w:color="auto" w:sz="4" w:space="0"/>
            </w:tcBorders>
            <w:shd w:val="clear" w:color="auto" w:fill="auto"/>
            <w:noWrap/>
            <w:vAlign w:val="center"/>
          </w:tcPr>
          <w:p w14:paraId="71B880F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33" w:type="dxa"/>
            <w:tcBorders>
              <w:top w:val="nil"/>
              <w:left w:val="nil"/>
              <w:bottom w:val="single" w:color="auto" w:sz="4" w:space="0"/>
              <w:right w:val="single" w:color="auto" w:sz="4" w:space="0"/>
            </w:tcBorders>
            <w:shd w:val="clear" w:color="auto" w:fill="auto"/>
            <w:noWrap/>
            <w:vAlign w:val="center"/>
          </w:tcPr>
          <w:p w14:paraId="3BCF8AA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1EA58C1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517" w:type="dxa"/>
            <w:tcBorders>
              <w:top w:val="nil"/>
              <w:left w:val="nil"/>
              <w:bottom w:val="single" w:color="auto" w:sz="4" w:space="0"/>
              <w:right w:val="single" w:color="auto" w:sz="4" w:space="0"/>
            </w:tcBorders>
            <w:shd w:val="clear" w:color="auto" w:fill="auto"/>
            <w:noWrap/>
            <w:vAlign w:val="center"/>
          </w:tcPr>
          <w:p w14:paraId="287E38E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929" w:type="dxa"/>
            <w:tcBorders>
              <w:top w:val="nil"/>
              <w:left w:val="nil"/>
              <w:bottom w:val="single" w:color="auto" w:sz="4" w:space="0"/>
              <w:right w:val="single" w:color="auto" w:sz="4" w:space="0"/>
            </w:tcBorders>
            <w:shd w:val="clear" w:color="auto" w:fill="auto"/>
            <w:noWrap/>
            <w:vAlign w:val="center"/>
          </w:tcPr>
          <w:p w14:paraId="708086A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08E1E6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DC97A4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850" w:type="dxa"/>
            <w:tcBorders>
              <w:top w:val="nil"/>
              <w:left w:val="nil"/>
              <w:bottom w:val="single" w:color="auto" w:sz="4" w:space="0"/>
              <w:right w:val="single" w:color="auto" w:sz="4" w:space="0"/>
            </w:tcBorders>
            <w:shd w:val="clear" w:color="auto" w:fill="auto"/>
            <w:noWrap/>
            <w:vAlign w:val="center"/>
          </w:tcPr>
          <w:p w14:paraId="53327CC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966" w:type="dxa"/>
            <w:tcBorders>
              <w:top w:val="nil"/>
              <w:left w:val="nil"/>
              <w:bottom w:val="single" w:color="auto" w:sz="4" w:space="0"/>
              <w:right w:val="single" w:color="auto" w:sz="4" w:space="0"/>
            </w:tcBorders>
            <w:shd w:val="clear" w:color="auto" w:fill="auto"/>
            <w:noWrap/>
            <w:vAlign w:val="center"/>
          </w:tcPr>
          <w:p w14:paraId="4F1611B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6994B2C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2018" w:type="dxa"/>
            <w:tcBorders>
              <w:top w:val="nil"/>
              <w:left w:val="nil"/>
              <w:bottom w:val="single" w:color="auto" w:sz="4" w:space="0"/>
              <w:right w:val="single" w:color="auto" w:sz="4" w:space="0"/>
            </w:tcBorders>
            <w:shd w:val="clear" w:color="auto" w:fill="auto"/>
            <w:noWrap/>
            <w:vAlign w:val="center"/>
          </w:tcPr>
          <w:p w14:paraId="6E11A46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33" w:type="dxa"/>
            <w:tcBorders>
              <w:top w:val="nil"/>
              <w:left w:val="nil"/>
              <w:bottom w:val="single" w:color="auto" w:sz="4" w:space="0"/>
              <w:right w:val="single" w:color="auto" w:sz="4" w:space="0"/>
            </w:tcBorders>
            <w:shd w:val="clear" w:color="auto" w:fill="auto"/>
            <w:noWrap/>
            <w:vAlign w:val="center"/>
          </w:tcPr>
          <w:p w14:paraId="73B44D2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21B99C3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517" w:type="dxa"/>
            <w:tcBorders>
              <w:top w:val="nil"/>
              <w:left w:val="nil"/>
              <w:bottom w:val="single" w:color="auto" w:sz="4" w:space="0"/>
              <w:right w:val="single" w:color="auto" w:sz="4" w:space="0"/>
            </w:tcBorders>
            <w:shd w:val="clear" w:color="auto" w:fill="auto"/>
            <w:noWrap/>
            <w:vAlign w:val="center"/>
          </w:tcPr>
          <w:p w14:paraId="1A5EE96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929" w:type="dxa"/>
            <w:tcBorders>
              <w:top w:val="nil"/>
              <w:left w:val="nil"/>
              <w:bottom w:val="single" w:color="auto" w:sz="4" w:space="0"/>
              <w:right w:val="single" w:color="auto" w:sz="4" w:space="0"/>
            </w:tcBorders>
            <w:shd w:val="clear" w:color="auto" w:fill="auto"/>
            <w:noWrap/>
            <w:vAlign w:val="center"/>
          </w:tcPr>
          <w:p w14:paraId="29391E6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52393A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932DD8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850" w:type="dxa"/>
            <w:tcBorders>
              <w:top w:val="nil"/>
              <w:left w:val="nil"/>
              <w:bottom w:val="single" w:color="auto" w:sz="4" w:space="0"/>
              <w:right w:val="single" w:color="auto" w:sz="4" w:space="0"/>
            </w:tcBorders>
            <w:shd w:val="clear" w:color="auto" w:fill="auto"/>
            <w:noWrap/>
            <w:vAlign w:val="center"/>
          </w:tcPr>
          <w:p w14:paraId="056A671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966" w:type="dxa"/>
            <w:tcBorders>
              <w:top w:val="nil"/>
              <w:left w:val="nil"/>
              <w:bottom w:val="single" w:color="auto" w:sz="4" w:space="0"/>
              <w:right w:val="single" w:color="auto" w:sz="4" w:space="0"/>
            </w:tcBorders>
            <w:shd w:val="clear" w:color="auto" w:fill="auto"/>
            <w:noWrap/>
            <w:vAlign w:val="center"/>
          </w:tcPr>
          <w:p w14:paraId="29273F7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14C3AF8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2018" w:type="dxa"/>
            <w:tcBorders>
              <w:top w:val="nil"/>
              <w:left w:val="nil"/>
              <w:bottom w:val="single" w:color="auto" w:sz="4" w:space="0"/>
              <w:right w:val="single" w:color="auto" w:sz="4" w:space="0"/>
            </w:tcBorders>
            <w:shd w:val="clear" w:color="auto" w:fill="auto"/>
            <w:noWrap/>
            <w:vAlign w:val="center"/>
          </w:tcPr>
          <w:p w14:paraId="131F5F3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33" w:type="dxa"/>
            <w:tcBorders>
              <w:top w:val="nil"/>
              <w:left w:val="nil"/>
              <w:bottom w:val="single" w:color="auto" w:sz="4" w:space="0"/>
              <w:right w:val="single" w:color="auto" w:sz="4" w:space="0"/>
            </w:tcBorders>
            <w:shd w:val="clear" w:color="auto" w:fill="auto"/>
            <w:noWrap/>
            <w:vAlign w:val="center"/>
          </w:tcPr>
          <w:p w14:paraId="62C9D97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35FD0EE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517" w:type="dxa"/>
            <w:tcBorders>
              <w:top w:val="nil"/>
              <w:left w:val="nil"/>
              <w:bottom w:val="single" w:color="auto" w:sz="4" w:space="0"/>
              <w:right w:val="single" w:color="auto" w:sz="4" w:space="0"/>
            </w:tcBorders>
            <w:shd w:val="clear" w:color="auto" w:fill="auto"/>
            <w:noWrap/>
            <w:vAlign w:val="center"/>
          </w:tcPr>
          <w:p w14:paraId="23CA84A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929" w:type="dxa"/>
            <w:tcBorders>
              <w:top w:val="nil"/>
              <w:left w:val="nil"/>
              <w:bottom w:val="single" w:color="auto" w:sz="4" w:space="0"/>
              <w:right w:val="single" w:color="auto" w:sz="4" w:space="0"/>
            </w:tcBorders>
            <w:shd w:val="clear" w:color="auto" w:fill="auto"/>
            <w:noWrap/>
            <w:vAlign w:val="center"/>
          </w:tcPr>
          <w:p w14:paraId="6B12FC7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E923E3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BD5815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850" w:type="dxa"/>
            <w:tcBorders>
              <w:top w:val="nil"/>
              <w:left w:val="nil"/>
              <w:bottom w:val="single" w:color="auto" w:sz="4" w:space="0"/>
              <w:right w:val="single" w:color="auto" w:sz="4" w:space="0"/>
            </w:tcBorders>
            <w:shd w:val="clear" w:color="auto" w:fill="auto"/>
            <w:noWrap/>
            <w:vAlign w:val="center"/>
          </w:tcPr>
          <w:p w14:paraId="433EFED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5EDE6CE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6B8E118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2018" w:type="dxa"/>
            <w:tcBorders>
              <w:top w:val="nil"/>
              <w:left w:val="nil"/>
              <w:bottom w:val="single" w:color="auto" w:sz="4" w:space="0"/>
              <w:right w:val="single" w:color="auto" w:sz="4" w:space="0"/>
            </w:tcBorders>
            <w:shd w:val="clear" w:color="auto" w:fill="auto"/>
            <w:noWrap/>
            <w:vAlign w:val="center"/>
          </w:tcPr>
          <w:p w14:paraId="00DDE3D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33" w:type="dxa"/>
            <w:tcBorders>
              <w:top w:val="nil"/>
              <w:left w:val="nil"/>
              <w:bottom w:val="single" w:color="auto" w:sz="4" w:space="0"/>
              <w:right w:val="single" w:color="auto" w:sz="4" w:space="0"/>
            </w:tcBorders>
            <w:shd w:val="clear" w:color="auto" w:fill="auto"/>
            <w:noWrap/>
            <w:vAlign w:val="center"/>
          </w:tcPr>
          <w:p w14:paraId="2D8817C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3BCABEF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517" w:type="dxa"/>
            <w:tcBorders>
              <w:top w:val="nil"/>
              <w:left w:val="nil"/>
              <w:bottom w:val="single" w:color="auto" w:sz="4" w:space="0"/>
              <w:right w:val="single" w:color="auto" w:sz="4" w:space="0"/>
            </w:tcBorders>
            <w:shd w:val="clear" w:color="auto" w:fill="auto"/>
            <w:noWrap/>
            <w:vAlign w:val="center"/>
          </w:tcPr>
          <w:p w14:paraId="08EB1A2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929" w:type="dxa"/>
            <w:tcBorders>
              <w:top w:val="nil"/>
              <w:left w:val="nil"/>
              <w:bottom w:val="single" w:color="auto" w:sz="4" w:space="0"/>
              <w:right w:val="single" w:color="auto" w:sz="4" w:space="0"/>
            </w:tcBorders>
            <w:shd w:val="clear" w:color="auto" w:fill="auto"/>
            <w:noWrap/>
            <w:vAlign w:val="center"/>
          </w:tcPr>
          <w:p w14:paraId="7C23D6D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86CF5B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B4EC65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850" w:type="dxa"/>
            <w:tcBorders>
              <w:top w:val="nil"/>
              <w:left w:val="nil"/>
              <w:bottom w:val="single" w:color="auto" w:sz="4" w:space="0"/>
              <w:right w:val="single" w:color="auto" w:sz="4" w:space="0"/>
            </w:tcBorders>
            <w:shd w:val="clear" w:color="auto" w:fill="auto"/>
            <w:noWrap/>
            <w:vAlign w:val="center"/>
          </w:tcPr>
          <w:p w14:paraId="4AB7714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966" w:type="dxa"/>
            <w:tcBorders>
              <w:top w:val="nil"/>
              <w:left w:val="nil"/>
              <w:bottom w:val="single" w:color="auto" w:sz="4" w:space="0"/>
              <w:right w:val="single" w:color="auto" w:sz="4" w:space="0"/>
            </w:tcBorders>
            <w:shd w:val="clear" w:color="auto" w:fill="auto"/>
            <w:noWrap/>
            <w:vAlign w:val="center"/>
          </w:tcPr>
          <w:p w14:paraId="6B9AC25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39129EF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2018" w:type="dxa"/>
            <w:tcBorders>
              <w:top w:val="nil"/>
              <w:left w:val="nil"/>
              <w:bottom w:val="single" w:color="auto" w:sz="4" w:space="0"/>
              <w:right w:val="single" w:color="auto" w:sz="4" w:space="0"/>
            </w:tcBorders>
            <w:shd w:val="clear" w:color="auto" w:fill="auto"/>
            <w:noWrap/>
            <w:vAlign w:val="center"/>
          </w:tcPr>
          <w:p w14:paraId="553CBA9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33" w:type="dxa"/>
            <w:tcBorders>
              <w:top w:val="nil"/>
              <w:left w:val="nil"/>
              <w:bottom w:val="single" w:color="auto" w:sz="4" w:space="0"/>
              <w:right w:val="single" w:color="auto" w:sz="4" w:space="0"/>
            </w:tcBorders>
            <w:shd w:val="clear" w:color="auto" w:fill="auto"/>
            <w:noWrap/>
            <w:vAlign w:val="center"/>
          </w:tcPr>
          <w:p w14:paraId="51542C0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59C37BB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517" w:type="dxa"/>
            <w:tcBorders>
              <w:top w:val="nil"/>
              <w:left w:val="nil"/>
              <w:bottom w:val="single" w:color="auto" w:sz="4" w:space="0"/>
              <w:right w:val="single" w:color="auto" w:sz="4" w:space="0"/>
            </w:tcBorders>
            <w:shd w:val="clear" w:color="auto" w:fill="auto"/>
            <w:noWrap/>
            <w:vAlign w:val="center"/>
          </w:tcPr>
          <w:p w14:paraId="2A25437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929" w:type="dxa"/>
            <w:tcBorders>
              <w:top w:val="nil"/>
              <w:left w:val="nil"/>
              <w:bottom w:val="single" w:color="auto" w:sz="4" w:space="0"/>
              <w:right w:val="single" w:color="auto" w:sz="4" w:space="0"/>
            </w:tcBorders>
            <w:shd w:val="clear" w:color="auto" w:fill="auto"/>
            <w:noWrap/>
            <w:vAlign w:val="center"/>
          </w:tcPr>
          <w:p w14:paraId="40D70D1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5147AE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007D98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850" w:type="dxa"/>
            <w:tcBorders>
              <w:top w:val="nil"/>
              <w:left w:val="nil"/>
              <w:bottom w:val="single" w:color="auto" w:sz="4" w:space="0"/>
              <w:right w:val="single" w:color="auto" w:sz="4" w:space="0"/>
            </w:tcBorders>
            <w:shd w:val="clear" w:color="auto" w:fill="auto"/>
            <w:noWrap/>
            <w:vAlign w:val="center"/>
          </w:tcPr>
          <w:p w14:paraId="4B178C6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966" w:type="dxa"/>
            <w:tcBorders>
              <w:top w:val="nil"/>
              <w:left w:val="nil"/>
              <w:bottom w:val="single" w:color="auto" w:sz="4" w:space="0"/>
              <w:right w:val="single" w:color="auto" w:sz="4" w:space="0"/>
            </w:tcBorders>
            <w:shd w:val="clear" w:color="auto" w:fill="auto"/>
            <w:noWrap/>
            <w:vAlign w:val="center"/>
          </w:tcPr>
          <w:p w14:paraId="3CC0636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7D365A8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2018" w:type="dxa"/>
            <w:tcBorders>
              <w:top w:val="nil"/>
              <w:left w:val="nil"/>
              <w:bottom w:val="single" w:color="auto" w:sz="4" w:space="0"/>
              <w:right w:val="single" w:color="auto" w:sz="4" w:space="0"/>
            </w:tcBorders>
            <w:shd w:val="clear" w:color="auto" w:fill="auto"/>
            <w:noWrap/>
            <w:vAlign w:val="center"/>
          </w:tcPr>
          <w:p w14:paraId="5DE399A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33" w:type="dxa"/>
            <w:tcBorders>
              <w:top w:val="nil"/>
              <w:left w:val="nil"/>
              <w:bottom w:val="single" w:color="auto" w:sz="4" w:space="0"/>
              <w:right w:val="single" w:color="auto" w:sz="4" w:space="0"/>
            </w:tcBorders>
            <w:shd w:val="clear" w:color="auto" w:fill="auto"/>
            <w:noWrap/>
            <w:vAlign w:val="center"/>
          </w:tcPr>
          <w:p w14:paraId="3F5EAC6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17B1513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517" w:type="dxa"/>
            <w:tcBorders>
              <w:top w:val="nil"/>
              <w:left w:val="nil"/>
              <w:bottom w:val="single" w:color="auto" w:sz="4" w:space="0"/>
              <w:right w:val="single" w:color="auto" w:sz="4" w:space="0"/>
            </w:tcBorders>
            <w:shd w:val="clear" w:color="auto" w:fill="auto"/>
            <w:noWrap/>
            <w:vAlign w:val="center"/>
          </w:tcPr>
          <w:p w14:paraId="0815C86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929" w:type="dxa"/>
            <w:tcBorders>
              <w:top w:val="nil"/>
              <w:left w:val="nil"/>
              <w:bottom w:val="single" w:color="auto" w:sz="4" w:space="0"/>
              <w:right w:val="single" w:color="auto" w:sz="4" w:space="0"/>
            </w:tcBorders>
            <w:shd w:val="clear" w:color="auto" w:fill="auto"/>
            <w:noWrap/>
            <w:vAlign w:val="center"/>
          </w:tcPr>
          <w:p w14:paraId="1C5EF96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E63C26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57526B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850" w:type="dxa"/>
            <w:tcBorders>
              <w:top w:val="nil"/>
              <w:left w:val="nil"/>
              <w:bottom w:val="single" w:color="auto" w:sz="4" w:space="0"/>
              <w:right w:val="single" w:color="auto" w:sz="4" w:space="0"/>
            </w:tcBorders>
            <w:shd w:val="clear" w:color="auto" w:fill="auto"/>
            <w:noWrap/>
            <w:vAlign w:val="center"/>
          </w:tcPr>
          <w:p w14:paraId="1CF376E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966" w:type="dxa"/>
            <w:tcBorders>
              <w:top w:val="nil"/>
              <w:left w:val="nil"/>
              <w:bottom w:val="single" w:color="auto" w:sz="4" w:space="0"/>
              <w:right w:val="single" w:color="auto" w:sz="4" w:space="0"/>
            </w:tcBorders>
            <w:shd w:val="clear" w:color="auto" w:fill="auto"/>
            <w:noWrap/>
            <w:vAlign w:val="center"/>
          </w:tcPr>
          <w:p w14:paraId="3AE61A5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4205200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2018" w:type="dxa"/>
            <w:tcBorders>
              <w:top w:val="nil"/>
              <w:left w:val="nil"/>
              <w:bottom w:val="single" w:color="auto" w:sz="4" w:space="0"/>
              <w:right w:val="single" w:color="auto" w:sz="4" w:space="0"/>
            </w:tcBorders>
            <w:shd w:val="clear" w:color="auto" w:fill="auto"/>
            <w:noWrap/>
            <w:vAlign w:val="center"/>
          </w:tcPr>
          <w:p w14:paraId="4733846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33" w:type="dxa"/>
            <w:tcBorders>
              <w:top w:val="nil"/>
              <w:left w:val="nil"/>
              <w:bottom w:val="single" w:color="auto" w:sz="4" w:space="0"/>
              <w:right w:val="single" w:color="auto" w:sz="4" w:space="0"/>
            </w:tcBorders>
            <w:shd w:val="clear" w:color="auto" w:fill="auto"/>
            <w:noWrap/>
            <w:vAlign w:val="center"/>
          </w:tcPr>
          <w:p w14:paraId="7B08D5B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3759951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517" w:type="dxa"/>
            <w:tcBorders>
              <w:top w:val="nil"/>
              <w:left w:val="nil"/>
              <w:bottom w:val="single" w:color="auto" w:sz="4" w:space="0"/>
              <w:right w:val="single" w:color="auto" w:sz="4" w:space="0"/>
            </w:tcBorders>
            <w:shd w:val="clear" w:color="auto" w:fill="auto"/>
            <w:noWrap/>
            <w:vAlign w:val="center"/>
          </w:tcPr>
          <w:p w14:paraId="3835132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929" w:type="dxa"/>
            <w:tcBorders>
              <w:top w:val="nil"/>
              <w:left w:val="nil"/>
              <w:bottom w:val="single" w:color="auto" w:sz="4" w:space="0"/>
              <w:right w:val="single" w:color="auto" w:sz="4" w:space="0"/>
            </w:tcBorders>
            <w:shd w:val="clear" w:color="auto" w:fill="auto"/>
            <w:noWrap/>
            <w:vAlign w:val="center"/>
          </w:tcPr>
          <w:p w14:paraId="20F0741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2D7A46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1F7B68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850" w:type="dxa"/>
            <w:tcBorders>
              <w:top w:val="nil"/>
              <w:left w:val="nil"/>
              <w:bottom w:val="single" w:color="auto" w:sz="4" w:space="0"/>
              <w:right w:val="single" w:color="auto" w:sz="4" w:space="0"/>
            </w:tcBorders>
            <w:shd w:val="clear" w:color="auto" w:fill="auto"/>
            <w:noWrap/>
            <w:vAlign w:val="center"/>
          </w:tcPr>
          <w:p w14:paraId="670697C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966" w:type="dxa"/>
            <w:tcBorders>
              <w:top w:val="nil"/>
              <w:left w:val="nil"/>
              <w:bottom w:val="single" w:color="auto" w:sz="4" w:space="0"/>
              <w:right w:val="single" w:color="auto" w:sz="4" w:space="0"/>
            </w:tcBorders>
            <w:shd w:val="clear" w:color="auto" w:fill="auto"/>
            <w:noWrap/>
            <w:vAlign w:val="center"/>
          </w:tcPr>
          <w:p w14:paraId="4AABB5C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19C7FFC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2018" w:type="dxa"/>
            <w:tcBorders>
              <w:top w:val="nil"/>
              <w:left w:val="nil"/>
              <w:bottom w:val="single" w:color="auto" w:sz="4" w:space="0"/>
              <w:right w:val="single" w:color="auto" w:sz="4" w:space="0"/>
            </w:tcBorders>
            <w:shd w:val="clear" w:color="auto" w:fill="auto"/>
            <w:noWrap/>
            <w:vAlign w:val="center"/>
          </w:tcPr>
          <w:p w14:paraId="25B6733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33" w:type="dxa"/>
            <w:tcBorders>
              <w:top w:val="nil"/>
              <w:left w:val="nil"/>
              <w:bottom w:val="single" w:color="auto" w:sz="4" w:space="0"/>
              <w:right w:val="single" w:color="auto" w:sz="4" w:space="0"/>
            </w:tcBorders>
            <w:shd w:val="clear" w:color="auto" w:fill="auto"/>
            <w:noWrap/>
            <w:vAlign w:val="center"/>
          </w:tcPr>
          <w:p w14:paraId="3802ECD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60546F7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517" w:type="dxa"/>
            <w:tcBorders>
              <w:top w:val="nil"/>
              <w:left w:val="nil"/>
              <w:bottom w:val="single" w:color="auto" w:sz="4" w:space="0"/>
              <w:right w:val="single" w:color="auto" w:sz="4" w:space="0"/>
            </w:tcBorders>
            <w:shd w:val="clear" w:color="auto" w:fill="auto"/>
            <w:noWrap/>
            <w:vAlign w:val="center"/>
          </w:tcPr>
          <w:p w14:paraId="36F45A0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929" w:type="dxa"/>
            <w:tcBorders>
              <w:top w:val="nil"/>
              <w:left w:val="nil"/>
              <w:bottom w:val="single" w:color="auto" w:sz="4" w:space="0"/>
              <w:right w:val="single" w:color="auto" w:sz="4" w:space="0"/>
            </w:tcBorders>
            <w:shd w:val="clear" w:color="auto" w:fill="auto"/>
            <w:noWrap/>
            <w:vAlign w:val="center"/>
          </w:tcPr>
          <w:p w14:paraId="7515B30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828BC4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62D23D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850" w:type="dxa"/>
            <w:tcBorders>
              <w:top w:val="nil"/>
              <w:left w:val="nil"/>
              <w:bottom w:val="single" w:color="auto" w:sz="4" w:space="0"/>
              <w:right w:val="single" w:color="auto" w:sz="4" w:space="0"/>
            </w:tcBorders>
            <w:shd w:val="clear" w:color="auto" w:fill="auto"/>
            <w:noWrap/>
            <w:vAlign w:val="center"/>
          </w:tcPr>
          <w:p w14:paraId="23F4327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966" w:type="dxa"/>
            <w:tcBorders>
              <w:top w:val="nil"/>
              <w:left w:val="nil"/>
              <w:bottom w:val="single" w:color="auto" w:sz="4" w:space="0"/>
              <w:right w:val="single" w:color="auto" w:sz="4" w:space="0"/>
            </w:tcBorders>
            <w:shd w:val="clear" w:color="auto" w:fill="auto"/>
            <w:noWrap/>
            <w:vAlign w:val="center"/>
          </w:tcPr>
          <w:p w14:paraId="25FBF19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49D3239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2018" w:type="dxa"/>
            <w:tcBorders>
              <w:top w:val="nil"/>
              <w:left w:val="nil"/>
              <w:bottom w:val="single" w:color="auto" w:sz="4" w:space="0"/>
              <w:right w:val="single" w:color="auto" w:sz="4" w:space="0"/>
            </w:tcBorders>
            <w:shd w:val="clear" w:color="auto" w:fill="auto"/>
            <w:noWrap/>
            <w:vAlign w:val="center"/>
          </w:tcPr>
          <w:p w14:paraId="26B88E6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33" w:type="dxa"/>
            <w:tcBorders>
              <w:top w:val="nil"/>
              <w:left w:val="nil"/>
              <w:bottom w:val="single" w:color="auto" w:sz="4" w:space="0"/>
              <w:right w:val="single" w:color="auto" w:sz="4" w:space="0"/>
            </w:tcBorders>
            <w:shd w:val="clear" w:color="auto" w:fill="auto"/>
            <w:noWrap/>
            <w:vAlign w:val="center"/>
          </w:tcPr>
          <w:p w14:paraId="3651A1E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39EB0A5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517" w:type="dxa"/>
            <w:tcBorders>
              <w:top w:val="nil"/>
              <w:left w:val="nil"/>
              <w:bottom w:val="single" w:color="auto" w:sz="4" w:space="0"/>
              <w:right w:val="single" w:color="auto" w:sz="4" w:space="0"/>
            </w:tcBorders>
            <w:shd w:val="clear" w:color="auto" w:fill="auto"/>
            <w:noWrap/>
            <w:vAlign w:val="center"/>
          </w:tcPr>
          <w:p w14:paraId="3E8F3DF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929" w:type="dxa"/>
            <w:tcBorders>
              <w:top w:val="nil"/>
              <w:left w:val="nil"/>
              <w:bottom w:val="single" w:color="auto" w:sz="4" w:space="0"/>
              <w:right w:val="single" w:color="auto" w:sz="4" w:space="0"/>
            </w:tcBorders>
            <w:shd w:val="clear" w:color="auto" w:fill="auto"/>
            <w:noWrap/>
            <w:vAlign w:val="center"/>
          </w:tcPr>
          <w:p w14:paraId="537C2FB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D639C7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739F0C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850" w:type="dxa"/>
            <w:tcBorders>
              <w:top w:val="nil"/>
              <w:left w:val="nil"/>
              <w:bottom w:val="single" w:color="auto" w:sz="4" w:space="0"/>
              <w:right w:val="single" w:color="auto" w:sz="4" w:space="0"/>
            </w:tcBorders>
            <w:shd w:val="clear" w:color="auto" w:fill="auto"/>
            <w:noWrap/>
            <w:vAlign w:val="center"/>
          </w:tcPr>
          <w:p w14:paraId="3618FF5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966" w:type="dxa"/>
            <w:tcBorders>
              <w:top w:val="nil"/>
              <w:left w:val="nil"/>
              <w:bottom w:val="single" w:color="auto" w:sz="4" w:space="0"/>
              <w:right w:val="single" w:color="auto" w:sz="4" w:space="0"/>
            </w:tcBorders>
            <w:shd w:val="clear" w:color="auto" w:fill="auto"/>
            <w:noWrap/>
            <w:vAlign w:val="center"/>
          </w:tcPr>
          <w:p w14:paraId="132EE74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25CB2E9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2018" w:type="dxa"/>
            <w:tcBorders>
              <w:top w:val="nil"/>
              <w:left w:val="nil"/>
              <w:bottom w:val="single" w:color="auto" w:sz="4" w:space="0"/>
              <w:right w:val="single" w:color="auto" w:sz="4" w:space="0"/>
            </w:tcBorders>
            <w:shd w:val="clear" w:color="auto" w:fill="auto"/>
            <w:noWrap/>
            <w:vAlign w:val="center"/>
          </w:tcPr>
          <w:p w14:paraId="7C0B01B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33" w:type="dxa"/>
            <w:tcBorders>
              <w:top w:val="nil"/>
              <w:left w:val="nil"/>
              <w:bottom w:val="single" w:color="auto" w:sz="4" w:space="0"/>
              <w:right w:val="single" w:color="auto" w:sz="4" w:space="0"/>
            </w:tcBorders>
            <w:shd w:val="clear" w:color="auto" w:fill="auto"/>
            <w:noWrap/>
            <w:vAlign w:val="center"/>
          </w:tcPr>
          <w:p w14:paraId="4A91CAE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7056EDF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517" w:type="dxa"/>
            <w:tcBorders>
              <w:top w:val="nil"/>
              <w:left w:val="nil"/>
              <w:bottom w:val="single" w:color="auto" w:sz="4" w:space="0"/>
              <w:right w:val="single" w:color="auto" w:sz="4" w:space="0"/>
            </w:tcBorders>
            <w:shd w:val="clear" w:color="auto" w:fill="auto"/>
            <w:noWrap/>
            <w:vAlign w:val="center"/>
          </w:tcPr>
          <w:p w14:paraId="3E30BD9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shd w:val="clear" w:color="auto" w:fill="auto"/>
            <w:noWrap/>
            <w:vAlign w:val="center"/>
          </w:tcPr>
          <w:p w14:paraId="30EB6E0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AD53D3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548771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850" w:type="dxa"/>
            <w:tcBorders>
              <w:top w:val="nil"/>
              <w:left w:val="nil"/>
              <w:bottom w:val="single" w:color="auto" w:sz="4" w:space="0"/>
              <w:right w:val="single" w:color="auto" w:sz="4" w:space="0"/>
            </w:tcBorders>
            <w:shd w:val="clear" w:color="auto" w:fill="auto"/>
            <w:noWrap/>
            <w:vAlign w:val="center"/>
          </w:tcPr>
          <w:p w14:paraId="1F3A285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966" w:type="dxa"/>
            <w:tcBorders>
              <w:top w:val="nil"/>
              <w:left w:val="nil"/>
              <w:bottom w:val="single" w:color="auto" w:sz="4" w:space="0"/>
              <w:right w:val="single" w:color="auto" w:sz="4" w:space="0"/>
            </w:tcBorders>
            <w:shd w:val="clear" w:color="auto" w:fill="auto"/>
            <w:noWrap/>
            <w:vAlign w:val="center"/>
          </w:tcPr>
          <w:p w14:paraId="657B512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30AFE05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2018" w:type="dxa"/>
            <w:tcBorders>
              <w:top w:val="nil"/>
              <w:left w:val="nil"/>
              <w:bottom w:val="single" w:color="auto" w:sz="4" w:space="0"/>
              <w:right w:val="single" w:color="auto" w:sz="4" w:space="0"/>
            </w:tcBorders>
            <w:shd w:val="clear" w:color="auto" w:fill="auto"/>
            <w:noWrap/>
            <w:vAlign w:val="center"/>
          </w:tcPr>
          <w:p w14:paraId="702446B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33" w:type="dxa"/>
            <w:tcBorders>
              <w:top w:val="nil"/>
              <w:left w:val="nil"/>
              <w:bottom w:val="single" w:color="auto" w:sz="4" w:space="0"/>
              <w:right w:val="single" w:color="auto" w:sz="4" w:space="0"/>
            </w:tcBorders>
            <w:shd w:val="clear" w:color="auto" w:fill="auto"/>
            <w:noWrap/>
            <w:vAlign w:val="center"/>
          </w:tcPr>
          <w:p w14:paraId="3323FC5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7B202E9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517" w:type="dxa"/>
            <w:tcBorders>
              <w:top w:val="nil"/>
              <w:left w:val="nil"/>
              <w:bottom w:val="single" w:color="auto" w:sz="4" w:space="0"/>
              <w:right w:val="single" w:color="auto" w:sz="4" w:space="0"/>
            </w:tcBorders>
            <w:shd w:val="clear" w:color="auto" w:fill="auto"/>
            <w:noWrap/>
            <w:vAlign w:val="center"/>
          </w:tcPr>
          <w:p w14:paraId="73D8E5C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929" w:type="dxa"/>
            <w:tcBorders>
              <w:top w:val="nil"/>
              <w:left w:val="nil"/>
              <w:bottom w:val="single" w:color="auto" w:sz="4" w:space="0"/>
              <w:right w:val="single" w:color="auto" w:sz="4" w:space="0"/>
            </w:tcBorders>
            <w:shd w:val="clear" w:color="auto" w:fill="auto"/>
            <w:noWrap/>
            <w:vAlign w:val="center"/>
          </w:tcPr>
          <w:p w14:paraId="272B739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ADEFC5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AECDD0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850" w:type="dxa"/>
            <w:tcBorders>
              <w:top w:val="nil"/>
              <w:left w:val="nil"/>
              <w:bottom w:val="single" w:color="auto" w:sz="4" w:space="0"/>
              <w:right w:val="single" w:color="auto" w:sz="4" w:space="0"/>
            </w:tcBorders>
            <w:shd w:val="clear" w:color="auto" w:fill="auto"/>
            <w:noWrap/>
            <w:vAlign w:val="center"/>
          </w:tcPr>
          <w:p w14:paraId="4EE1788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966" w:type="dxa"/>
            <w:tcBorders>
              <w:top w:val="nil"/>
              <w:left w:val="nil"/>
              <w:bottom w:val="single" w:color="auto" w:sz="4" w:space="0"/>
              <w:right w:val="single" w:color="auto" w:sz="4" w:space="0"/>
            </w:tcBorders>
            <w:shd w:val="clear" w:color="auto" w:fill="auto"/>
            <w:noWrap/>
            <w:vAlign w:val="center"/>
          </w:tcPr>
          <w:p w14:paraId="52937AE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475623F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2018" w:type="dxa"/>
            <w:tcBorders>
              <w:top w:val="nil"/>
              <w:left w:val="nil"/>
              <w:bottom w:val="single" w:color="auto" w:sz="4" w:space="0"/>
              <w:right w:val="single" w:color="auto" w:sz="4" w:space="0"/>
            </w:tcBorders>
            <w:shd w:val="clear" w:color="auto" w:fill="auto"/>
            <w:noWrap/>
            <w:vAlign w:val="center"/>
          </w:tcPr>
          <w:p w14:paraId="5F54D37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33" w:type="dxa"/>
            <w:tcBorders>
              <w:top w:val="nil"/>
              <w:left w:val="nil"/>
              <w:bottom w:val="single" w:color="auto" w:sz="4" w:space="0"/>
              <w:right w:val="single" w:color="auto" w:sz="4" w:space="0"/>
            </w:tcBorders>
            <w:shd w:val="clear" w:color="auto" w:fill="auto"/>
            <w:noWrap/>
            <w:vAlign w:val="center"/>
          </w:tcPr>
          <w:p w14:paraId="1E2B753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1EF09DF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517" w:type="dxa"/>
            <w:tcBorders>
              <w:top w:val="nil"/>
              <w:left w:val="nil"/>
              <w:bottom w:val="single" w:color="auto" w:sz="4" w:space="0"/>
              <w:right w:val="single" w:color="auto" w:sz="4" w:space="0"/>
            </w:tcBorders>
            <w:shd w:val="clear" w:color="auto" w:fill="auto"/>
            <w:noWrap/>
            <w:vAlign w:val="center"/>
          </w:tcPr>
          <w:p w14:paraId="513201E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center"/>
          </w:tcPr>
          <w:p w14:paraId="068FBE3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414C5D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01F7E0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850" w:type="dxa"/>
            <w:tcBorders>
              <w:top w:val="nil"/>
              <w:left w:val="nil"/>
              <w:bottom w:val="single" w:color="auto" w:sz="4" w:space="0"/>
              <w:right w:val="single" w:color="auto" w:sz="4" w:space="0"/>
            </w:tcBorders>
            <w:shd w:val="clear" w:color="auto" w:fill="auto"/>
            <w:noWrap/>
            <w:vAlign w:val="center"/>
          </w:tcPr>
          <w:p w14:paraId="7544D8F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966" w:type="dxa"/>
            <w:tcBorders>
              <w:top w:val="nil"/>
              <w:left w:val="nil"/>
              <w:bottom w:val="single" w:color="auto" w:sz="4" w:space="0"/>
              <w:right w:val="single" w:color="auto" w:sz="4" w:space="0"/>
            </w:tcBorders>
            <w:shd w:val="clear" w:color="auto" w:fill="auto"/>
            <w:noWrap/>
            <w:vAlign w:val="center"/>
          </w:tcPr>
          <w:p w14:paraId="2325B0B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063119C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2018" w:type="dxa"/>
            <w:tcBorders>
              <w:top w:val="nil"/>
              <w:left w:val="nil"/>
              <w:bottom w:val="single" w:color="auto" w:sz="4" w:space="0"/>
              <w:right w:val="single" w:color="auto" w:sz="4" w:space="0"/>
            </w:tcBorders>
            <w:shd w:val="clear" w:color="auto" w:fill="auto"/>
            <w:noWrap/>
            <w:vAlign w:val="center"/>
          </w:tcPr>
          <w:p w14:paraId="06CB3EC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33" w:type="dxa"/>
            <w:tcBorders>
              <w:top w:val="nil"/>
              <w:left w:val="nil"/>
              <w:bottom w:val="single" w:color="auto" w:sz="4" w:space="0"/>
              <w:right w:val="single" w:color="auto" w:sz="4" w:space="0"/>
            </w:tcBorders>
            <w:shd w:val="clear" w:color="auto" w:fill="auto"/>
            <w:noWrap/>
            <w:vAlign w:val="center"/>
          </w:tcPr>
          <w:p w14:paraId="15BD648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4D012F1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517" w:type="dxa"/>
            <w:tcBorders>
              <w:top w:val="nil"/>
              <w:left w:val="nil"/>
              <w:bottom w:val="single" w:color="auto" w:sz="4" w:space="0"/>
              <w:right w:val="single" w:color="auto" w:sz="4" w:space="0"/>
            </w:tcBorders>
            <w:shd w:val="clear" w:color="auto" w:fill="auto"/>
            <w:noWrap/>
            <w:vAlign w:val="center"/>
          </w:tcPr>
          <w:p w14:paraId="7B8C024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14:paraId="04DB5E2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14:paraId="0245A345">
            <w:pPr>
              <w:widowControl/>
              <w:jc w:val="left"/>
              <w:rPr>
                <w:rFonts w:ascii="Times New Roman" w:hAnsi="Times New Roman" w:eastAsia="仿宋_GB2312" w:cs="Times New Roman"/>
                <w:color w:val="000000"/>
                <w:kern w:val="0"/>
                <w:szCs w:val="20"/>
              </w:rPr>
            </w:pPr>
          </w:p>
          <w:tbl>
            <w:tblPr>
              <w:tblStyle w:val="9"/>
              <w:tblW w:w="3946" w:type="dxa"/>
              <w:tblInd w:w="0" w:type="dxa"/>
              <w:tblLayout w:type="fixed"/>
              <w:tblCellMar>
                <w:top w:w="0" w:type="dxa"/>
                <w:left w:w="108" w:type="dxa"/>
                <w:bottom w:w="0" w:type="dxa"/>
                <w:right w:w="108" w:type="dxa"/>
              </w:tblCellMar>
            </w:tblPr>
            <w:tblGrid>
              <w:gridCol w:w="3946"/>
            </w:tblGrid>
            <w:tr w14:paraId="0A508770">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8D019">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77A93263">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D5C1E">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395F4D0C">
            <w:pPr>
              <w:widowControl/>
              <w:jc w:val="left"/>
              <w:rPr>
                <w:rFonts w:ascii="Times New Roman" w:hAnsi="Times New Roman" w:eastAsia="仿宋_GB2312" w:cs="Times New Roman"/>
                <w:color w:val="000000"/>
                <w:kern w:val="0"/>
                <w:szCs w:val="20"/>
              </w:rPr>
            </w:pPr>
          </w:p>
          <w:tbl>
            <w:tblPr>
              <w:tblStyle w:val="9"/>
              <w:tblW w:w="3946" w:type="dxa"/>
              <w:tblInd w:w="0" w:type="dxa"/>
              <w:tblLayout w:type="fixed"/>
              <w:tblCellMar>
                <w:top w:w="0" w:type="dxa"/>
                <w:left w:w="108" w:type="dxa"/>
                <w:bottom w:w="0" w:type="dxa"/>
                <w:right w:w="108" w:type="dxa"/>
              </w:tblCellMar>
            </w:tblPr>
            <w:tblGrid>
              <w:gridCol w:w="3946"/>
            </w:tblGrid>
            <w:tr w14:paraId="03690E8F">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AF956">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2EFA471A">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DA791">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5A498125">
            <w:pPr>
              <w:widowControl/>
              <w:jc w:val="left"/>
              <w:rPr>
                <w:rFonts w:ascii="Times New Roman" w:hAnsi="Times New Roman" w:eastAsia="仿宋_GB2312" w:cs="Times New Roman"/>
                <w:color w:val="000000"/>
                <w:kern w:val="0"/>
                <w:szCs w:val="20"/>
              </w:rPr>
            </w:pPr>
          </w:p>
        </w:tc>
        <w:tc>
          <w:tcPr>
            <w:tcW w:w="929" w:type="dxa"/>
            <w:tcBorders>
              <w:top w:val="nil"/>
              <w:left w:val="nil"/>
              <w:bottom w:val="single" w:color="auto" w:sz="4" w:space="0"/>
              <w:right w:val="single" w:color="auto" w:sz="4" w:space="0"/>
            </w:tcBorders>
            <w:shd w:val="clear" w:color="auto" w:fill="auto"/>
            <w:noWrap/>
            <w:vAlign w:val="center"/>
          </w:tcPr>
          <w:p w14:paraId="71FA0BB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2D3F5E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1A7940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850" w:type="dxa"/>
            <w:tcBorders>
              <w:top w:val="nil"/>
              <w:left w:val="nil"/>
              <w:bottom w:val="single" w:color="auto" w:sz="4" w:space="0"/>
              <w:right w:val="single" w:color="auto" w:sz="4" w:space="0"/>
            </w:tcBorders>
            <w:shd w:val="clear" w:color="auto" w:fill="auto"/>
            <w:noWrap/>
            <w:vAlign w:val="center"/>
          </w:tcPr>
          <w:p w14:paraId="535FF9F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966" w:type="dxa"/>
            <w:tcBorders>
              <w:top w:val="nil"/>
              <w:left w:val="nil"/>
              <w:bottom w:val="single" w:color="auto" w:sz="4" w:space="0"/>
              <w:right w:val="single" w:color="auto" w:sz="4" w:space="0"/>
            </w:tcBorders>
            <w:shd w:val="clear" w:color="auto" w:fill="auto"/>
            <w:noWrap/>
            <w:vAlign w:val="center"/>
          </w:tcPr>
          <w:p w14:paraId="5FAA6E3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36CCD39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2018" w:type="dxa"/>
            <w:tcBorders>
              <w:top w:val="nil"/>
              <w:left w:val="nil"/>
              <w:bottom w:val="single" w:color="auto" w:sz="4" w:space="0"/>
              <w:right w:val="single" w:color="auto" w:sz="4" w:space="0"/>
            </w:tcBorders>
            <w:shd w:val="clear" w:color="auto" w:fill="auto"/>
            <w:noWrap/>
            <w:vAlign w:val="center"/>
          </w:tcPr>
          <w:p w14:paraId="409208C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33" w:type="dxa"/>
            <w:tcBorders>
              <w:top w:val="nil"/>
              <w:left w:val="nil"/>
              <w:bottom w:val="single" w:color="auto" w:sz="4" w:space="0"/>
              <w:right w:val="single" w:color="auto" w:sz="4" w:space="0"/>
            </w:tcBorders>
            <w:shd w:val="clear" w:color="auto" w:fill="auto"/>
            <w:noWrap/>
            <w:vAlign w:val="center"/>
          </w:tcPr>
          <w:p w14:paraId="17B14B8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0438349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517" w:type="dxa"/>
            <w:tcBorders>
              <w:top w:val="nil"/>
              <w:left w:val="nil"/>
              <w:bottom w:val="single" w:color="auto" w:sz="4" w:space="0"/>
              <w:right w:val="single" w:color="auto" w:sz="4" w:space="0"/>
            </w:tcBorders>
            <w:shd w:val="clear" w:color="auto" w:fill="auto"/>
            <w:noWrap/>
            <w:vAlign w:val="center"/>
          </w:tcPr>
          <w:p w14:paraId="1EDB8AA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929" w:type="dxa"/>
            <w:tcBorders>
              <w:top w:val="nil"/>
              <w:left w:val="nil"/>
              <w:bottom w:val="single" w:color="auto" w:sz="4" w:space="0"/>
              <w:right w:val="single" w:color="auto" w:sz="4" w:space="0"/>
            </w:tcBorders>
            <w:shd w:val="clear" w:color="auto" w:fill="auto"/>
            <w:noWrap/>
            <w:vAlign w:val="center"/>
          </w:tcPr>
          <w:p w14:paraId="37D38D3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FB4EAB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3701EA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850" w:type="dxa"/>
            <w:tcBorders>
              <w:top w:val="nil"/>
              <w:left w:val="nil"/>
              <w:bottom w:val="single" w:color="auto" w:sz="4" w:space="0"/>
              <w:right w:val="single" w:color="auto" w:sz="4" w:space="0"/>
            </w:tcBorders>
            <w:shd w:val="clear" w:color="auto" w:fill="auto"/>
            <w:noWrap/>
            <w:vAlign w:val="center"/>
          </w:tcPr>
          <w:p w14:paraId="565DAA2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966" w:type="dxa"/>
            <w:tcBorders>
              <w:top w:val="nil"/>
              <w:left w:val="nil"/>
              <w:bottom w:val="single" w:color="auto" w:sz="4" w:space="0"/>
              <w:right w:val="single" w:color="auto" w:sz="4" w:space="0"/>
            </w:tcBorders>
            <w:shd w:val="clear" w:color="auto" w:fill="auto"/>
            <w:noWrap/>
            <w:vAlign w:val="center"/>
          </w:tcPr>
          <w:p w14:paraId="1C9BE93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2BE622A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2018" w:type="dxa"/>
            <w:tcBorders>
              <w:top w:val="nil"/>
              <w:left w:val="nil"/>
              <w:bottom w:val="single" w:color="auto" w:sz="4" w:space="0"/>
              <w:right w:val="single" w:color="auto" w:sz="4" w:space="0"/>
            </w:tcBorders>
            <w:shd w:val="clear" w:color="auto" w:fill="auto"/>
            <w:noWrap/>
            <w:vAlign w:val="center"/>
          </w:tcPr>
          <w:p w14:paraId="33E9D88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33" w:type="dxa"/>
            <w:tcBorders>
              <w:top w:val="nil"/>
              <w:left w:val="nil"/>
              <w:bottom w:val="single" w:color="auto" w:sz="4" w:space="0"/>
              <w:right w:val="single" w:color="auto" w:sz="4" w:space="0"/>
            </w:tcBorders>
            <w:shd w:val="clear" w:color="auto" w:fill="auto"/>
            <w:noWrap/>
            <w:vAlign w:val="center"/>
          </w:tcPr>
          <w:p w14:paraId="12D1CD4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5E2D6D8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517" w:type="dxa"/>
            <w:tcBorders>
              <w:top w:val="nil"/>
              <w:left w:val="nil"/>
              <w:bottom w:val="single" w:color="auto" w:sz="4" w:space="0"/>
              <w:right w:val="single" w:color="auto" w:sz="4" w:space="0"/>
            </w:tcBorders>
            <w:shd w:val="clear" w:color="auto" w:fill="auto"/>
            <w:noWrap/>
            <w:vAlign w:val="center"/>
          </w:tcPr>
          <w:p w14:paraId="4D64843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929" w:type="dxa"/>
            <w:tcBorders>
              <w:top w:val="nil"/>
              <w:left w:val="nil"/>
              <w:bottom w:val="single" w:color="auto" w:sz="4" w:space="0"/>
              <w:right w:val="single" w:color="auto" w:sz="4" w:space="0"/>
            </w:tcBorders>
            <w:shd w:val="clear" w:color="auto" w:fill="auto"/>
            <w:noWrap/>
            <w:vAlign w:val="center"/>
          </w:tcPr>
          <w:p w14:paraId="215C808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AB777D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E4CF15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850" w:type="dxa"/>
            <w:tcBorders>
              <w:top w:val="nil"/>
              <w:left w:val="nil"/>
              <w:bottom w:val="single" w:color="auto" w:sz="4" w:space="0"/>
              <w:right w:val="single" w:color="auto" w:sz="4" w:space="0"/>
            </w:tcBorders>
            <w:shd w:val="clear" w:color="auto" w:fill="auto"/>
            <w:noWrap/>
            <w:vAlign w:val="center"/>
          </w:tcPr>
          <w:p w14:paraId="79CB951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704238B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09C9170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2018" w:type="dxa"/>
            <w:tcBorders>
              <w:top w:val="nil"/>
              <w:left w:val="nil"/>
              <w:bottom w:val="single" w:color="auto" w:sz="4" w:space="0"/>
              <w:right w:val="single" w:color="auto" w:sz="4" w:space="0"/>
            </w:tcBorders>
            <w:shd w:val="clear" w:color="auto" w:fill="auto"/>
            <w:noWrap/>
            <w:vAlign w:val="center"/>
          </w:tcPr>
          <w:p w14:paraId="48734D9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33" w:type="dxa"/>
            <w:tcBorders>
              <w:top w:val="nil"/>
              <w:left w:val="nil"/>
              <w:bottom w:val="single" w:color="auto" w:sz="4" w:space="0"/>
              <w:right w:val="single" w:color="auto" w:sz="4" w:space="0"/>
            </w:tcBorders>
            <w:shd w:val="clear" w:color="auto" w:fill="auto"/>
            <w:noWrap/>
            <w:vAlign w:val="center"/>
          </w:tcPr>
          <w:p w14:paraId="108792A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2EB74DF8">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75B3459D">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168BE19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526FC7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59B911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850" w:type="dxa"/>
            <w:tcBorders>
              <w:top w:val="nil"/>
              <w:left w:val="nil"/>
              <w:bottom w:val="single" w:color="auto" w:sz="4" w:space="0"/>
              <w:right w:val="single" w:color="auto" w:sz="4" w:space="0"/>
            </w:tcBorders>
            <w:shd w:val="clear" w:color="auto" w:fill="auto"/>
            <w:noWrap/>
            <w:vAlign w:val="center"/>
          </w:tcPr>
          <w:p w14:paraId="12FBCAE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966" w:type="dxa"/>
            <w:tcBorders>
              <w:top w:val="nil"/>
              <w:left w:val="nil"/>
              <w:bottom w:val="single" w:color="auto" w:sz="4" w:space="0"/>
              <w:right w:val="single" w:color="auto" w:sz="4" w:space="0"/>
            </w:tcBorders>
            <w:shd w:val="clear" w:color="auto" w:fill="auto"/>
            <w:noWrap/>
            <w:vAlign w:val="center"/>
          </w:tcPr>
          <w:p w14:paraId="0E9F413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6EA88D9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2018" w:type="dxa"/>
            <w:tcBorders>
              <w:top w:val="nil"/>
              <w:left w:val="nil"/>
              <w:bottom w:val="single" w:color="auto" w:sz="4" w:space="0"/>
              <w:right w:val="single" w:color="auto" w:sz="4" w:space="0"/>
            </w:tcBorders>
            <w:shd w:val="clear" w:color="auto" w:fill="auto"/>
            <w:noWrap/>
            <w:vAlign w:val="center"/>
          </w:tcPr>
          <w:p w14:paraId="64977D4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933" w:type="dxa"/>
            <w:tcBorders>
              <w:top w:val="nil"/>
              <w:left w:val="nil"/>
              <w:bottom w:val="single" w:color="auto" w:sz="4" w:space="0"/>
              <w:right w:val="single" w:color="auto" w:sz="4" w:space="0"/>
            </w:tcBorders>
            <w:shd w:val="clear" w:color="auto" w:fill="auto"/>
            <w:noWrap/>
            <w:vAlign w:val="center"/>
          </w:tcPr>
          <w:p w14:paraId="04E8086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6464B0C0">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1658651E">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2072EDA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6DDE79D">
        <w:tblPrEx>
          <w:tblCellMar>
            <w:top w:w="0" w:type="dxa"/>
            <w:left w:w="108" w:type="dxa"/>
            <w:bottom w:w="0" w:type="dxa"/>
            <w:right w:w="108" w:type="dxa"/>
          </w:tblCellMar>
        </w:tblPrEx>
        <w:trPr>
          <w:trHeight w:val="255" w:hRule="exact"/>
          <w:jc w:val="center"/>
        </w:trPr>
        <w:tc>
          <w:tcPr>
            <w:tcW w:w="39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D96EF08">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966" w:type="dxa"/>
            <w:tcBorders>
              <w:top w:val="nil"/>
              <w:left w:val="nil"/>
              <w:bottom w:val="single" w:color="auto" w:sz="4" w:space="0"/>
              <w:right w:val="single" w:color="auto" w:sz="4" w:space="0"/>
            </w:tcBorders>
            <w:shd w:val="clear" w:color="auto" w:fill="auto"/>
            <w:noWrap/>
            <w:vAlign w:val="center"/>
          </w:tcPr>
          <w:p w14:paraId="3FE7E98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8801" w:type="dxa"/>
            <w:gridSpan w:val="5"/>
            <w:tcBorders>
              <w:top w:val="single" w:color="auto" w:sz="4" w:space="0"/>
              <w:left w:val="nil"/>
              <w:bottom w:val="single" w:color="auto" w:sz="4" w:space="0"/>
              <w:right w:val="single" w:color="auto" w:sz="4" w:space="0"/>
            </w:tcBorders>
            <w:shd w:val="clear" w:color="auto" w:fill="auto"/>
            <w:noWrap/>
            <w:vAlign w:val="center"/>
          </w:tcPr>
          <w:p w14:paraId="01EB0D61">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929" w:type="dxa"/>
            <w:tcBorders>
              <w:top w:val="nil"/>
              <w:left w:val="nil"/>
              <w:bottom w:val="single" w:color="auto" w:sz="4" w:space="0"/>
              <w:right w:val="single" w:color="auto" w:sz="4" w:space="0"/>
            </w:tcBorders>
            <w:shd w:val="clear" w:color="auto" w:fill="auto"/>
            <w:noWrap/>
            <w:vAlign w:val="center"/>
          </w:tcPr>
          <w:p w14:paraId="17DDE16E">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r>
    </w:tbl>
    <w:p w14:paraId="1984BB35">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14:paraId="658600F1">
      <w:pPr>
        <w:widowControl/>
        <w:spacing w:line="400" w:lineRule="exact"/>
        <w:jc w:val="center"/>
        <w:textAlignment w:val="center"/>
        <w:rPr>
          <w:rFonts w:ascii="Times New Roman" w:hAnsi="Times New Roman" w:eastAsia="仿宋_GB2312" w:cs="Times New Roman"/>
          <w:color w:val="000000"/>
          <w:kern w:val="0"/>
          <w:sz w:val="32"/>
          <w:szCs w:val="32"/>
          <w:lang w:bidi="ar"/>
        </w:rPr>
      </w:pPr>
    </w:p>
    <w:p w14:paraId="3196830B">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政府性基金预算财政拨款收入支出决算表</w:t>
      </w:r>
    </w:p>
    <w:p w14:paraId="118C793F">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公开07表</w:t>
      </w:r>
    </w:p>
    <w:p w14:paraId="586058D0">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9"/>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14:paraId="494F7C60">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7B367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Style w:val="16"/>
                <w:rFonts w:hint="default" w:ascii="Times New Roman" w:hAnsi="Times New Roman" w:eastAsia="仿宋_GB2312" w:cs="Times New Roman"/>
                <w:b/>
                <w:bCs/>
                <w:lang w:bidi="ar"/>
              </w:rPr>
              <w:t xml:space="preserve">   </w:t>
            </w:r>
            <w:r>
              <w:rPr>
                <w:rStyle w:val="17"/>
                <w:rFonts w:hint="default" w:ascii="Times New Roman" w:hAnsi="Times New Roman" w:eastAsia="仿宋_GB2312" w:cs="Times New Roman"/>
                <w:b/>
                <w:bCs/>
                <w:lang w:bidi="ar"/>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A576A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760BA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34C81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68532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年末结转和结余</w:t>
            </w:r>
          </w:p>
        </w:tc>
      </w:tr>
      <w:tr w14:paraId="765649BB">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4E394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CF2FE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F3135">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A363C">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5743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53E06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20DC3E">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48589">
            <w:pPr>
              <w:widowControl/>
              <w:jc w:val="center"/>
              <w:rPr>
                <w:rFonts w:ascii="Times New Roman" w:hAnsi="Times New Roman" w:eastAsia="仿宋_GB2312" w:cs="Times New Roman"/>
                <w:color w:val="000000"/>
                <w:sz w:val="24"/>
                <w:szCs w:val="24"/>
              </w:rPr>
            </w:pPr>
          </w:p>
        </w:tc>
      </w:tr>
      <w:tr w14:paraId="30C5F1CC">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8BD25">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5BB7E">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90439">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B530D">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422B3">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C0147">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1BFF2">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A0CF8">
            <w:pPr>
              <w:jc w:val="center"/>
              <w:rPr>
                <w:rFonts w:ascii="Times New Roman" w:hAnsi="Times New Roman" w:eastAsia="仿宋_GB2312" w:cs="Times New Roman"/>
                <w:color w:val="000000"/>
                <w:sz w:val="24"/>
                <w:szCs w:val="24"/>
              </w:rPr>
            </w:pPr>
          </w:p>
        </w:tc>
      </w:tr>
      <w:tr w14:paraId="33B483B1">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81865">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2B021">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7B1F1">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9CC14">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A2D19">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9CF9D">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B048C">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CF7B0">
            <w:pPr>
              <w:jc w:val="center"/>
              <w:rPr>
                <w:rFonts w:ascii="Times New Roman" w:hAnsi="Times New Roman" w:eastAsia="仿宋_GB2312" w:cs="Times New Roman"/>
                <w:color w:val="000000"/>
                <w:sz w:val="24"/>
                <w:szCs w:val="24"/>
              </w:rPr>
            </w:pPr>
          </w:p>
        </w:tc>
      </w:tr>
      <w:tr w14:paraId="07472BB0">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4C06D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A7A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422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A41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271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854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B57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r>
      <w:tr w14:paraId="499F508E">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5C0D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2B77">
            <w:pPr>
              <w:jc w:val="cente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7884">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1B7A">
            <w:pPr>
              <w:jc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50A8">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9528">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6AD0">
            <w:pPr>
              <w:jc w:val="center"/>
              <w:rPr>
                <w:rFonts w:ascii="Times New Roman" w:hAnsi="Times New Roman" w:eastAsia="仿宋_GB2312" w:cs="Times New Roman"/>
                <w:color w:val="000000"/>
                <w:sz w:val="24"/>
                <w:szCs w:val="24"/>
              </w:rPr>
            </w:pPr>
          </w:p>
        </w:tc>
      </w:tr>
      <w:tr w14:paraId="6539C7FD">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405F">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1E29">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1803">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D8C7">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CB70">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B97E">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F2AA">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47C4">
            <w:pPr>
              <w:rPr>
                <w:rFonts w:ascii="Times New Roman" w:hAnsi="Times New Roman" w:eastAsia="仿宋_GB2312" w:cs="Times New Roman"/>
                <w:color w:val="000000"/>
                <w:sz w:val="24"/>
                <w:szCs w:val="24"/>
              </w:rPr>
            </w:pPr>
          </w:p>
        </w:tc>
      </w:tr>
      <w:tr w14:paraId="4F26F344">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FA1B">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E8A0">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2E13">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570B">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CB44">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8975">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B060">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C9C5">
            <w:pPr>
              <w:rPr>
                <w:rFonts w:ascii="Times New Roman" w:hAnsi="Times New Roman" w:eastAsia="仿宋_GB2312" w:cs="Times New Roman"/>
                <w:color w:val="000000"/>
                <w:sz w:val="24"/>
                <w:szCs w:val="24"/>
              </w:rPr>
            </w:pPr>
          </w:p>
        </w:tc>
      </w:tr>
      <w:tr w14:paraId="56EBF1B5">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DD0D1">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A426">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A673">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502F">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375B">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41BE">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A473">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ED68">
            <w:pPr>
              <w:rPr>
                <w:rFonts w:ascii="Times New Roman" w:hAnsi="Times New Roman" w:eastAsia="仿宋_GB2312" w:cs="Times New Roman"/>
                <w:color w:val="000000"/>
                <w:sz w:val="24"/>
                <w:szCs w:val="24"/>
              </w:rPr>
            </w:pPr>
          </w:p>
        </w:tc>
      </w:tr>
      <w:tr w14:paraId="522FE6F3">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8080">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580C">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287A">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CDA2">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8A91">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772C">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FB21">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4EE5">
            <w:pPr>
              <w:rPr>
                <w:rFonts w:ascii="Times New Roman" w:hAnsi="Times New Roman" w:eastAsia="仿宋_GB2312" w:cs="Times New Roman"/>
                <w:color w:val="000000"/>
                <w:sz w:val="24"/>
                <w:szCs w:val="24"/>
              </w:rPr>
            </w:pPr>
          </w:p>
        </w:tc>
      </w:tr>
      <w:tr w14:paraId="5CD49812">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3109">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09A2">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3531">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2E6D">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D435">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30CD">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0E96">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40B8">
            <w:pPr>
              <w:rPr>
                <w:rFonts w:ascii="Times New Roman" w:hAnsi="Times New Roman" w:eastAsia="仿宋_GB2312" w:cs="Times New Roman"/>
                <w:color w:val="000000"/>
                <w:sz w:val="24"/>
                <w:szCs w:val="24"/>
              </w:rPr>
            </w:pPr>
          </w:p>
        </w:tc>
      </w:tr>
      <w:tr w14:paraId="5F497764">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0588">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F639">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A711">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42CD">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F207">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2718">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AF2FB">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B26A">
            <w:pPr>
              <w:rPr>
                <w:rFonts w:ascii="Times New Roman" w:hAnsi="Times New Roman" w:eastAsia="仿宋_GB2312" w:cs="Times New Roman"/>
                <w:color w:val="000000"/>
                <w:sz w:val="24"/>
                <w:szCs w:val="24"/>
              </w:rPr>
            </w:pPr>
          </w:p>
        </w:tc>
      </w:tr>
    </w:tbl>
    <w:p w14:paraId="7A10177A">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注：本表反映部门本年度政府性基金预算财政拨款收入、支出及结转和结余情况。</w:t>
      </w:r>
    </w:p>
    <w:p w14:paraId="579EA18F">
      <w:pPr>
        <w:widowControl/>
        <w:jc w:val="left"/>
        <w:textAlignment w:val="center"/>
        <w:rPr>
          <w:rFonts w:ascii="Times New Roman" w:hAnsi="Times New Roman" w:eastAsia="仿宋_GB2312" w:cs="Times New Roman"/>
          <w:color w:val="000000"/>
          <w:kern w:val="0"/>
          <w:sz w:val="24"/>
          <w:szCs w:val="24"/>
          <w:lang w:bidi="ar"/>
        </w:rPr>
      </w:pPr>
    </w:p>
    <w:p w14:paraId="0DA0E17A">
      <w:pPr>
        <w:widowControl/>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b/>
          <w:bCs/>
          <w:kern w:val="0"/>
          <w:sz w:val="24"/>
          <w:szCs w:val="24"/>
          <w:lang w:bidi="ar"/>
        </w:rPr>
        <w:t>说明：我单位没有政府性基金收入，也没有使用政府性基金安排的支出，故本表无数据。（当表格数据为空时，应有此说明）</w:t>
      </w:r>
    </w:p>
    <w:p w14:paraId="0C57F1BC">
      <w:pPr>
        <w:widowControl/>
        <w:jc w:val="center"/>
        <w:rPr>
          <w:rFonts w:ascii="Times New Roman" w:hAnsi="Times New Roman" w:eastAsia="方正小标宋_GBK" w:cs="Times New Roman"/>
          <w:color w:val="000000"/>
          <w:kern w:val="0"/>
          <w:sz w:val="36"/>
          <w:szCs w:val="36"/>
        </w:rPr>
      </w:pPr>
    </w:p>
    <w:p w14:paraId="5A0842DA">
      <w:pPr>
        <w:widowControl/>
        <w:spacing w:line="400" w:lineRule="exact"/>
        <w:textAlignment w:val="center"/>
        <w:rPr>
          <w:rFonts w:ascii="Times New Roman" w:hAnsi="Times New Roman" w:eastAsia="黑体" w:cs="Times New Roman"/>
          <w:color w:val="000000"/>
          <w:kern w:val="0"/>
          <w:sz w:val="36"/>
          <w:szCs w:val="36"/>
          <w:lang w:bidi="ar"/>
        </w:rPr>
      </w:pPr>
    </w:p>
    <w:p w14:paraId="09C06434">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国有资本经营预算财政拨款支出决算表</w:t>
      </w:r>
    </w:p>
    <w:p w14:paraId="4FB73B6B">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公开08表</w:t>
      </w:r>
    </w:p>
    <w:p w14:paraId="2E42A271">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9"/>
        <w:tblW w:w="4999" w:type="pct"/>
        <w:tblInd w:w="0" w:type="dxa"/>
        <w:tblLayout w:type="autofit"/>
        <w:tblCellMar>
          <w:top w:w="0" w:type="dxa"/>
          <w:left w:w="108" w:type="dxa"/>
          <w:bottom w:w="0" w:type="dxa"/>
          <w:right w:w="108" w:type="dxa"/>
        </w:tblCellMar>
      </w:tblPr>
      <w:tblGrid>
        <w:gridCol w:w="3094"/>
        <w:gridCol w:w="3097"/>
        <w:gridCol w:w="1832"/>
        <w:gridCol w:w="3097"/>
        <w:gridCol w:w="3097"/>
      </w:tblGrid>
      <w:tr w14:paraId="0BE79B68">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2ADB7">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Fonts w:ascii="Times New Roman" w:hAnsi="Times New Roman" w:eastAsia="仿宋_GB2312" w:cs="Times New Roman"/>
                <w:b/>
                <w:bCs/>
                <w:color w:val="000000"/>
                <w:kern w:val="0"/>
                <w:sz w:val="22"/>
                <w:lang w:bidi="ar"/>
              </w:rPr>
              <w:t xml:space="preserve">   </w:t>
            </w:r>
            <w:r>
              <w:rPr>
                <w:rStyle w:val="18"/>
                <w:rFonts w:hint="default" w:ascii="Times New Roman" w:hAnsi="Times New Roman" w:eastAsia="仿宋_GB2312" w:cs="Times New Roman"/>
                <w:b/>
                <w:bCs/>
                <w:lang w:bidi="ar"/>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F4F9A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r>
      <w:tr w14:paraId="272D4696">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A5FFA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DB82A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F0F4C">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31822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95556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r>
      <w:tr w14:paraId="09162E13">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4AF4B">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DA0A8">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AB2A7">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A77F0">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9EE42">
            <w:pPr>
              <w:jc w:val="center"/>
              <w:rPr>
                <w:rFonts w:ascii="Times New Roman" w:hAnsi="Times New Roman" w:eastAsia="仿宋_GB2312" w:cs="Times New Roman"/>
                <w:color w:val="000000"/>
                <w:sz w:val="24"/>
                <w:szCs w:val="24"/>
              </w:rPr>
            </w:pPr>
          </w:p>
        </w:tc>
      </w:tr>
      <w:tr w14:paraId="273B0F6D">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8AB6E">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52D68">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62D8A">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7B46D">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D1031">
            <w:pPr>
              <w:jc w:val="center"/>
              <w:rPr>
                <w:rFonts w:ascii="Times New Roman" w:hAnsi="Times New Roman" w:eastAsia="仿宋_GB2312" w:cs="Times New Roman"/>
                <w:color w:val="000000"/>
                <w:sz w:val="24"/>
                <w:szCs w:val="24"/>
              </w:rPr>
            </w:pPr>
          </w:p>
        </w:tc>
      </w:tr>
      <w:tr w14:paraId="1A14B348">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FBF6E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AC78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27F4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E245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r>
      <w:tr w14:paraId="579DDCCF">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0D60A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A8C20">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7D1F0">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3C8FE">
            <w:pPr>
              <w:jc w:val="center"/>
              <w:rPr>
                <w:rFonts w:ascii="Times New Roman" w:hAnsi="Times New Roman" w:eastAsia="仿宋_GB2312" w:cs="Times New Roman"/>
                <w:color w:val="000000"/>
                <w:sz w:val="24"/>
                <w:szCs w:val="24"/>
              </w:rPr>
            </w:pPr>
          </w:p>
        </w:tc>
      </w:tr>
      <w:tr w14:paraId="4BA8CEA8">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0BC98">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412ED">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FB765">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6EB04">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3B267">
            <w:pPr>
              <w:rPr>
                <w:rFonts w:ascii="Times New Roman" w:hAnsi="Times New Roman" w:eastAsia="仿宋_GB2312" w:cs="Times New Roman"/>
                <w:color w:val="000000"/>
                <w:sz w:val="24"/>
                <w:szCs w:val="24"/>
              </w:rPr>
            </w:pPr>
          </w:p>
        </w:tc>
      </w:tr>
      <w:tr w14:paraId="407006F0">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952DC">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DA8AC">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6F4F8">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9A4D8">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D803E">
            <w:pPr>
              <w:rPr>
                <w:rFonts w:ascii="Times New Roman" w:hAnsi="Times New Roman" w:eastAsia="仿宋_GB2312" w:cs="Times New Roman"/>
                <w:color w:val="000000"/>
                <w:sz w:val="24"/>
                <w:szCs w:val="24"/>
              </w:rPr>
            </w:pPr>
          </w:p>
        </w:tc>
      </w:tr>
      <w:tr w14:paraId="4B01EAD1">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ADDD0">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FA97C">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EA590">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3A5AA">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2387E">
            <w:pPr>
              <w:rPr>
                <w:rFonts w:ascii="Times New Roman" w:hAnsi="Times New Roman" w:eastAsia="宋体" w:cs="Times New Roman"/>
                <w:color w:val="000000"/>
                <w:sz w:val="24"/>
                <w:szCs w:val="24"/>
              </w:rPr>
            </w:pPr>
          </w:p>
        </w:tc>
      </w:tr>
      <w:tr w14:paraId="2CA594D4">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83347">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F066F">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271A4">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65A76">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DE9AE">
            <w:pPr>
              <w:rPr>
                <w:rFonts w:ascii="Times New Roman" w:hAnsi="Times New Roman" w:eastAsia="宋体" w:cs="Times New Roman"/>
                <w:color w:val="000000"/>
                <w:sz w:val="24"/>
                <w:szCs w:val="24"/>
              </w:rPr>
            </w:pPr>
          </w:p>
        </w:tc>
      </w:tr>
      <w:tr w14:paraId="78B0F0DF">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15A08">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48D35">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4C0A9">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88CFB">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C1984">
            <w:pPr>
              <w:rPr>
                <w:rFonts w:ascii="Times New Roman" w:hAnsi="Times New Roman" w:eastAsia="宋体" w:cs="Times New Roman"/>
                <w:color w:val="000000"/>
                <w:sz w:val="24"/>
                <w:szCs w:val="24"/>
              </w:rPr>
            </w:pPr>
          </w:p>
        </w:tc>
      </w:tr>
      <w:tr w14:paraId="64E9895D">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FB344">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5C1C4">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6C8C5">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8E85E">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CA137">
            <w:pPr>
              <w:rPr>
                <w:rFonts w:ascii="Times New Roman" w:hAnsi="Times New Roman" w:eastAsia="宋体" w:cs="Times New Roman"/>
                <w:color w:val="000000"/>
                <w:sz w:val="24"/>
                <w:szCs w:val="24"/>
              </w:rPr>
            </w:pPr>
          </w:p>
        </w:tc>
      </w:tr>
    </w:tbl>
    <w:p w14:paraId="5C43FFA9">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注：本表反映部门本年度国有资本经营预算财政拨款支出情况。</w:t>
      </w:r>
    </w:p>
    <w:p w14:paraId="40528D75">
      <w:pPr>
        <w:widowControl/>
        <w:jc w:val="left"/>
        <w:textAlignment w:val="center"/>
        <w:rPr>
          <w:rFonts w:ascii="Times New Roman" w:hAnsi="Times New Roman" w:eastAsia="宋体" w:cs="Times New Roman"/>
          <w:color w:val="000000"/>
          <w:kern w:val="0"/>
          <w:sz w:val="24"/>
          <w:szCs w:val="24"/>
          <w:lang w:bidi="ar"/>
        </w:rPr>
      </w:pPr>
    </w:p>
    <w:p w14:paraId="0BD37274">
      <w:pPr>
        <w:widowControl/>
        <w:jc w:val="left"/>
        <w:textAlignment w:val="center"/>
        <w:rPr>
          <w:rFonts w:ascii="Times New Roman" w:hAnsi="Times New Roman" w:eastAsia="楷体_GB2312" w:cs="Times New Roman"/>
          <w:color w:val="000000"/>
          <w:kern w:val="0"/>
          <w:sz w:val="24"/>
          <w:szCs w:val="24"/>
          <w:lang w:bidi="ar"/>
        </w:rPr>
      </w:pPr>
      <w:r>
        <w:rPr>
          <w:rFonts w:ascii="Times New Roman" w:hAnsi="Times New Roman" w:eastAsia="楷体_GB2312" w:cs="Times New Roman"/>
          <w:b/>
          <w:bCs/>
          <w:kern w:val="0"/>
          <w:sz w:val="24"/>
          <w:szCs w:val="24"/>
          <w:lang w:bidi="ar"/>
        </w:rPr>
        <w:t>说明：我单位没有使用国有资本经营预算安排的支出，故本表无数据。（当表格数据为空时，应有此说明）</w:t>
      </w:r>
    </w:p>
    <w:p w14:paraId="7543D446">
      <w:pPr>
        <w:widowControl/>
        <w:jc w:val="center"/>
        <w:rPr>
          <w:rFonts w:ascii="Times New Roman" w:hAnsi="Times New Roman" w:eastAsia="方正小标宋_GBK" w:cs="Times New Roman"/>
          <w:color w:val="000000"/>
          <w:kern w:val="0"/>
          <w:sz w:val="36"/>
          <w:szCs w:val="36"/>
        </w:rPr>
      </w:pPr>
    </w:p>
    <w:p w14:paraId="22C82A1C">
      <w:pPr>
        <w:pStyle w:val="7"/>
        <w:spacing w:line="400" w:lineRule="exact"/>
        <w:rPr>
          <w:rFonts w:ascii="Times New Roman" w:hAnsi="Times New Roman" w:eastAsia="华文中宋" w:cs="Times New Roman"/>
          <w:color w:val="000000"/>
          <w:kern w:val="0"/>
          <w:sz w:val="32"/>
          <w:szCs w:val="32"/>
          <w:lang w:bidi="ar"/>
        </w:rPr>
      </w:pPr>
    </w:p>
    <w:p w14:paraId="5B6F18CD">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财政拨款“三公”经费支出决算表</w:t>
      </w:r>
    </w:p>
    <w:p w14:paraId="0F0B87C2">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公开09表</w:t>
      </w:r>
    </w:p>
    <w:p w14:paraId="4EF51317">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lang w:bidi="ar"/>
        </w:rPr>
        <w:t>部门：</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单位：万元</w:t>
      </w:r>
    </w:p>
    <w:tbl>
      <w:tblPr>
        <w:tblStyle w:val="9"/>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14:paraId="22349CD9">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CD5881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F4DEE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决算数</w:t>
            </w:r>
          </w:p>
        </w:tc>
      </w:tr>
      <w:tr w14:paraId="603D191D">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FE8C2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C1E8EF">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D5B00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8F1DB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DDE4D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E77A9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1FAB2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0364C1">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r>
      <w:tr w14:paraId="4617BCD7">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56F3B">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10F8D">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4A1D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618D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D8D94">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E8F31">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BDF76">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C73F1">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59C9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2D2F2">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62896">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87398">
            <w:pPr>
              <w:jc w:val="center"/>
              <w:rPr>
                <w:rFonts w:ascii="Times New Roman" w:hAnsi="Times New Roman" w:eastAsia="仿宋_GB2312" w:cs="Times New Roman"/>
                <w:color w:val="000000"/>
                <w:sz w:val="22"/>
              </w:rPr>
            </w:pPr>
          </w:p>
        </w:tc>
      </w:tr>
      <w:tr w14:paraId="317956AB">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479D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DF78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F2E9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FFA4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7344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522F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9A5E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835F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686F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1350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83FE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5ED6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r>
      <w:tr w14:paraId="73C13A36">
        <w:tblPrEx>
          <w:tblCellMar>
            <w:top w:w="0" w:type="dxa"/>
            <w:left w:w="108" w:type="dxa"/>
            <w:bottom w:w="0" w:type="dxa"/>
            <w:right w:w="108" w:type="dxa"/>
          </w:tblCellMar>
        </w:tblPrEx>
        <w:trPr>
          <w:trHeight w:val="579"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501F5">
            <w:pPr>
              <w:rPr>
                <w:rFonts w:ascii="Times New Roman" w:hAnsi="Times New Roman" w:eastAsia="仿宋_GB2312" w:cs="Times New Roman"/>
                <w:color w:val="000000"/>
                <w:sz w:val="22"/>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36085">
            <w:pP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BB0DA">
            <w:pPr>
              <w:rPr>
                <w:rFonts w:ascii="Times New Roman" w:hAnsi="Times New Roman" w:eastAsia="仿宋_GB2312" w:cs="Times New Roman"/>
                <w:color w:val="000000"/>
                <w:sz w:val="22"/>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BC129">
            <w:pPr>
              <w:rPr>
                <w:rFonts w:ascii="Times New Roman" w:hAnsi="Times New Roman" w:eastAsia="仿宋_GB2312" w:cs="Times New Roman"/>
                <w:color w:val="000000"/>
                <w:sz w:val="22"/>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B5525">
            <w:pPr>
              <w:rPr>
                <w:rFonts w:ascii="Times New Roman" w:hAnsi="Times New Roman" w:eastAsia="仿宋_GB2312" w:cs="Times New Roman"/>
                <w:color w:val="000000"/>
                <w:sz w:val="22"/>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EB89A">
            <w:pPr>
              <w:rPr>
                <w:rFonts w:ascii="Times New Roman" w:hAnsi="Times New Roman" w:eastAsia="仿宋_GB2312" w:cs="Times New Roman"/>
                <w:color w:val="000000"/>
                <w:sz w:val="22"/>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87C32">
            <w:pP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B4F67">
            <w:pP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E9882">
            <w:pP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46FA5">
            <w:pPr>
              <w:rPr>
                <w:rFonts w:ascii="Times New Roman" w:hAnsi="Times New Roman" w:eastAsia="仿宋_GB2312" w:cs="Times New Roman"/>
                <w:color w:val="000000"/>
                <w:sz w:val="22"/>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FA87E">
            <w:pPr>
              <w:rPr>
                <w:rFonts w:ascii="Times New Roman" w:hAnsi="Times New Roman" w:eastAsia="仿宋_GB2312" w:cs="Times New Roman"/>
                <w:color w:val="000000"/>
                <w:sz w:val="22"/>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ACDB6">
            <w:pPr>
              <w:rPr>
                <w:rFonts w:ascii="Times New Roman" w:hAnsi="Times New Roman" w:eastAsia="仿宋_GB2312" w:cs="Times New Roman"/>
                <w:color w:val="000000"/>
                <w:sz w:val="22"/>
              </w:rPr>
            </w:pPr>
          </w:p>
        </w:tc>
      </w:tr>
    </w:tbl>
    <w:p w14:paraId="1FD12B37">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p w14:paraId="2CB966E0">
      <w:pPr>
        <w:autoSpaceDE w:val="0"/>
        <w:autoSpaceDN w:val="0"/>
        <w:adjustRightInd w:val="0"/>
        <w:ind w:left="315" w:leftChars="150"/>
        <w:jc w:val="left"/>
        <w:rPr>
          <w:rFonts w:ascii="Times New Roman" w:hAnsi="Times New Roman" w:eastAsia="宋体" w:cs="Times New Roman"/>
          <w:kern w:val="0"/>
          <w:sz w:val="24"/>
          <w:szCs w:val="24"/>
        </w:rPr>
      </w:pPr>
    </w:p>
    <w:p w14:paraId="0793B91E">
      <w:pPr>
        <w:autoSpaceDE w:val="0"/>
        <w:autoSpaceDN w:val="0"/>
        <w:adjustRightInd w:val="0"/>
        <w:ind w:left="315" w:leftChars="150"/>
        <w:jc w:val="left"/>
        <w:rPr>
          <w:rFonts w:ascii="Times New Roman" w:hAnsi="Times New Roman" w:eastAsia="宋体" w:cs="Times New Roman"/>
          <w:kern w:val="0"/>
          <w:sz w:val="24"/>
          <w:szCs w:val="24"/>
        </w:rPr>
      </w:pPr>
    </w:p>
    <w:p w14:paraId="0EBB28EF">
      <w:pPr>
        <w:autoSpaceDE w:val="0"/>
        <w:autoSpaceDN w:val="0"/>
        <w:adjustRightInd w:val="0"/>
        <w:ind w:left="315" w:leftChars="150"/>
        <w:jc w:val="left"/>
        <w:rPr>
          <w:rFonts w:ascii="Times New Roman" w:hAnsi="Times New Roman" w:eastAsia="宋体" w:cs="Times New Roman"/>
          <w:kern w:val="0"/>
          <w:sz w:val="24"/>
          <w:szCs w:val="24"/>
        </w:rPr>
      </w:pPr>
    </w:p>
    <w:p w14:paraId="2EE661D3">
      <w:pPr>
        <w:autoSpaceDE w:val="0"/>
        <w:autoSpaceDN w:val="0"/>
        <w:adjustRightInd w:val="0"/>
        <w:ind w:left="315" w:leftChars="150"/>
        <w:jc w:val="left"/>
        <w:rPr>
          <w:rFonts w:ascii="Times New Roman" w:hAnsi="Times New Roman" w:eastAsia="宋体" w:cs="Times New Roman"/>
          <w:kern w:val="0"/>
          <w:sz w:val="24"/>
          <w:szCs w:val="24"/>
        </w:rPr>
      </w:pPr>
    </w:p>
    <w:p w14:paraId="67F06032">
      <w:pPr>
        <w:autoSpaceDE w:val="0"/>
        <w:autoSpaceDN w:val="0"/>
        <w:adjustRightInd w:val="0"/>
        <w:ind w:left="315" w:leftChars="150"/>
        <w:jc w:val="left"/>
        <w:rPr>
          <w:rFonts w:ascii="Times New Roman" w:hAnsi="Times New Roman" w:eastAsia="宋体" w:cs="Times New Roman"/>
          <w:kern w:val="0"/>
          <w:sz w:val="24"/>
          <w:szCs w:val="24"/>
        </w:rPr>
      </w:pPr>
    </w:p>
    <w:p w14:paraId="5FB7B48A">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szCs w:val="21"/>
        </w:rPr>
        <w:br w:type="page"/>
      </w:r>
    </w:p>
    <w:p w14:paraId="0E7B6410">
      <w:pPr>
        <w:pStyle w:val="13"/>
        <w:rPr>
          <w:rFonts w:ascii="Times New Roman" w:hAnsi="Times New Roman" w:cs="Times New Roman"/>
          <w:sz w:val="72"/>
          <w:szCs w:val="72"/>
        </w:rPr>
      </w:pPr>
    </w:p>
    <w:p w14:paraId="2C363E1B">
      <w:pPr>
        <w:pStyle w:val="13"/>
        <w:rPr>
          <w:rFonts w:ascii="Times New Roman" w:hAnsi="Times New Roman" w:cs="Times New Roman"/>
          <w:sz w:val="72"/>
          <w:szCs w:val="72"/>
        </w:rPr>
      </w:pPr>
    </w:p>
    <w:p w14:paraId="7A1CCD23">
      <w:pPr>
        <w:pStyle w:val="13"/>
        <w:rPr>
          <w:rFonts w:ascii="Times New Roman" w:hAnsi="Times New Roman" w:cs="Times New Roman"/>
          <w:sz w:val="72"/>
          <w:szCs w:val="72"/>
        </w:rPr>
      </w:pPr>
    </w:p>
    <w:p w14:paraId="698022AD">
      <w:pPr>
        <w:pStyle w:val="13"/>
        <w:jc w:val="center"/>
        <w:rPr>
          <w:rFonts w:ascii="Times New Roman" w:hAnsi="Times New Roman" w:cs="Times New Roman"/>
          <w:sz w:val="72"/>
          <w:szCs w:val="72"/>
        </w:rPr>
      </w:pPr>
    </w:p>
    <w:p w14:paraId="0D6FBCDF">
      <w:pPr>
        <w:pStyle w:val="13"/>
        <w:jc w:val="center"/>
        <w:rPr>
          <w:rFonts w:ascii="Times New Roman" w:hAnsi="Times New Roman" w:eastAsia="方正小标宋_GBK" w:cs="Times New Roman"/>
          <w:sz w:val="72"/>
          <w:szCs w:val="72"/>
        </w:rPr>
      </w:pPr>
    </w:p>
    <w:p w14:paraId="39562A4D">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729F60A2">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01E4D9EC">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3C856125">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0492514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ascii="Times New Roman" w:hAnsi="Times New Roman" w:eastAsia="仿宋_GB2312" w:cs="Times New Roman"/>
          <w:sz w:val="32"/>
          <w:szCs w:val="32"/>
        </w:rPr>
        <w:t>2024年度收、支总计</w:t>
      </w:r>
      <w:r>
        <w:rPr>
          <w:rFonts w:hint="eastAsia" w:ascii="仿宋_GB2312" w:hAnsi="仿宋_GB2312" w:eastAsia="仿宋_GB2312"/>
          <w:sz w:val="32"/>
          <w:szCs w:val="24"/>
          <w:lang w:val="en-US"/>
        </w:rPr>
        <w:t>8,909.85</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2751.21</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23.59</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eastAsia="zh-CN"/>
        </w:rPr>
        <w:t>：一、</w:t>
      </w:r>
      <w:r>
        <w:rPr>
          <w:rFonts w:hint="eastAsia" w:ascii="Times New Roman" w:hAnsi="Times New Roman" w:eastAsia="仿宋_GB2312"/>
          <w:sz w:val="32"/>
          <w:szCs w:val="32"/>
        </w:rPr>
        <w:t>从2020年起，因新冠疫情防控的需要，全怀化市的新冠</w:t>
      </w:r>
      <w:r>
        <w:rPr>
          <w:rFonts w:hint="eastAsia" w:ascii="Times New Roman" w:hAnsi="Times New Roman" w:eastAsia="仿宋_GB2312"/>
          <w:sz w:val="32"/>
          <w:szCs w:val="32"/>
          <w:lang w:eastAsia="zh-CN"/>
        </w:rPr>
        <w:t>控</w:t>
      </w:r>
      <w:r>
        <w:rPr>
          <w:rFonts w:hint="eastAsia" w:ascii="Times New Roman" w:hAnsi="Times New Roman" w:eastAsia="仿宋_GB2312"/>
          <w:sz w:val="32"/>
          <w:szCs w:val="32"/>
        </w:rPr>
        <w:t>经费纳入本单位账务管理，202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年怀化市</w:t>
      </w:r>
      <w:r>
        <w:rPr>
          <w:rFonts w:hint="eastAsia" w:ascii="Times New Roman" w:hAnsi="Times New Roman" w:eastAsia="仿宋_GB2312"/>
          <w:sz w:val="32"/>
          <w:szCs w:val="32"/>
          <w:lang w:eastAsia="zh-CN"/>
        </w:rPr>
        <w:t>本级</w:t>
      </w:r>
      <w:r>
        <w:rPr>
          <w:rFonts w:hint="eastAsia" w:ascii="Times New Roman" w:hAnsi="Times New Roman" w:eastAsia="仿宋_GB2312"/>
          <w:sz w:val="32"/>
          <w:szCs w:val="32"/>
        </w:rPr>
        <w:t>新冠防控经费</w:t>
      </w:r>
      <w:r>
        <w:rPr>
          <w:rFonts w:hint="eastAsia" w:ascii="Times New Roman" w:hAnsi="Times New Roman" w:eastAsia="仿宋_GB2312"/>
          <w:sz w:val="32"/>
          <w:szCs w:val="32"/>
          <w:lang w:eastAsia="zh-CN"/>
        </w:rPr>
        <w:t>主要是用于结算</w:t>
      </w:r>
      <w:r>
        <w:rPr>
          <w:rFonts w:hint="eastAsia" w:ascii="Times New Roman" w:hAnsi="Times New Roman" w:eastAsia="仿宋_GB2312"/>
          <w:sz w:val="32"/>
          <w:szCs w:val="32"/>
          <w:lang w:val="en-US" w:eastAsia="zh-CN"/>
        </w:rPr>
        <w:t>2022年疫情防控开支，</w:t>
      </w:r>
      <w:r>
        <w:rPr>
          <w:rFonts w:hint="eastAsia" w:ascii="Times New Roman" w:hAnsi="Times New Roman" w:eastAsia="仿宋_GB2312"/>
          <w:sz w:val="32"/>
          <w:szCs w:val="32"/>
        </w:rPr>
        <w:t>相比上年</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3582.76</w:t>
      </w:r>
      <w:r>
        <w:rPr>
          <w:rFonts w:hint="eastAsia" w:ascii="Times New Roman" w:hAnsi="Times New Roman" w:eastAsia="仿宋_GB2312"/>
          <w:sz w:val="32"/>
          <w:szCs w:val="32"/>
        </w:rPr>
        <w:t>万元；二、202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年本单位</w:t>
      </w:r>
      <w:r>
        <w:rPr>
          <w:rFonts w:hint="eastAsia" w:ascii="Times New Roman" w:hAnsi="Times New Roman" w:eastAsia="仿宋_GB2312"/>
          <w:sz w:val="32"/>
          <w:szCs w:val="32"/>
          <w:lang w:eastAsia="zh-CN"/>
        </w:rPr>
        <w:t>用于怀化市疾病预防控制中心整体搬迁</w:t>
      </w:r>
      <w:r>
        <w:rPr>
          <w:rFonts w:hint="eastAsia" w:ascii="Times New Roman" w:hAnsi="Times New Roman" w:eastAsia="仿宋_GB2312"/>
          <w:sz w:val="32"/>
          <w:szCs w:val="32"/>
        </w:rPr>
        <w:t>建设资金</w:t>
      </w:r>
      <w:r>
        <w:rPr>
          <w:rFonts w:hint="eastAsia" w:ascii="Times New Roman" w:hAnsi="Times New Roman" w:eastAsia="仿宋_GB2312"/>
          <w:sz w:val="32"/>
          <w:szCs w:val="32"/>
          <w:lang w:val="en-US" w:eastAsia="zh-CN"/>
        </w:rPr>
        <w:t>1042.91</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，比上年增加</w:t>
      </w:r>
      <w:r>
        <w:rPr>
          <w:rFonts w:hint="eastAsia" w:ascii="Times New Roman" w:hAnsi="Times New Roman" w:eastAsia="仿宋_GB2312"/>
          <w:sz w:val="32"/>
          <w:szCs w:val="32"/>
          <w:lang w:val="en-US" w:eastAsia="zh-CN"/>
        </w:rPr>
        <w:t>345.67万元</w:t>
      </w:r>
      <w:r>
        <w:rPr>
          <w:rFonts w:hint="eastAsia" w:ascii="Times New Roman" w:hAnsi="Times New Roman" w:eastAsia="仿宋_GB2312"/>
          <w:sz w:val="32"/>
          <w:szCs w:val="32"/>
          <w:lang w:eastAsia="zh-CN"/>
        </w:rPr>
        <w:t>。</w:t>
      </w:r>
    </w:p>
    <w:p w14:paraId="1A6F9E1F">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293BFC51">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仿宋_GB2312" w:hAnsi="仿宋_GB2312" w:eastAsia="仿宋_GB2312"/>
          <w:sz w:val="32"/>
          <w:szCs w:val="24"/>
          <w:lang w:val="en-US"/>
        </w:rPr>
        <w:t>8,909.85</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8505.52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95.46</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296.35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3.33</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107.98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1.21</w:t>
      </w:r>
      <w:r>
        <w:rPr>
          <w:rFonts w:ascii="Times New Roman" w:hAnsi="Times New Roman" w:eastAsia="仿宋_GB2312" w:cs="Times New Roman"/>
          <w:sz w:val="32"/>
          <w:szCs w:val="32"/>
        </w:rPr>
        <w:t>%。</w:t>
      </w:r>
    </w:p>
    <w:p w14:paraId="7545BA3A">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5B0D2251">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8909.85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3059.28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34.34</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5850.57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65.66</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131470E3">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07C96274">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8505.52</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2725.95</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24.27</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eastAsia="zh-CN"/>
        </w:rPr>
        <w:t>市本级新冠专户结算</w:t>
      </w:r>
      <w:r>
        <w:rPr>
          <w:rFonts w:hint="eastAsia" w:ascii="Times New Roman" w:hAnsi="Times New Roman" w:eastAsia="仿宋_GB2312" w:cs="Times New Roman"/>
          <w:sz w:val="32"/>
          <w:szCs w:val="32"/>
          <w:lang w:val="en-US" w:eastAsia="zh-CN"/>
        </w:rPr>
        <w:t>2022年</w:t>
      </w:r>
      <w:r>
        <w:rPr>
          <w:rFonts w:hint="eastAsia" w:ascii="Times New Roman" w:hAnsi="Times New Roman" w:eastAsia="仿宋_GB2312" w:cs="Times New Roman"/>
          <w:sz w:val="32"/>
          <w:szCs w:val="32"/>
          <w:lang w:eastAsia="zh-CN"/>
        </w:rPr>
        <w:t>疫情期间尾款，资金投入减少。</w:t>
      </w:r>
    </w:p>
    <w:p w14:paraId="7706C579">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1F64AA2A">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386D7F21">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8505.52</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95.46</w:t>
      </w:r>
      <w:r>
        <w:rPr>
          <w:rFonts w:ascii="Times New Roman" w:hAnsi="Times New Roman" w:eastAsia="仿宋_GB2312" w:cs="Times New Roman"/>
          <w:sz w:val="32"/>
          <w:szCs w:val="32"/>
        </w:rPr>
        <w:t>%，与上年相比，财政拨款支出减少</w:t>
      </w:r>
      <w:r>
        <w:rPr>
          <w:rFonts w:hint="eastAsia" w:ascii="Times New Roman" w:hAnsi="Times New Roman" w:eastAsia="仿宋_GB2312" w:cs="Times New Roman"/>
          <w:sz w:val="32"/>
          <w:szCs w:val="32"/>
          <w:lang w:val="en-US" w:eastAsia="zh-CN"/>
        </w:rPr>
        <w:t>2725.95</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24.27</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eastAsia="zh-CN"/>
        </w:rPr>
        <w:t>市本级新冠专户结算</w:t>
      </w:r>
      <w:r>
        <w:rPr>
          <w:rFonts w:hint="eastAsia" w:ascii="Times New Roman" w:hAnsi="Times New Roman" w:eastAsia="仿宋_GB2312" w:cs="Times New Roman"/>
          <w:sz w:val="32"/>
          <w:szCs w:val="32"/>
          <w:lang w:val="en-US" w:eastAsia="zh-CN"/>
        </w:rPr>
        <w:t>2022年</w:t>
      </w:r>
      <w:r>
        <w:rPr>
          <w:rFonts w:hint="eastAsia" w:ascii="Times New Roman" w:hAnsi="Times New Roman" w:eastAsia="仿宋_GB2312" w:cs="Times New Roman"/>
          <w:sz w:val="32"/>
          <w:szCs w:val="32"/>
          <w:lang w:eastAsia="zh-CN"/>
        </w:rPr>
        <w:t>疫情期间尾款，支出减少。</w:t>
      </w:r>
    </w:p>
    <w:p w14:paraId="10DB9107">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3FE09D9D">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8505.52</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0.08</w:t>
      </w:r>
      <w:r>
        <w:rPr>
          <w:rFonts w:ascii="Times New Roman" w:hAnsi="Times New Roman" w:eastAsia="仿宋_GB2312" w:cs="Times New Roman"/>
          <w:sz w:val="32"/>
          <w:szCs w:val="32"/>
        </w:rPr>
        <w:t>%；教育（类）支出</w:t>
      </w:r>
      <w:r>
        <w:rPr>
          <w:rFonts w:hint="eastAsia" w:ascii="Times New Roman" w:hAnsi="Times New Roman" w:eastAsia="仿宋_GB2312" w:cs="Times New Roman"/>
          <w:sz w:val="32"/>
          <w:szCs w:val="32"/>
          <w:lang w:val="en-US" w:eastAsia="zh-CN"/>
        </w:rPr>
        <w:t>19.06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0.22</w:t>
      </w:r>
      <w:r>
        <w:rPr>
          <w:rFonts w:ascii="Times New Roman" w:hAnsi="Times New Roman" w:eastAsia="仿宋_GB2312" w:cs="Times New Roman"/>
          <w:sz w:val="32"/>
          <w:szCs w:val="32"/>
        </w:rPr>
        <w:t>%;</w:t>
      </w:r>
      <w:r>
        <w:rPr>
          <w:rFonts w:hint="eastAsia" w:ascii="Times New Roman" w:hAnsi="Times New Roman" w:eastAsia="仿宋_GB2312"/>
          <w:sz w:val="32"/>
          <w:szCs w:val="32"/>
          <w:lang w:eastAsia="zh-CN"/>
        </w:rPr>
        <w:t>住房保障</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1.36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0.02%</w:t>
      </w:r>
      <w:r>
        <w:rPr>
          <w:rFonts w:hint="eastAsia" w:ascii="Times New Roman" w:hAnsi="Times New Roman" w:eastAsia="仿宋_GB2312"/>
          <w:sz w:val="32"/>
          <w:szCs w:val="32"/>
        </w:rPr>
        <w:t>；卫生健康（类）支出</w:t>
      </w:r>
      <w:r>
        <w:rPr>
          <w:rFonts w:hint="eastAsia" w:ascii="Times New Roman" w:hAnsi="Times New Roman" w:eastAsia="仿宋_GB2312"/>
          <w:sz w:val="32"/>
          <w:szCs w:val="32"/>
          <w:lang w:val="en-US" w:eastAsia="zh-CN"/>
        </w:rPr>
        <w:t>8478.10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99.68</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p>
    <w:p w14:paraId="7A2185A8">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42B7F548">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年度财政拨款支出年初预算数为</w:t>
      </w:r>
      <w:r>
        <w:rPr>
          <w:rFonts w:hint="eastAsia" w:ascii="Times New Roman" w:hAnsi="Times New Roman" w:eastAsia="仿宋_GB2312" w:cs="Times New Roman"/>
          <w:sz w:val="32"/>
          <w:szCs w:val="32"/>
          <w:lang w:val="en-US" w:eastAsia="zh-CN"/>
        </w:rPr>
        <w:t>2727.58</w:t>
      </w:r>
      <w:r>
        <w:rPr>
          <w:rFonts w:hint="eastAsia" w:ascii="Times New Roman" w:hAnsi="Times New Roman" w:eastAsia="仿宋_GB2312" w:cs="Times New Roman"/>
          <w:sz w:val="32"/>
          <w:szCs w:val="32"/>
        </w:rPr>
        <w:t>万元，支出决算数为</w:t>
      </w:r>
      <w:r>
        <w:rPr>
          <w:rFonts w:hint="default" w:ascii="Times New Roman" w:hAnsi="Times New Roman" w:eastAsia="仿宋_GB2312" w:cs="Times New Roman"/>
          <w:sz w:val="32"/>
          <w:szCs w:val="32"/>
          <w:lang w:val="en-US" w:eastAsia="zh-CN"/>
        </w:rPr>
        <w:t>8505.52</w:t>
      </w:r>
      <w:r>
        <w:rPr>
          <w:rFonts w:hint="eastAsia"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320.68</w:t>
      </w:r>
      <w:r>
        <w:rPr>
          <w:rFonts w:hint="eastAsia" w:ascii="Times New Roman" w:hAnsi="Times New Roman" w:eastAsia="仿宋_GB2312" w:cs="Times New Roman"/>
          <w:sz w:val="32"/>
          <w:szCs w:val="32"/>
        </w:rPr>
        <w:t>%，其中：</w:t>
      </w:r>
    </w:p>
    <w:p w14:paraId="3E316C81">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1、一般公共服务支出（类）组织事务（款）其他组织事务支出（项）。</w:t>
      </w:r>
    </w:p>
    <w:p w14:paraId="343C5917">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年初预算为0万元，支出决算为</w:t>
      </w:r>
      <w:r>
        <w:rPr>
          <w:rFonts w:hint="default"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万元，决算数大于年初预算数的主要原因是：追加了</w:t>
      </w:r>
      <w:r>
        <w:rPr>
          <w:rFonts w:hint="eastAsia"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lang w:val="en-US" w:eastAsia="zh-CN"/>
        </w:rPr>
        <w:t>-2024</w:t>
      </w:r>
      <w:r>
        <w:rPr>
          <w:rFonts w:hint="eastAsia" w:ascii="Times New Roman" w:hAnsi="Times New Roman" w:eastAsia="仿宋_GB2312" w:cs="Times New Roman"/>
          <w:sz w:val="32"/>
          <w:szCs w:val="32"/>
          <w:lang w:val="en-US" w:eastAsia="zh-CN"/>
        </w:rPr>
        <w:t>年市直企事业单位引进人才补贴</w:t>
      </w:r>
      <w:r>
        <w:rPr>
          <w:rFonts w:hint="eastAsia" w:ascii="Times New Roman" w:hAnsi="Times New Roman" w:eastAsia="仿宋_GB2312" w:cs="Times New Roman"/>
          <w:sz w:val="32"/>
          <w:szCs w:val="32"/>
          <w:lang w:eastAsia="zh-CN"/>
        </w:rPr>
        <w:t>。</w:t>
      </w:r>
    </w:p>
    <w:p w14:paraId="1EFD3F97">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2、教育支出（类）其他教育支出（款）其他教育支出（项）。</w:t>
      </w:r>
    </w:p>
    <w:p w14:paraId="1D27E1EA">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年初预算为0万元，支出决算为</w:t>
      </w:r>
      <w:r>
        <w:rPr>
          <w:rFonts w:hint="default" w:ascii="Times New Roman" w:hAnsi="Times New Roman" w:eastAsia="仿宋_GB2312" w:cs="Times New Roman"/>
          <w:sz w:val="32"/>
          <w:szCs w:val="32"/>
          <w:lang w:val="en-US" w:eastAsia="zh-CN"/>
        </w:rPr>
        <w:t>19.06</w:t>
      </w:r>
      <w:r>
        <w:rPr>
          <w:rFonts w:hint="eastAsia" w:ascii="Times New Roman" w:hAnsi="Times New Roman" w:eastAsia="仿宋_GB2312" w:cs="Times New Roman"/>
          <w:sz w:val="32"/>
          <w:szCs w:val="32"/>
        </w:rPr>
        <w:t>万元，决算数大于年初预算数的主要原因是：追加了</w:t>
      </w:r>
      <w:r>
        <w:rPr>
          <w:rFonts w:hint="eastAsia" w:ascii="Times New Roman" w:hAnsi="Times New Roman" w:eastAsia="仿宋_GB2312" w:cs="Times New Roman"/>
          <w:sz w:val="32"/>
          <w:szCs w:val="32"/>
          <w:lang w:val="en-US" w:eastAsia="zh-CN"/>
        </w:rPr>
        <w:t>202</w:t>
      </w: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rPr>
        <w:t>市直学校结核病筛查经费</w:t>
      </w:r>
      <w:r>
        <w:rPr>
          <w:rFonts w:hint="eastAsia" w:ascii="Times New Roman" w:hAnsi="Times New Roman" w:eastAsia="仿宋_GB2312" w:cs="Times New Roman"/>
          <w:sz w:val="32"/>
          <w:szCs w:val="32"/>
          <w:lang w:eastAsia="zh-CN"/>
        </w:rPr>
        <w:t>（新生入学结核病筛查）</w:t>
      </w:r>
      <w:r>
        <w:rPr>
          <w:rFonts w:hint="eastAsia" w:ascii="Times New Roman" w:hAnsi="Times New Roman" w:eastAsia="仿宋_GB2312" w:cs="Times New Roman"/>
          <w:sz w:val="32"/>
          <w:szCs w:val="32"/>
        </w:rPr>
        <w:t>。</w:t>
      </w:r>
    </w:p>
    <w:p w14:paraId="4D81013B">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卫生健康支出</w:t>
      </w:r>
      <w:r>
        <w:rPr>
          <w:rFonts w:hint="eastAsia" w:ascii="Times New Roman" w:hAnsi="Times New Roman" w:eastAsia="仿宋_GB2312" w:cs="Times New Roman"/>
          <w:sz w:val="32"/>
          <w:szCs w:val="32"/>
        </w:rPr>
        <w:t>（类）</w:t>
      </w:r>
      <w:r>
        <w:rPr>
          <w:rFonts w:hint="eastAsia" w:ascii="Times New Roman" w:hAnsi="Times New Roman" w:eastAsia="仿宋_GB2312" w:cs="Times New Roman"/>
          <w:sz w:val="32"/>
          <w:szCs w:val="32"/>
          <w:lang w:eastAsia="zh-CN"/>
        </w:rPr>
        <w:t>卫生健康管理事务</w:t>
      </w:r>
      <w:r>
        <w:rPr>
          <w:rFonts w:hint="eastAsia" w:ascii="Times New Roman" w:hAnsi="Times New Roman" w:eastAsia="仿宋_GB2312" w:cs="Times New Roman"/>
          <w:sz w:val="32"/>
          <w:szCs w:val="32"/>
        </w:rPr>
        <w:t>（款）其他</w:t>
      </w:r>
      <w:r>
        <w:rPr>
          <w:rFonts w:hint="eastAsia" w:ascii="Times New Roman" w:hAnsi="Times New Roman" w:eastAsia="仿宋_GB2312" w:cs="Times New Roman"/>
          <w:sz w:val="32"/>
          <w:szCs w:val="32"/>
          <w:lang w:eastAsia="zh-CN"/>
        </w:rPr>
        <w:t>卫生健康管理事务支出</w:t>
      </w:r>
      <w:r>
        <w:rPr>
          <w:rFonts w:hint="eastAsia" w:ascii="Times New Roman" w:hAnsi="Times New Roman" w:eastAsia="仿宋_GB2312" w:cs="Times New Roman"/>
          <w:sz w:val="32"/>
          <w:szCs w:val="32"/>
        </w:rPr>
        <w:t>（项）。</w:t>
      </w:r>
    </w:p>
    <w:p w14:paraId="2B331F78">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年初预算为0万元，支出决算为</w:t>
      </w:r>
      <w:r>
        <w:rPr>
          <w:rFonts w:hint="eastAsia" w:ascii="Times New Roman" w:hAnsi="Times New Roman" w:eastAsia="仿宋_GB2312" w:cs="Times New Roman"/>
          <w:sz w:val="32"/>
          <w:szCs w:val="32"/>
          <w:lang w:val="en-US" w:eastAsia="zh-CN"/>
        </w:rPr>
        <w:t>3.22</w:t>
      </w:r>
      <w:r>
        <w:rPr>
          <w:rFonts w:hint="eastAsia" w:ascii="Times New Roman" w:hAnsi="Times New Roman" w:eastAsia="仿宋_GB2312" w:cs="Times New Roman"/>
          <w:sz w:val="32"/>
          <w:szCs w:val="32"/>
        </w:rPr>
        <w:t>万元，决算数大于年初预算数的主要原因是：追加</w:t>
      </w:r>
      <w:r>
        <w:rPr>
          <w:rFonts w:hint="eastAsia" w:ascii="Times New Roman" w:hAnsi="Times New Roman" w:eastAsia="仿宋_GB2312" w:cs="Times New Roman"/>
          <w:sz w:val="32"/>
          <w:szCs w:val="32"/>
          <w:lang w:eastAsia="zh-CN"/>
        </w:rPr>
        <w:t>结转了特别国债设备物资购置经费，支付设备质保金。</w:t>
      </w:r>
    </w:p>
    <w:p w14:paraId="13AC05D6">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卫生健康支出</w:t>
      </w:r>
      <w:r>
        <w:rPr>
          <w:rFonts w:hint="eastAsia" w:ascii="Times New Roman" w:hAnsi="Times New Roman" w:eastAsia="仿宋_GB2312" w:cs="Times New Roman"/>
          <w:sz w:val="32"/>
          <w:szCs w:val="32"/>
        </w:rPr>
        <w:t>（类）</w:t>
      </w:r>
      <w:r>
        <w:rPr>
          <w:rFonts w:hint="eastAsia" w:ascii="Times New Roman" w:hAnsi="Times New Roman" w:eastAsia="仿宋_GB2312" w:cs="Times New Roman"/>
          <w:sz w:val="32"/>
          <w:szCs w:val="32"/>
          <w:lang w:eastAsia="zh-CN"/>
        </w:rPr>
        <w:t>公立医院</w:t>
      </w:r>
      <w:r>
        <w:rPr>
          <w:rFonts w:hint="eastAsia" w:ascii="Times New Roman" w:hAnsi="Times New Roman" w:eastAsia="仿宋_GB2312" w:cs="Times New Roman"/>
          <w:sz w:val="32"/>
          <w:szCs w:val="32"/>
        </w:rPr>
        <w:t>（款）</w:t>
      </w:r>
      <w:r>
        <w:rPr>
          <w:rFonts w:hint="eastAsia" w:ascii="Times New Roman" w:hAnsi="Times New Roman" w:eastAsia="仿宋_GB2312" w:cs="Times New Roman"/>
          <w:sz w:val="32"/>
          <w:szCs w:val="32"/>
          <w:lang w:eastAsia="zh-CN"/>
        </w:rPr>
        <w:t>其他公立医院</w:t>
      </w:r>
      <w:r>
        <w:rPr>
          <w:rFonts w:hint="eastAsia" w:ascii="Times New Roman" w:hAnsi="Times New Roman" w:eastAsia="仿宋_GB2312" w:cs="Times New Roman"/>
          <w:sz w:val="32"/>
          <w:szCs w:val="32"/>
        </w:rPr>
        <w:t>支出（项）</w:t>
      </w:r>
    </w:p>
    <w:p w14:paraId="54E59881">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6.26</w:t>
      </w:r>
      <w:r>
        <w:rPr>
          <w:rFonts w:hint="eastAsia" w:ascii="Times New Roman" w:hAnsi="Times New Roman" w:eastAsia="仿宋_GB2312" w:cs="Times New Roman"/>
          <w:sz w:val="32"/>
          <w:szCs w:val="32"/>
        </w:rPr>
        <w:t>万元，决算数大于年初预算数的主要原因是：</w:t>
      </w:r>
      <w:r>
        <w:rPr>
          <w:rFonts w:hint="eastAsia" w:ascii="Times New Roman" w:hAnsi="Times New Roman" w:eastAsia="仿宋_GB2312" w:cs="Times New Roman"/>
          <w:sz w:val="32"/>
          <w:szCs w:val="32"/>
          <w:lang w:eastAsia="zh-CN"/>
        </w:rPr>
        <w:t>追加了中央补助医疗服务与保障能力提升经费</w:t>
      </w:r>
      <w:r>
        <w:rPr>
          <w:rFonts w:hint="eastAsia" w:ascii="Times New Roman" w:hAnsi="Times New Roman" w:eastAsia="仿宋_GB2312" w:cs="Times New Roman"/>
          <w:sz w:val="32"/>
          <w:szCs w:val="32"/>
        </w:rPr>
        <w:t>。</w:t>
      </w:r>
    </w:p>
    <w:p w14:paraId="5F1FE469">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卫生健康支出</w:t>
      </w:r>
      <w:r>
        <w:rPr>
          <w:rFonts w:hint="eastAsia" w:ascii="Times New Roman" w:hAnsi="Times New Roman" w:eastAsia="仿宋_GB2312" w:cs="Times New Roman"/>
          <w:sz w:val="32"/>
          <w:szCs w:val="32"/>
        </w:rPr>
        <w:t>（类）</w:t>
      </w:r>
      <w:r>
        <w:rPr>
          <w:rFonts w:hint="eastAsia" w:ascii="Times New Roman" w:hAnsi="Times New Roman" w:eastAsia="仿宋_GB2312" w:cs="Times New Roman"/>
          <w:sz w:val="32"/>
          <w:szCs w:val="32"/>
          <w:lang w:eastAsia="zh-CN"/>
        </w:rPr>
        <w:t>基层医疗卫生机构支出</w:t>
      </w:r>
      <w:r>
        <w:rPr>
          <w:rFonts w:hint="eastAsia" w:ascii="Times New Roman" w:hAnsi="Times New Roman" w:eastAsia="仿宋_GB2312" w:cs="Times New Roman"/>
          <w:sz w:val="32"/>
          <w:szCs w:val="32"/>
        </w:rPr>
        <w:t>（款）其他</w:t>
      </w:r>
      <w:r>
        <w:rPr>
          <w:rFonts w:hint="eastAsia" w:ascii="Times New Roman" w:hAnsi="Times New Roman" w:eastAsia="仿宋_GB2312" w:cs="Times New Roman"/>
          <w:sz w:val="32"/>
          <w:szCs w:val="32"/>
          <w:lang w:eastAsia="zh-CN"/>
        </w:rPr>
        <w:t>基层医疗卫生机构支出</w:t>
      </w:r>
      <w:r>
        <w:rPr>
          <w:rFonts w:hint="eastAsia" w:ascii="Times New Roman" w:hAnsi="Times New Roman" w:eastAsia="仿宋_GB2312" w:cs="Times New Roman"/>
          <w:sz w:val="32"/>
          <w:szCs w:val="32"/>
        </w:rPr>
        <w:t>（项）</w:t>
      </w:r>
    </w:p>
    <w:p w14:paraId="67E80A10">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308.52</w:t>
      </w:r>
      <w:r>
        <w:rPr>
          <w:rFonts w:hint="eastAsia" w:ascii="Times New Roman" w:hAnsi="Times New Roman" w:eastAsia="仿宋_GB2312" w:cs="Times New Roman"/>
          <w:sz w:val="32"/>
          <w:szCs w:val="32"/>
        </w:rPr>
        <w:t>万元，决算数大于预算数的主要原因是：</w:t>
      </w:r>
      <w:r>
        <w:rPr>
          <w:rFonts w:hint="eastAsia" w:ascii="Times New Roman" w:hAnsi="Times New Roman" w:eastAsia="仿宋_GB2312" w:cs="Times New Roman"/>
          <w:sz w:val="32"/>
          <w:szCs w:val="32"/>
          <w:lang w:eastAsia="zh-CN"/>
        </w:rPr>
        <w:t>追加了中央补助医疗服务与保障能力提升经费</w:t>
      </w:r>
      <w:r>
        <w:rPr>
          <w:rFonts w:hint="eastAsia" w:ascii="Times New Roman" w:hAnsi="Times New Roman" w:eastAsia="仿宋_GB2312" w:cs="Times New Roman"/>
          <w:sz w:val="32"/>
          <w:szCs w:val="32"/>
        </w:rPr>
        <w:t>。</w:t>
      </w:r>
    </w:p>
    <w:p w14:paraId="27E7DD3A">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、卫生健康支出（类）公共卫生（款）疾病预防控制机构（项）</w:t>
      </w:r>
    </w:p>
    <w:p w14:paraId="5A0A6310">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初预算为2727.58万元，支出决算为6023.06万元，预算数大于决算数的主要原因是：追加了结转上年市本级新冠专户疫情防控补助资金3299.96万元</w:t>
      </w:r>
      <w:r>
        <w:rPr>
          <w:rFonts w:hint="eastAsia" w:ascii="Times New Roman" w:hAnsi="Times New Roman" w:eastAsia="仿宋_GB2312" w:cs="Times New Roman"/>
          <w:sz w:val="32"/>
          <w:szCs w:val="32"/>
        </w:rPr>
        <w:t>。</w:t>
      </w:r>
    </w:p>
    <w:p w14:paraId="6781F0BA">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卫生健康支出（类）公共卫生（款）重大公共卫生服务（项）</w:t>
      </w:r>
    </w:p>
    <w:p w14:paraId="104A6833">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初预算为0万元，支出决算为710.88万元，预算数小于决算数的主要原因是：追加了2024年中央补助重大传染病防控经费</w:t>
      </w:r>
      <w:r>
        <w:rPr>
          <w:rFonts w:hint="eastAsia" w:ascii="Times New Roman" w:hAnsi="Times New Roman" w:eastAsia="仿宋_GB2312" w:cs="Times New Roman"/>
          <w:sz w:val="32"/>
          <w:szCs w:val="32"/>
        </w:rPr>
        <w:t>。</w:t>
      </w:r>
    </w:p>
    <w:p w14:paraId="4983723B">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卫生健康支出（类）公共卫生（款）突发公共卫生事件应急处</w:t>
      </w:r>
      <w:r>
        <w:rPr>
          <w:rFonts w:hint="eastAsia" w:ascii="Times New Roman" w:hAnsi="Times New Roman" w:eastAsia="仿宋_GB2312" w:cs="Times New Roman"/>
          <w:sz w:val="32"/>
          <w:szCs w:val="32"/>
          <w:lang w:eastAsia="zh-CN"/>
        </w:rPr>
        <w:t>置</w:t>
      </w:r>
      <w:r>
        <w:rPr>
          <w:rFonts w:hint="eastAsia" w:ascii="Times New Roman" w:hAnsi="Times New Roman" w:eastAsia="仿宋_GB2312" w:cs="Times New Roman"/>
          <w:sz w:val="32"/>
          <w:szCs w:val="32"/>
        </w:rPr>
        <w:t>（项）</w:t>
      </w:r>
    </w:p>
    <w:p w14:paraId="74E73B9C">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初预算为0万元，支出决算为315.46万元，决算数大于预算数的主要原因是：追加了2022年疫情期间医务人员临时性工作补助15.46万元及</w:t>
      </w:r>
      <w:r>
        <w:rPr>
          <w:rFonts w:hint="eastAsia" w:ascii="Times New Roman" w:hAnsi="Times New Roman" w:eastAsia="仿宋_GB2312" w:cs="黑体"/>
          <w:color w:val="000000"/>
          <w:kern w:val="0"/>
          <w:sz w:val="32"/>
          <w:szCs w:val="32"/>
          <w:lang w:val="en-US" w:eastAsia="zh-CN" w:bidi="ar-SA"/>
        </w:rPr>
        <w:t>市本级新冠疫情专户项目经费300万元</w:t>
      </w:r>
      <w:r>
        <w:rPr>
          <w:rFonts w:hint="eastAsia" w:ascii="Times New Roman" w:hAnsi="Times New Roman" w:eastAsia="仿宋_GB2312" w:cs="Times New Roman"/>
          <w:sz w:val="32"/>
          <w:szCs w:val="32"/>
          <w:lang w:val="en-US" w:eastAsia="zh-CN"/>
        </w:rPr>
        <w:t>。</w:t>
      </w:r>
    </w:p>
    <w:p w14:paraId="688AE94D">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卫生健康支出（类）公共卫生（款）其他公共卫生支出（项）</w:t>
      </w:r>
    </w:p>
    <w:p w14:paraId="54E78D0D">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初预算为0万元，支出决算为66.30万元，决算数大于预算数的主要原因是：年中追加了省级专项经费16.2万元、2024年预防性健康体检专项经费24.60万元及上年结转创卫专项经费25.50万元。</w:t>
      </w:r>
    </w:p>
    <w:p w14:paraId="350BDAF1">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、卫生健康支出（类）行政事业单位医疗（款）</w:t>
      </w:r>
      <w:r>
        <w:rPr>
          <w:rFonts w:hint="eastAsia" w:ascii="Times New Roman" w:hAnsi="Times New Roman" w:eastAsia="仿宋_GB2312" w:cs="Times New Roman"/>
          <w:sz w:val="32"/>
          <w:szCs w:val="32"/>
          <w:lang w:eastAsia="zh-CN"/>
        </w:rPr>
        <w:t>其他行政</w:t>
      </w:r>
      <w:r>
        <w:rPr>
          <w:rFonts w:hint="eastAsia" w:ascii="Times New Roman" w:hAnsi="Times New Roman" w:eastAsia="仿宋_GB2312" w:cs="Times New Roman"/>
          <w:sz w:val="32"/>
          <w:szCs w:val="32"/>
        </w:rPr>
        <w:t>单位医疗</w:t>
      </w:r>
      <w:r>
        <w:rPr>
          <w:rFonts w:hint="eastAsia" w:ascii="Times New Roman" w:hAnsi="Times New Roman" w:eastAsia="仿宋_GB2312" w:cs="Times New Roman"/>
          <w:sz w:val="32"/>
          <w:szCs w:val="32"/>
          <w:lang w:eastAsia="zh-CN"/>
        </w:rPr>
        <w:t>支出</w:t>
      </w:r>
      <w:r>
        <w:rPr>
          <w:rFonts w:hint="eastAsia" w:ascii="Times New Roman" w:hAnsi="Times New Roman" w:eastAsia="仿宋_GB2312" w:cs="Times New Roman"/>
          <w:sz w:val="32"/>
          <w:szCs w:val="32"/>
        </w:rPr>
        <w:t>（项）</w:t>
      </w:r>
      <w:r>
        <w:rPr>
          <w:rFonts w:hint="eastAsia" w:ascii="Times New Roman" w:hAnsi="Times New Roman" w:eastAsia="仿宋_GB2312" w:cs="Times New Roman"/>
          <w:sz w:val="32"/>
          <w:szCs w:val="32"/>
          <w:lang w:eastAsia="zh-CN"/>
        </w:rPr>
        <w:t>。</w:t>
      </w:r>
    </w:p>
    <w:p w14:paraId="45FA529D">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0万元</w:t>
      </w:r>
      <w:r>
        <w:rPr>
          <w:rFonts w:hint="eastAsia" w:ascii="Times New Roman" w:hAnsi="Times New Roman" w:eastAsia="仿宋_GB2312" w:cs="Times New Roman"/>
          <w:sz w:val="32"/>
          <w:szCs w:val="32"/>
        </w:rPr>
        <w:t>，支出预算为</w:t>
      </w:r>
      <w:r>
        <w:rPr>
          <w:rFonts w:hint="eastAsia" w:ascii="Times New Roman" w:hAnsi="Times New Roman" w:eastAsia="仿宋_GB2312" w:cs="Times New Roman"/>
          <w:sz w:val="32"/>
          <w:szCs w:val="32"/>
          <w:lang w:val="en-US" w:eastAsia="zh-CN"/>
        </w:rPr>
        <w:t>0.8</w:t>
      </w:r>
      <w:r>
        <w:rPr>
          <w:rFonts w:hint="eastAsia" w:ascii="Times New Roman" w:hAnsi="Times New Roman" w:eastAsia="仿宋_GB2312" w:cs="Times New Roman"/>
          <w:sz w:val="32"/>
          <w:szCs w:val="32"/>
        </w:rPr>
        <w:t>万元，决算数大于预算数的主要原因是：</w:t>
      </w:r>
      <w:r>
        <w:rPr>
          <w:rFonts w:hint="eastAsia" w:ascii="Times New Roman" w:hAnsi="Times New Roman" w:eastAsia="仿宋_GB2312" w:cs="Times New Roman"/>
          <w:sz w:val="32"/>
          <w:szCs w:val="32"/>
          <w:lang w:eastAsia="zh-CN"/>
        </w:rPr>
        <w:t>追加了建国初期退休干部医疗补贴</w:t>
      </w:r>
      <w:r>
        <w:rPr>
          <w:rFonts w:hint="eastAsia" w:ascii="Times New Roman" w:hAnsi="Times New Roman" w:eastAsia="仿宋_GB2312" w:cs="Times New Roman"/>
          <w:sz w:val="32"/>
          <w:szCs w:val="32"/>
        </w:rPr>
        <w:t>。</w:t>
      </w:r>
    </w:p>
    <w:p w14:paraId="04D42BAE">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rPr>
        <w:t>卫生健康支出（类）</w:t>
      </w:r>
      <w:r>
        <w:rPr>
          <w:rFonts w:hint="eastAsia" w:ascii="Times New Roman" w:hAnsi="Times New Roman" w:eastAsia="仿宋_GB2312" w:cs="Times New Roman"/>
          <w:sz w:val="32"/>
          <w:szCs w:val="32"/>
          <w:lang w:eastAsia="zh-CN"/>
        </w:rPr>
        <w:t>疾病预防控制事务</w:t>
      </w:r>
      <w:r>
        <w:rPr>
          <w:rFonts w:hint="eastAsia" w:ascii="Times New Roman" w:hAnsi="Times New Roman" w:eastAsia="仿宋_GB2312" w:cs="Times New Roman"/>
          <w:sz w:val="32"/>
          <w:szCs w:val="32"/>
        </w:rPr>
        <w:t>（款）</w:t>
      </w:r>
      <w:r>
        <w:rPr>
          <w:rFonts w:hint="eastAsia" w:ascii="Times New Roman" w:hAnsi="Times New Roman" w:eastAsia="仿宋_GB2312" w:cs="Times New Roman"/>
          <w:sz w:val="32"/>
          <w:szCs w:val="32"/>
          <w:lang w:eastAsia="zh-CN"/>
        </w:rPr>
        <w:t>其他疾病预防控制事务</w:t>
      </w:r>
      <w:r>
        <w:rPr>
          <w:rFonts w:hint="eastAsia" w:ascii="Times New Roman" w:hAnsi="Times New Roman" w:eastAsia="仿宋_GB2312" w:cs="Times New Roman"/>
          <w:sz w:val="32"/>
          <w:szCs w:val="32"/>
        </w:rPr>
        <w:t>支出（项）</w:t>
      </w:r>
      <w:r>
        <w:rPr>
          <w:rFonts w:hint="eastAsia" w:ascii="Times New Roman" w:hAnsi="Times New Roman" w:eastAsia="仿宋_GB2312" w:cs="Times New Roman"/>
          <w:sz w:val="32"/>
          <w:szCs w:val="32"/>
          <w:lang w:eastAsia="zh-CN"/>
        </w:rPr>
        <w:t>。</w:t>
      </w:r>
    </w:p>
    <w:p w14:paraId="6F497712">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0万元</w:t>
      </w:r>
      <w:r>
        <w:rPr>
          <w:rFonts w:hint="eastAsia" w:ascii="Times New Roman" w:hAnsi="Times New Roman" w:eastAsia="仿宋_GB2312" w:cs="Times New Roman"/>
          <w:sz w:val="32"/>
          <w:szCs w:val="32"/>
        </w:rPr>
        <w:t>，支出预算为</w:t>
      </w:r>
      <w:r>
        <w:rPr>
          <w:rFonts w:hint="eastAsia" w:ascii="Times New Roman" w:hAnsi="Times New Roman" w:eastAsia="仿宋_GB2312" w:cs="Times New Roman"/>
          <w:sz w:val="32"/>
          <w:szCs w:val="32"/>
          <w:lang w:val="en-US" w:eastAsia="zh-CN"/>
        </w:rPr>
        <w:t>0.69</w:t>
      </w:r>
      <w:r>
        <w:rPr>
          <w:rFonts w:hint="eastAsia" w:ascii="Times New Roman" w:hAnsi="Times New Roman" w:eastAsia="仿宋_GB2312" w:cs="Times New Roman"/>
          <w:sz w:val="32"/>
          <w:szCs w:val="32"/>
        </w:rPr>
        <w:t>万元，决算数大于预算数的主要原因是：</w:t>
      </w:r>
      <w:r>
        <w:rPr>
          <w:rFonts w:hint="eastAsia" w:ascii="Times New Roman" w:hAnsi="Times New Roman" w:eastAsia="仿宋_GB2312" w:cs="Times New Roman"/>
          <w:sz w:val="32"/>
          <w:szCs w:val="32"/>
          <w:lang w:eastAsia="zh-CN"/>
        </w:rPr>
        <w:t>追加了遗属生活补助</w:t>
      </w:r>
      <w:r>
        <w:rPr>
          <w:rFonts w:hint="eastAsia" w:ascii="Times New Roman" w:hAnsi="Times New Roman" w:eastAsia="仿宋_GB2312" w:cs="Times New Roman"/>
          <w:sz w:val="32"/>
          <w:szCs w:val="32"/>
        </w:rPr>
        <w:t>。</w:t>
      </w:r>
    </w:p>
    <w:p w14:paraId="55FF9676">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9</w:t>
      </w:r>
      <w:r>
        <w:rPr>
          <w:rFonts w:hint="eastAsia" w:ascii="Times New Roman" w:hAnsi="Times New Roman" w:eastAsia="仿宋_GB2312" w:cs="Times New Roman"/>
          <w:sz w:val="32"/>
          <w:szCs w:val="32"/>
        </w:rPr>
        <w:t>、卫生健康支出（类）其他卫生健康支出（款）其他卫生健康支出（项）</w:t>
      </w:r>
    </w:p>
    <w:p w14:paraId="784F68E1">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年初预算为0，支出预算为</w:t>
      </w:r>
      <w:r>
        <w:rPr>
          <w:rFonts w:hint="eastAsia" w:ascii="Times New Roman" w:hAnsi="Times New Roman" w:eastAsia="仿宋_GB2312" w:cs="Times New Roman"/>
          <w:sz w:val="32"/>
          <w:szCs w:val="32"/>
          <w:lang w:val="en-US" w:eastAsia="zh-CN"/>
        </w:rPr>
        <w:t>1042.91</w:t>
      </w:r>
      <w:r>
        <w:rPr>
          <w:rFonts w:hint="eastAsia" w:ascii="Times New Roman" w:hAnsi="Times New Roman" w:eastAsia="仿宋_GB2312" w:cs="Times New Roman"/>
          <w:sz w:val="32"/>
          <w:szCs w:val="32"/>
        </w:rPr>
        <w:t>万元，决算数大于预算数的主要原因是：结转</w:t>
      </w:r>
      <w:r>
        <w:rPr>
          <w:rFonts w:hint="eastAsia" w:ascii="Times New Roman" w:hAnsi="Times New Roman" w:eastAsia="仿宋_GB2312" w:cs="Times New Roman"/>
          <w:sz w:val="32"/>
          <w:szCs w:val="32"/>
          <w:lang w:eastAsia="zh-CN"/>
        </w:rPr>
        <w:t>了上年</w:t>
      </w:r>
      <w:r>
        <w:rPr>
          <w:rFonts w:hint="eastAsia" w:ascii="Times New Roman" w:hAnsi="Times New Roman" w:eastAsia="仿宋_GB2312" w:cs="Times New Roman"/>
          <w:sz w:val="32"/>
          <w:szCs w:val="32"/>
          <w:lang w:val="en-US" w:eastAsia="zh-CN"/>
        </w:rPr>
        <w:t>市公共卫生中心一期建设项目（即怀化市疾病预防控制中心建设项目）经费</w:t>
      </w:r>
      <w:r>
        <w:rPr>
          <w:rFonts w:hint="eastAsia" w:ascii="Times New Roman" w:hAnsi="Times New Roman" w:eastAsia="仿宋_GB2312" w:cs="Times New Roman"/>
          <w:sz w:val="32"/>
          <w:szCs w:val="32"/>
        </w:rPr>
        <w:t>。</w:t>
      </w:r>
    </w:p>
    <w:p w14:paraId="2C2EF1D3">
      <w:pPr>
        <w:pStyle w:val="13"/>
        <w:numPr>
          <w:ilvl w:val="0"/>
          <w:numId w:val="1"/>
        </w:numPr>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住房保障支出（类）住房改革支出（款）住房公积金（项）</w:t>
      </w:r>
    </w:p>
    <w:p w14:paraId="355E6588">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年初预算为0，支出预算为</w:t>
      </w:r>
      <w:r>
        <w:rPr>
          <w:rFonts w:hint="eastAsia" w:ascii="Times New Roman" w:hAnsi="Times New Roman" w:eastAsia="仿宋_GB2312" w:cs="Times New Roman"/>
          <w:sz w:val="32"/>
          <w:szCs w:val="32"/>
          <w:lang w:val="en-US" w:eastAsia="zh-CN"/>
        </w:rPr>
        <w:t>1.36</w:t>
      </w:r>
      <w:r>
        <w:rPr>
          <w:rFonts w:hint="eastAsia" w:ascii="Times New Roman" w:hAnsi="Times New Roman" w:eastAsia="仿宋_GB2312" w:cs="Times New Roman"/>
          <w:sz w:val="32"/>
          <w:szCs w:val="32"/>
        </w:rPr>
        <w:t>万元，决算数大于预算数的主要原因是：</w:t>
      </w:r>
      <w:r>
        <w:rPr>
          <w:rFonts w:hint="eastAsia" w:ascii="Times New Roman" w:hAnsi="Times New Roman" w:eastAsia="仿宋_GB2312" w:cs="Times New Roman"/>
          <w:sz w:val="32"/>
          <w:szCs w:val="32"/>
          <w:lang w:eastAsia="zh-CN"/>
        </w:rPr>
        <w:t>追加了住房公积金财政配套指标</w:t>
      </w:r>
      <w:r>
        <w:rPr>
          <w:rFonts w:hint="eastAsia" w:ascii="Times New Roman" w:hAnsi="Times New Roman" w:eastAsia="仿宋_GB2312" w:cs="Times New Roman"/>
          <w:sz w:val="32"/>
          <w:szCs w:val="32"/>
        </w:rPr>
        <w:t>。</w:t>
      </w:r>
    </w:p>
    <w:p w14:paraId="68D49BC1">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33EE5F90">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2660.95</w:t>
      </w:r>
      <w:r>
        <w:rPr>
          <w:rFonts w:ascii="Times New Roman" w:hAnsi="Times New Roman" w:eastAsia="仿宋_GB2312" w:cs="Times New Roman"/>
          <w:sz w:val="32"/>
          <w:szCs w:val="32"/>
        </w:rPr>
        <w:t>万元，其中：</w:t>
      </w:r>
    </w:p>
    <w:p w14:paraId="5F22843D">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2431.52</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91.38</w:t>
      </w:r>
      <w:r>
        <w:rPr>
          <w:rFonts w:ascii="Times New Roman" w:hAnsi="Times New Roman" w:eastAsia="仿宋_GB2312" w:cs="Times New Roman"/>
          <w:sz w:val="32"/>
          <w:szCs w:val="32"/>
        </w:rPr>
        <w:t>%,主要包括基本工资、津贴补贴、奖金、伙食补助费</w:t>
      </w:r>
      <w:r>
        <w:rPr>
          <w:rFonts w:hint="eastAsia" w:ascii="Times New Roman" w:hAnsi="Times New Roman" w:eastAsia="仿宋_GB2312"/>
          <w:sz w:val="32"/>
          <w:szCs w:val="32"/>
          <w:lang w:eastAsia="zh-CN"/>
        </w:rPr>
        <w:t>、绩效工资、机关事业单位基本养老保险缴费、职工基本医疗补助缴费、其他社会保障缴费、住房公积金、其他工资福利支出、抚恤金、生活补助、医疗费补助、奖励金、其他对个人和家庭的补助</w:t>
      </w:r>
      <w:r>
        <w:rPr>
          <w:rFonts w:ascii="Times New Roman" w:hAnsi="Times New Roman" w:eastAsia="仿宋_GB2312" w:cs="Times New Roman"/>
          <w:sz w:val="32"/>
          <w:szCs w:val="32"/>
        </w:rPr>
        <w:t>。</w:t>
      </w:r>
    </w:p>
    <w:p w14:paraId="723CFE43">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229.44</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8.62</w:t>
      </w:r>
      <w:r>
        <w:rPr>
          <w:rFonts w:ascii="Times New Roman" w:hAnsi="Times New Roman" w:eastAsia="仿宋_GB2312" w:cs="Times New Roman"/>
          <w:sz w:val="32"/>
          <w:szCs w:val="32"/>
        </w:rPr>
        <w:t>%，主要包括办公费、</w:t>
      </w:r>
      <w:r>
        <w:rPr>
          <w:rFonts w:hint="eastAsia" w:ascii="Times New Roman" w:hAnsi="Times New Roman" w:eastAsia="仿宋_GB2312" w:cs="Times New Roman"/>
          <w:sz w:val="32"/>
          <w:szCs w:val="32"/>
          <w:lang w:eastAsia="zh-CN"/>
        </w:rPr>
        <w:t>水费、电费、邮电费、差旅费、维修（护）费、培训费、公务接待费、专用材料费、劳务费、委托业务费、工会经费、福利费、公车运行维护费、其他交通费、其他商品服务支出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 </w:t>
      </w:r>
    </w:p>
    <w:p w14:paraId="46EC4457">
      <w:pPr>
        <w:pStyle w:val="13"/>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r>
        <w:rPr>
          <w:rFonts w:ascii="Times New Roman" w:hAnsi="Times New Roman" w:eastAsia="楷体_GB2312" w:cs="Times New Roman"/>
          <w:b/>
          <w:bCs/>
          <w:i/>
          <w:color w:val="auto"/>
          <w:sz w:val="32"/>
          <w:szCs w:val="32"/>
        </w:rPr>
        <w:t>（注意：“三公”经费不再是一般公共预算财政拨款口径，而是财政拨款口径）</w:t>
      </w:r>
    </w:p>
    <w:p w14:paraId="0C44A103">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74C27909">
      <w:pPr>
        <w:pStyle w:val="13"/>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default" w:ascii="Times New Roman" w:hAnsi="Times New Roman" w:eastAsia="仿宋_GB2312" w:cs="Times New Roman"/>
          <w:sz w:val="32"/>
          <w:szCs w:val="32"/>
          <w:lang w:val="en-US"/>
        </w:rPr>
        <w:t>32.20</w:t>
      </w:r>
      <w:r>
        <w:rPr>
          <w:rFonts w:ascii="Times New Roman" w:hAnsi="Times New Roman" w:eastAsia="仿宋_GB2312" w:cs="Times New Roman"/>
          <w:sz w:val="32"/>
          <w:szCs w:val="32"/>
        </w:rPr>
        <w:t>万元，支出决算为</w:t>
      </w:r>
      <w:r>
        <w:rPr>
          <w:rFonts w:hint="default" w:ascii="Times New Roman" w:hAnsi="Times New Roman" w:eastAsia="仿宋_GB2312" w:cs="Times New Roman"/>
          <w:sz w:val="32"/>
          <w:szCs w:val="32"/>
          <w:lang w:val="en-US"/>
        </w:rPr>
        <w:t>32.20</w:t>
      </w:r>
      <w:r>
        <w:rPr>
          <w:rFonts w:ascii="Times New Roman" w:hAnsi="Times New Roman" w:eastAsia="仿宋_GB2312" w:cs="Times New Roman"/>
          <w:sz w:val="32"/>
          <w:szCs w:val="32"/>
        </w:rPr>
        <w:t>万元，完成预算的</w:t>
      </w:r>
      <w:r>
        <w:rPr>
          <w:rFonts w:hint="default" w:ascii="Times New Roman" w:hAnsi="Times New Roman" w:eastAsia="仿宋_GB2312" w:cs="Times New Roman"/>
          <w:sz w:val="32"/>
          <w:szCs w:val="32"/>
          <w:lang w:val="en-US"/>
        </w:rPr>
        <w:t>100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相比上年数减少</w:t>
      </w:r>
      <w:r>
        <w:rPr>
          <w:rFonts w:hint="eastAsia" w:ascii="Times New Roman" w:hAnsi="Times New Roman" w:eastAsia="仿宋_GB2312" w:cs="Times New Roman"/>
          <w:sz w:val="32"/>
          <w:szCs w:val="32"/>
          <w:lang w:val="en-US" w:eastAsia="zh-CN"/>
        </w:rPr>
        <w:t>3.24万元，</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rPr>
        <w:t>严格执行有关政策制度，杜绝浪费，一切从简</w:t>
      </w:r>
      <w:r>
        <w:rPr>
          <w:rFonts w:ascii="Times New Roman" w:hAnsi="Times New Roman" w:eastAsia="仿宋_GB2312" w:cs="Times New Roman"/>
          <w:sz w:val="32"/>
          <w:szCs w:val="32"/>
        </w:rPr>
        <w:t>。</w:t>
      </w:r>
    </w:p>
    <w:p w14:paraId="7E9B4449">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3DFC875C">
      <w:pPr>
        <w:pStyle w:val="13"/>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1.</w:t>
      </w: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，本单位无此项开支</w:t>
      </w:r>
      <w:r>
        <w:rPr>
          <w:rFonts w:hint="eastAsia" w:ascii="Times New Roman" w:hAnsi="Times New Roman" w:eastAsia="仿宋_GB2312"/>
          <w:sz w:val="32"/>
          <w:szCs w:val="32"/>
        </w:rPr>
        <w:t>。</w:t>
      </w:r>
    </w:p>
    <w:p w14:paraId="5A969F7B">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30.26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30.26</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1.5</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4.72</w:t>
      </w:r>
      <w:r>
        <w:rPr>
          <w:rFonts w:ascii="Times New Roman" w:hAnsi="Times New Roman" w:eastAsia="仿宋_GB2312" w:cs="Times New Roman"/>
          <w:sz w:val="32"/>
          <w:szCs w:val="32"/>
        </w:rPr>
        <w:t>%。其中：</w:t>
      </w:r>
    </w:p>
    <w:p w14:paraId="19D7350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本单位无此项开支</w:t>
      </w:r>
      <w:r>
        <w:rPr>
          <w:rFonts w:hint="eastAsia" w:ascii="Times New Roman" w:hAnsi="Times New Roman" w:eastAsia="仿宋_GB2312"/>
          <w:sz w:val="32"/>
          <w:szCs w:val="32"/>
        </w:rPr>
        <w:t>。</w:t>
      </w:r>
    </w:p>
    <w:p w14:paraId="13194A03">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30.26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30.26</w:t>
      </w:r>
      <w:r>
        <w:rPr>
          <w:rFonts w:ascii="Times New Roman" w:hAnsi="Times New Roman" w:eastAsia="仿宋_GB2312" w:cs="Times New Roman"/>
          <w:sz w:val="32"/>
          <w:szCs w:val="32"/>
        </w:rPr>
        <w:t>万元，</w:t>
      </w:r>
    </w:p>
    <w:p w14:paraId="14DFF374">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主要是</w:t>
      </w:r>
      <w:r>
        <w:rPr>
          <w:rFonts w:hint="eastAsia" w:ascii="Times New Roman" w:hAnsi="Times New Roman" w:eastAsia="仿宋_GB2312" w:cs="Times New Roman"/>
          <w:sz w:val="32"/>
          <w:szCs w:val="32"/>
          <w:lang w:eastAsia="zh-CN"/>
        </w:rPr>
        <w:t>车辆油料费</w:t>
      </w:r>
      <w:r>
        <w:rPr>
          <w:rFonts w:hint="eastAsia" w:ascii="Times New Roman" w:hAnsi="Times New Roman" w:eastAsia="仿宋_GB2312" w:cs="Times New Roman"/>
          <w:sz w:val="32"/>
          <w:szCs w:val="32"/>
          <w:lang w:val="en-US" w:eastAsia="zh-CN"/>
        </w:rPr>
        <w:t>13.06万元、车辆维修费11.82万元、车辆保险费2.25万元及过路年检费用3.13万元</w:t>
      </w:r>
      <w:r>
        <w:rPr>
          <w:rFonts w:ascii="Times New Roman" w:hAnsi="Times New Roman" w:eastAsia="仿宋_GB2312" w:cs="Times New Roman"/>
          <w:sz w:val="32"/>
          <w:szCs w:val="32"/>
        </w:rPr>
        <w:t>，完成预算的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1.5</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4.72</w:t>
      </w:r>
      <w:r>
        <w:rPr>
          <w:rFonts w:ascii="Times New Roman" w:hAnsi="Times New Roman" w:eastAsia="仿宋_GB2312" w:cs="Times New Roman"/>
          <w:sz w:val="32"/>
          <w:szCs w:val="32"/>
        </w:rPr>
        <w:t>%。决算数小于上年数的主要原因是</w:t>
      </w:r>
      <w:r>
        <w:rPr>
          <w:rFonts w:hint="eastAsia" w:ascii="仿宋_GB2312" w:hAnsi="仿宋" w:eastAsia="仿宋_GB2312"/>
          <w:sz w:val="32"/>
          <w:szCs w:val="32"/>
        </w:rPr>
        <w:t>加强公务用车管理</w:t>
      </w:r>
      <w:r>
        <w:rPr>
          <w:rFonts w:hint="eastAsia" w:ascii="仿宋_GB2312" w:hAnsi="仿宋" w:eastAsia="仿宋_GB2312"/>
          <w:sz w:val="32"/>
          <w:szCs w:val="32"/>
          <w:lang w:eastAsia="zh-CN"/>
        </w:rPr>
        <w:t>，严格执行车辆管理制度</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辆。</w:t>
      </w:r>
    </w:p>
    <w:p w14:paraId="23095F23">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1.93</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1.93</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1.75</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47.55</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lang w:eastAsia="zh-CN"/>
        </w:rPr>
        <w:t>本单位严格执行《党政机关厉行节约反对浪费条例》、《党政机关国内公务接待管理规定》和《湖南省党政机关国内公务接待管理办法》，进一步规范公务用餐</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30</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150</w:t>
      </w:r>
      <w:r>
        <w:rPr>
          <w:rFonts w:ascii="Times New Roman" w:hAnsi="Times New Roman" w:eastAsia="仿宋_GB2312" w:cs="Times New Roman"/>
          <w:sz w:val="32"/>
          <w:szCs w:val="32"/>
        </w:rPr>
        <w:t>人次，主要是</w:t>
      </w:r>
      <w:r>
        <w:rPr>
          <w:rFonts w:hint="eastAsia" w:ascii="仿宋_GB2312" w:hAnsi="仿宋" w:eastAsia="仿宋_GB2312"/>
          <w:sz w:val="32"/>
          <w:szCs w:val="32"/>
        </w:rPr>
        <w:t>区外相关单位交流学习</w:t>
      </w:r>
      <w:r>
        <w:rPr>
          <w:rFonts w:hint="eastAsia" w:ascii="Times New Roman" w:hAnsi="Times New Roman" w:eastAsia="仿宋_GB2312"/>
          <w:sz w:val="32"/>
          <w:szCs w:val="32"/>
        </w:rPr>
        <w:t>发生的接待支出。</w:t>
      </w:r>
    </w:p>
    <w:p w14:paraId="0C5BCAB1">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5C193707">
      <w:pPr>
        <w:pStyle w:val="13"/>
        <w:overflowPunct w:val="0"/>
        <w:autoSpaceDE/>
        <w:autoSpaceDN/>
        <w:spacing w:line="600" w:lineRule="exact"/>
        <w:ind w:firstLine="640" w:firstLineChars="200"/>
        <w:jc w:val="both"/>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14:paraId="366D5AFE">
      <w:pPr>
        <w:pStyle w:val="13"/>
        <w:overflowPunct w:val="0"/>
        <w:autoSpaceDE/>
        <w:autoSpaceDN/>
        <w:spacing w:line="600" w:lineRule="exact"/>
        <w:ind w:firstLine="640" w:firstLineChars="200"/>
        <w:jc w:val="both"/>
        <w:rPr>
          <w:rFonts w:hint="eastAsia" w:ascii="Times New Roman" w:hAnsi="Times New Roman" w:eastAsia="仿宋_GB2312"/>
          <w:b/>
          <w:color w:val="auto"/>
          <w:sz w:val="32"/>
          <w:szCs w:val="32"/>
          <w:lang w:eastAsia="zh-CN"/>
        </w:rPr>
      </w:pPr>
      <w:r>
        <w:rPr>
          <w:rFonts w:hint="eastAsia" w:ascii="Times New Roman" w:hAnsi="Times New Roman" w:cs="Times New Roman"/>
          <w:bCs/>
          <w:sz w:val="32"/>
          <w:szCs w:val="32"/>
          <w:lang w:eastAsia="zh-CN"/>
        </w:rPr>
        <w:t>九、</w:t>
      </w:r>
      <w:r>
        <w:rPr>
          <w:rFonts w:hint="eastAsia" w:ascii="Times New Roman" w:hAnsi="Times New Roman" w:cs="Times New Roman"/>
          <w:bCs/>
          <w:sz w:val="32"/>
          <w:szCs w:val="32"/>
        </w:rPr>
        <w:t>国有资本经营预算财政拨款支出决算</w:t>
      </w:r>
      <w:r>
        <w:rPr>
          <w:rFonts w:hint="eastAsia" w:ascii="Times New Roman" w:hAnsi="Times New Roman" w:cs="Times New Roman"/>
          <w:bCs/>
          <w:sz w:val="32"/>
          <w:szCs w:val="32"/>
          <w:lang w:eastAsia="zh-CN"/>
        </w:rPr>
        <w:t>情况</w:t>
      </w:r>
    </w:p>
    <w:p w14:paraId="15E919D6">
      <w:pPr>
        <w:pStyle w:val="1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Times New Roman" w:hAnsi="Times New Roman" w:eastAsia="仿宋_GB2312"/>
          <w:sz w:val="32"/>
          <w:szCs w:val="32"/>
          <w:lang w:eastAsia="zh-CN"/>
        </w:rPr>
      </w:pPr>
      <w:r>
        <w:rPr>
          <w:rFonts w:hint="eastAsia" w:ascii="Times New Roman" w:hAnsi="Times New Roman" w:eastAsia="仿宋_GB2312"/>
          <w:b/>
          <w:color w:val="auto"/>
          <w:sz w:val="32"/>
          <w:szCs w:val="32"/>
          <w:lang w:val="en-US" w:eastAsia="zh-CN"/>
        </w:rPr>
        <w:t xml:space="preserve">   </w:t>
      </w:r>
      <w:r>
        <w:rPr>
          <w:rFonts w:hint="eastAsia" w:ascii="Times New Roman" w:hAnsi="Times New Roman" w:eastAsia="仿宋_GB2312"/>
          <w:b w:val="0"/>
          <w:bCs/>
          <w:color w:val="auto"/>
          <w:sz w:val="32"/>
          <w:szCs w:val="32"/>
          <w:lang w:val="en-US" w:eastAsia="zh-CN"/>
        </w:rPr>
        <w:t xml:space="preserve"> 2024年国有资本经营预算财政拨款收入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14:paraId="3074131F">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eastAsia="zh-CN"/>
        </w:rPr>
        <w:t>十</w:t>
      </w:r>
      <w:r>
        <w:rPr>
          <w:rFonts w:ascii="Times New Roman" w:hAnsi="Times New Roman" w:cs="Times New Roman"/>
          <w:bCs/>
          <w:sz w:val="32"/>
          <w:szCs w:val="32"/>
        </w:rPr>
        <w:t>、关于机关运行经费支出说明</w:t>
      </w:r>
    </w:p>
    <w:p w14:paraId="7BECB62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149510E5">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eastAsia="zh-CN"/>
        </w:rPr>
        <w:t>一</w:t>
      </w:r>
      <w:r>
        <w:rPr>
          <w:rFonts w:ascii="Times New Roman" w:hAnsi="Times New Roman" w:cs="Times New Roman"/>
          <w:bCs/>
          <w:sz w:val="32"/>
          <w:szCs w:val="32"/>
        </w:rPr>
        <w:t>、一般性支出情况说明</w:t>
      </w:r>
    </w:p>
    <w:p w14:paraId="116FB186">
      <w:pPr>
        <w:pStyle w:val="13"/>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万元，；开支培训费</w:t>
      </w:r>
      <w:r>
        <w:rPr>
          <w:rFonts w:hint="eastAsia" w:ascii="Times New Roman" w:hAnsi="Times New Roman" w:eastAsia="仿宋_GB2312" w:cs="Times New Roman"/>
          <w:sz w:val="32"/>
          <w:szCs w:val="32"/>
          <w:lang w:val="en-US" w:eastAsia="zh-CN"/>
        </w:rPr>
        <w:t>0.26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为档案业务培训费</w:t>
      </w:r>
      <w:r>
        <w:rPr>
          <w:rFonts w:hint="eastAsia" w:ascii="Times New Roman" w:hAnsi="Times New Roman" w:eastAsia="仿宋_GB2312" w:cs="Times New Roman"/>
          <w:sz w:val="32"/>
          <w:szCs w:val="32"/>
          <w:lang w:val="en-US" w:eastAsia="zh-CN"/>
        </w:rPr>
        <w:t>0.19万元</w:t>
      </w:r>
      <w:r>
        <w:rPr>
          <w:rFonts w:hint="eastAsia" w:ascii="Times New Roman" w:hAnsi="Times New Roman" w:eastAsia="仿宋_GB2312" w:cs="Times New Roman"/>
          <w:sz w:val="32"/>
          <w:szCs w:val="32"/>
          <w:lang w:eastAsia="zh-CN"/>
        </w:rPr>
        <w:t>及财务继续教育培训费</w:t>
      </w:r>
      <w:r>
        <w:rPr>
          <w:rFonts w:hint="eastAsia" w:ascii="Times New Roman" w:hAnsi="Times New Roman" w:eastAsia="仿宋_GB2312" w:cs="Times New Roman"/>
          <w:sz w:val="32"/>
          <w:szCs w:val="32"/>
          <w:lang w:val="en-US" w:eastAsia="zh-CN"/>
        </w:rPr>
        <w:t>0.07万元</w:t>
      </w:r>
      <w:r>
        <w:rPr>
          <w:rFonts w:ascii="Times New Roman" w:hAnsi="Times New Roman" w:eastAsia="楷体" w:cs="Times New Roman"/>
          <w:b/>
          <w:bCs/>
          <w:i/>
          <w:color w:val="auto"/>
          <w:sz w:val="32"/>
          <w:szCs w:val="32"/>
        </w:rPr>
        <w:t>（注：三类会议、培训活动，节庆、晚会、论坛、赛事等活动，请分项列明活动计划及经费预算情况）</w:t>
      </w:r>
    </w:p>
    <w:p w14:paraId="63F6D398">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eastAsia="zh-CN"/>
        </w:rPr>
        <w:t>二</w:t>
      </w:r>
      <w:r>
        <w:rPr>
          <w:rFonts w:ascii="Times New Roman" w:hAnsi="Times New Roman" w:cs="Times New Roman"/>
          <w:bCs/>
          <w:sz w:val="32"/>
          <w:szCs w:val="32"/>
        </w:rPr>
        <w:t>、关于政府采购支出说明</w:t>
      </w:r>
    </w:p>
    <w:p w14:paraId="7035CC0B">
      <w:pPr>
        <w:pStyle w:val="13"/>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760.11</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599.33</w:t>
      </w:r>
      <w:r>
        <w:rPr>
          <w:rFonts w:ascii="Times New Roman" w:hAnsi="Times New Roman" w:eastAsia="仿宋_GB2312" w:cs="Times New Roman"/>
          <w:sz w:val="32"/>
          <w:szCs w:val="32"/>
        </w:rPr>
        <w:t xml:space="preserve"> 万元、政府采购工程支出</w:t>
      </w:r>
      <w:r>
        <w:rPr>
          <w:rFonts w:hint="eastAsia" w:ascii="Times New Roman" w:hAnsi="Times New Roman" w:eastAsia="仿宋_GB2312" w:cs="Times New Roman"/>
          <w:sz w:val="32"/>
          <w:szCs w:val="32"/>
          <w:lang w:val="en-US" w:eastAsia="zh-CN"/>
        </w:rPr>
        <w:t>11.46</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149.32</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760.11</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760.11</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w:t>
      </w:r>
      <w:r>
        <w:rPr>
          <w:rFonts w:ascii="Times New Roman" w:hAnsi="Times New Roman" w:eastAsia="楷体_GB2312" w:cs="Times New Roman"/>
          <w:b/>
          <w:bCs/>
          <w:i/>
          <w:color w:val="auto"/>
          <w:sz w:val="32"/>
          <w:szCs w:val="32"/>
        </w:rPr>
        <w:t>（政府采购金额的计算口径为：本部门纳入2024年度部门预算范围的各项政府采购支出金额之和，不包括涉密采购项目的支出金额）</w:t>
      </w:r>
    </w:p>
    <w:p w14:paraId="41896358">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eastAsia="zh-CN"/>
        </w:rPr>
        <w:t>三</w:t>
      </w:r>
      <w:r>
        <w:rPr>
          <w:rFonts w:ascii="Times New Roman" w:hAnsi="Times New Roman" w:cs="Times New Roman"/>
          <w:bCs/>
          <w:color w:val="auto"/>
          <w:sz w:val="32"/>
          <w:szCs w:val="32"/>
        </w:rPr>
        <w:t>、关于国有资产占用情况说明</w:t>
      </w:r>
    </w:p>
    <w:p w14:paraId="0C5A9BF7">
      <w:pPr>
        <w:pStyle w:val="13"/>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6</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辆，其他用车主要是</w:t>
      </w:r>
      <w:r>
        <w:rPr>
          <w:rFonts w:hint="eastAsia" w:ascii="Times New Roman" w:hAnsi="Times New Roman" w:eastAsia="仿宋_GB2312"/>
          <w:color w:val="auto"/>
          <w:sz w:val="32"/>
          <w:szCs w:val="32"/>
          <w:lang w:eastAsia="zh-CN"/>
        </w:rPr>
        <w:t>业务用车</w:t>
      </w:r>
      <w:r>
        <w:rPr>
          <w:rFonts w:ascii="Times New Roman" w:hAnsi="Times New Roman" w:eastAsia="仿宋_GB2312" w:cs="Times New Roman"/>
          <w:color w:val="auto"/>
          <w:sz w:val="32"/>
          <w:szCs w:val="32"/>
        </w:rPr>
        <w:t>；单位价值100万元以上设备（不含车辆）</w:t>
      </w:r>
      <w:r>
        <w:rPr>
          <w:rFonts w:hint="eastAsia" w:ascii="Times New Roman" w:hAnsi="Times New Roman" w:eastAsia="仿宋_GB2312" w:cs="Times New Roman"/>
          <w:color w:val="auto"/>
          <w:sz w:val="32"/>
          <w:szCs w:val="32"/>
          <w:lang w:val="en-US" w:eastAsia="zh-CN"/>
        </w:rPr>
        <w:t>8</w:t>
      </w:r>
      <w:r>
        <w:rPr>
          <w:rFonts w:ascii="Times New Roman" w:hAnsi="Times New Roman" w:eastAsia="仿宋_GB2312" w:cs="Times New Roman"/>
          <w:color w:val="auto"/>
          <w:sz w:val="32"/>
          <w:szCs w:val="32"/>
        </w:rPr>
        <w:t>台（套）。</w:t>
      </w:r>
    </w:p>
    <w:p w14:paraId="6B08AB82">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66A4CDBD">
      <w:pPr>
        <w:overflowPunct w:val="0"/>
        <w:spacing w:line="600" w:lineRule="exact"/>
        <w:ind w:left="18" w:leftChars="9" w:firstLine="617" w:firstLineChars="193"/>
        <w:rPr>
          <w:rFonts w:hint="eastAsia" w:ascii="Times New Roman" w:hAnsi="Times New Roman" w:eastAsia="仿宋_GB2312" w:cs="Times New Roman"/>
          <w:b/>
          <w:bCs/>
          <w:sz w:val="32"/>
          <w:szCs w:val="32"/>
          <w:lang w:val="en-US" w:eastAsia="zh-CN"/>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rPr>
        <w:t>组织对2024年度本部门（单位）整体支出开展绩效自评，涉及项目</w:t>
      </w:r>
      <w:r>
        <w:rPr>
          <w:rFonts w:hint="default" w:ascii="Times New Roman" w:hAnsi="Times New Roman" w:eastAsia="仿宋_GB2312" w:cs="Times New Roman"/>
          <w:kern w:val="0"/>
          <w:sz w:val="32"/>
          <w:szCs w:val="32"/>
          <w:lang w:val="en-US"/>
        </w:rPr>
        <w:t>26</w:t>
      </w:r>
      <w:r>
        <w:rPr>
          <w:rFonts w:ascii="Times New Roman" w:hAnsi="Times New Roman" w:eastAsia="仿宋_GB2312" w:cs="Times New Roman"/>
          <w:kern w:val="0"/>
          <w:sz w:val="32"/>
          <w:szCs w:val="32"/>
        </w:rPr>
        <w:t xml:space="preserve"> 个，共涉及资金</w:t>
      </w:r>
      <w:r>
        <w:rPr>
          <w:rFonts w:hint="eastAsia" w:ascii="Times New Roman" w:hAnsi="Times New Roman" w:eastAsia="仿宋_GB2312" w:cs="Times New Roman"/>
          <w:kern w:val="0"/>
          <w:sz w:val="32"/>
          <w:szCs w:val="32"/>
          <w:lang w:val="en-US" w:eastAsia="zh-CN"/>
        </w:rPr>
        <w:t>5844.57</w:t>
      </w:r>
      <w:r>
        <w:rPr>
          <w:rFonts w:ascii="Times New Roman" w:hAnsi="Times New Roman" w:eastAsia="仿宋_GB2312" w:cs="Times New Roman"/>
          <w:kern w:val="0"/>
          <w:sz w:val="32"/>
          <w:szCs w:val="32"/>
        </w:rPr>
        <w:t>万元。其中，一般公共预算项目</w:t>
      </w:r>
      <w:r>
        <w:rPr>
          <w:rFonts w:hint="default" w:ascii="Times New Roman" w:hAnsi="Times New Roman" w:eastAsia="仿宋_GB2312" w:cs="Times New Roman"/>
          <w:kern w:val="0"/>
          <w:sz w:val="32"/>
          <w:szCs w:val="32"/>
          <w:lang w:val="en-US"/>
        </w:rPr>
        <w:t>26</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5844.57</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100</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万元，占政府性基金预算支出总额的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万元，占社会保险基金预算支出总额的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p>
    <w:p w14:paraId="3248B84F">
      <w:pPr>
        <w:overflowPunct w:val="0"/>
        <w:spacing w:line="600" w:lineRule="exact"/>
        <w:ind w:firstLine="640" w:firstLineChars="200"/>
        <w:rPr>
          <w:rFonts w:hint="eastAsia" w:ascii="仿宋" w:hAnsi="仿宋" w:eastAsia="仿宋"/>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2024年度本部门（单位）整体支出</w:t>
      </w:r>
      <w:r>
        <w:rPr>
          <w:rFonts w:ascii="Times New Roman" w:hAnsi="Times New Roman" w:eastAsia="仿宋_GB2312" w:cs="Times New Roman"/>
          <w:sz w:val="32"/>
          <w:szCs w:val="32"/>
        </w:rPr>
        <w:t>全年预算数</w:t>
      </w:r>
      <w:r>
        <w:rPr>
          <w:rFonts w:hint="default" w:ascii="Times New Roman" w:hAnsi="Times New Roman" w:eastAsia="仿宋_GB2312" w:cs="Times New Roman"/>
          <w:sz w:val="32"/>
          <w:szCs w:val="32"/>
          <w:lang w:val="en-US"/>
        </w:rPr>
        <w:t>12255.85</w:t>
      </w:r>
      <w:r>
        <w:rPr>
          <w:rFonts w:ascii="Times New Roman" w:hAnsi="Times New Roman" w:eastAsia="仿宋_GB2312" w:cs="Times New Roman"/>
          <w:sz w:val="32"/>
          <w:szCs w:val="32"/>
        </w:rPr>
        <w:t>万元，执行数</w:t>
      </w:r>
      <w:r>
        <w:rPr>
          <w:rFonts w:hint="default" w:ascii="Times New Roman" w:hAnsi="Times New Roman" w:eastAsia="仿宋_GB2312" w:cs="Times New Roman"/>
          <w:sz w:val="32"/>
          <w:szCs w:val="32"/>
          <w:lang w:val="en-US"/>
        </w:rPr>
        <w:t>8909.85</w:t>
      </w:r>
      <w:r>
        <w:rPr>
          <w:rFonts w:ascii="Times New Roman" w:hAnsi="Times New Roman" w:eastAsia="仿宋_GB2312" w:cs="Times New Roman"/>
          <w:sz w:val="32"/>
          <w:szCs w:val="32"/>
        </w:rPr>
        <w:t>万元，完成预算的</w:t>
      </w:r>
      <w:r>
        <w:rPr>
          <w:rFonts w:hint="default" w:ascii="Times New Roman" w:hAnsi="Times New Roman" w:eastAsia="仿宋_GB2312" w:cs="Times New Roman"/>
          <w:sz w:val="32"/>
          <w:szCs w:val="32"/>
          <w:lang w:val="en-US"/>
        </w:rPr>
        <w:t>72.70</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default" w:ascii="Times New Roman" w:hAnsi="Times New Roman" w:eastAsia="仿宋_GB2312" w:cs="Times New Roman"/>
          <w:sz w:val="32"/>
          <w:szCs w:val="32"/>
          <w:lang w:val="en-US"/>
        </w:rPr>
        <w:t>96</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lang w:val="en-US"/>
        </w:rPr>
        <w:t>A</w:t>
      </w:r>
      <w:r>
        <w:rPr>
          <w:rFonts w:ascii="Times New Roman" w:hAnsi="Times New Roman" w:eastAsia="仿宋_GB2312" w:cs="Times New Roman"/>
          <w:sz w:val="32"/>
          <w:szCs w:val="32"/>
        </w:rPr>
        <w:t>”。绩效目标完成情况：</w:t>
      </w:r>
      <w:r>
        <w:rPr>
          <w:rFonts w:hint="eastAsia" w:ascii="仿宋" w:hAnsi="仿宋" w:eastAsia="仿宋"/>
          <w:sz w:val="32"/>
          <w:szCs w:val="32"/>
        </w:rPr>
        <w:t>一是数量指标，工资福利发放人数154人，100%完成重大传染病项目工作任务；二是质量指标，有效促进公共卫生服务；三是时效指标，根据资金使用安排，及时支付经费，确保全中心公务运转；四是效益指标，促进全市人民健康生活环境不断提升。</w:t>
      </w:r>
    </w:p>
    <w:p w14:paraId="5D4BAEFC">
      <w:pPr>
        <w:overflowPunct w:val="0"/>
        <w:spacing w:line="600" w:lineRule="exact"/>
        <w:ind w:firstLine="640" w:firstLineChars="200"/>
        <w:rPr>
          <w:rFonts w:hint="eastAsia" w:ascii="仿宋" w:hAnsi="仿宋" w:eastAsia="仿宋" w:cs="Times New Roman"/>
          <w:kern w:val="2"/>
          <w:sz w:val="32"/>
          <w:szCs w:val="32"/>
        </w:rPr>
      </w:pPr>
      <w:r>
        <w:rPr>
          <w:rFonts w:ascii="Times New Roman" w:hAnsi="Times New Roman" w:eastAsia="仿宋_GB2312" w:cs="Times New Roman"/>
          <w:sz w:val="32"/>
          <w:szCs w:val="32"/>
        </w:rPr>
        <w:t>发现的主要问题及原因：</w:t>
      </w:r>
      <w:r>
        <w:rPr>
          <w:rFonts w:hint="eastAsia" w:ascii="仿宋" w:hAnsi="仿宋" w:eastAsia="仿宋" w:cs="Times New Roman"/>
          <w:kern w:val="2"/>
          <w:sz w:val="32"/>
          <w:szCs w:val="32"/>
        </w:rPr>
        <w:t>绩效评价工作机制有待进一步完善，绩效管理和监督工作重视程度不够</w:t>
      </w:r>
      <w:r>
        <w:rPr>
          <w:rFonts w:hint="default" w:ascii="仿宋" w:hAnsi="仿宋" w:eastAsia="仿宋" w:cs="Times New Roman"/>
          <w:kern w:val="2"/>
          <w:sz w:val="32"/>
          <w:szCs w:val="32"/>
          <w:lang w:val="en-US"/>
        </w:rPr>
        <w:t>,</w:t>
      </w:r>
      <w:r>
        <w:rPr>
          <w:rFonts w:hint="eastAsia" w:ascii="仿宋" w:hAnsi="仿宋" w:eastAsia="仿宋" w:cs="Times New Roman"/>
          <w:kern w:val="2"/>
          <w:sz w:val="32"/>
          <w:szCs w:val="32"/>
          <w:lang w:val="en-US" w:eastAsia="zh-CN"/>
        </w:rPr>
        <w:t>财政经费保障力度不够</w:t>
      </w:r>
      <w:r>
        <w:rPr>
          <w:rFonts w:hint="eastAsia" w:ascii="仿宋" w:hAnsi="仿宋" w:eastAsia="仿宋" w:cs="Times New Roman"/>
          <w:kern w:val="2"/>
          <w:sz w:val="32"/>
          <w:szCs w:val="32"/>
        </w:rPr>
        <w:t>。</w:t>
      </w:r>
    </w:p>
    <w:p w14:paraId="06ED92A2">
      <w:pPr>
        <w:overflowPunct w:val="0"/>
        <w:spacing w:line="600" w:lineRule="exact"/>
        <w:ind w:firstLine="640" w:firstLineChars="200"/>
        <w:rPr>
          <w:rFonts w:hint="eastAsia" w:ascii="Times New Roman" w:hAnsi="Times New Roman" w:eastAsia="仿宋_GB2312" w:cs="Times New Roman"/>
          <w:bCs/>
          <w:sz w:val="32"/>
          <w:szCs w:val="32"/>
          <w:lang w:val="en-US" w:eastAsia="zh-CN"/>
        </w:rPr>
      </w:pPr>
      <w:r>
        <w:rPr>
          <w:rFonts w:ascii="Times New Roman" w:hAnsi="Times New Roman" w:eastAsia="仿宋_GB2312" w:cs="Times New Roman"/>
          <w:sz w:val="32"/>
          <w:szCs w:val="32"/>
        </w:rPr>
        <w:t>下一步改进措施：一是</w:t>
      </w:r>
      <w:r>
        <w:rPr>
          <w:rFonts w:hint="eastAsia" w:ascii="仿宋" w:hAnsi="仿宋" w:eastAsia="仿宋" w:cs="Times New Roman"/>
          <w:kern w:val="2"/>
          <w:sz w:val="32"/>
          <w:szCs w:val="32"/>
        </w:rPr>
        <w:t>制定合理的年度工作计划和年度经费支出预算，确保全年经费支出均衡。对经费使用情况及时统计，并将统计情况反馈至各个科室，对不合理的支出及时进行调整，提高经费使用效益。</w:t>
      </w:r>
    </w:p>
    <w:p w14:paraId="776CBEF9">
      <w:pPr>
        <w:pStyle w:val="13"/>
        <w:numPr>
          <w:ilvl w:val="0"/>
          <w:numId w:val="2"/>
        </w:numPr>
        <w:overflowPunct w:val="0"/>
        <w:autoSpaceDE/>
        <w:autoSpaceDN/>
        <w:spacing w:line="600" w:lineRule="exact"/>
        <w:ind w:firstLine="640" w:firstLineChars="200"/>
        <w:jc w:val="both"/>
        <w:rPr>
          <w:rFonts w:ascii="Times New Roman" w:hAnsi="Times New Roman" w:eastAsia="楷体_GB2312" w:cs="Times New Roman"/>
          <w:b/>
          <w:bCs/>
          <w:color w:val="auto"/>
          <w:kern w:val="2"/>
          <w:sz w:val="32"/>
          <w:szCs w:val="32"/>
        </w:rPr>
      </w:pPr>
      <w:r>
        <w:rPr>
          <w:rFonts w:ascii="Times New Roman" w:hAnsi="Times New Roman" w:eastAsia="楷体_GB2312" w:cs="Times New Roman"/>
          <w:b/>
          <w:bCs/>
          <w:color w:val="auto"/>
          <w:kern w:val="2"/>
          <w:sz w:val="32"/>
          <w:szCs w:val="32"/>
        </w:rPr>
        <w:t>评价结果应用情况。</w:t>
      </w:r>
    </w:p>
    <w:p w14:paraId="7BDDA092">
      <w:pPr>
        <w:overflowPunct w:val="0"/>
        <w:spacing w:line="600" w:lineRule="exact"/>
        <w:ind w:firstLine="640" w:firstLineChars="200"/>
        <w:rPr>
          <w:rFonts w:hint="eastAsia" w:ascii="Times New Roman" w:hAnsi="Times New Roman" w:eastAsia="仿宋_GB2312" w:cs="Times New Roman"/>
          <w:sz w:val="32"/>
          <w:szCs w:val="32"/>
          <w:lang w:eastAsia="zh-CN"/>
        </w:rPr>
      </w:pPr>
      <w:bookmarkStart w:id="3" w:name="_GoBack"/>
      <w:bookmarkEnd w:id="3"/>
      <w:r>
        <w:rPr>
          <w:rFonts w:hint="eastAsia" w:ascii="Times New Roman" w:hAnsi="Times New Roman" w:eastAsia="仿宋_GB2312" w:cs="Times New Roman"/>
          <w:sz w:val="32"/>
          <w:szCs w:val="32"/>
        </w:rPr>
        <w:t>结果应用：自评结果作为2025年预算调整依据，食品安全监测经费拟从5万元增至10万元，用于购置便携式气相色谱仪等新设备</w:t>
      </w:r>
      <w:r>
        <w:rPr>
          <w:rFonts w:hint="eastAsia" w:ascii="Times New Roman" w:hAnsi="Times New Roman" w:eastAsia="仿宋_GB2312" w:cs="Times New Roman"/>
          <w:sz w:val="32"/>
          <w:szCs w:val="32"/>
          <w:lang w:eastAsia="zh-CN"/>
        </w:rPr>
        <w:t>。</w:t>
      </w:r>
    </w:p>
    <w:p w14:paraId="3485C854">
      <w:pPr>
        <w:overflowPunct w:val="0"/>
        <w:spacing w:line="600" w:lineRule="exact"/>
        <w:ind w:firstLine="640" w:firstLineChars="200"/>
        <w:rPr>
          <w:rFonts w:ascii="仿宋" w:hAnsi="仿宋" w:eastAsia="仿宋" w:cs="Times New Roman"/>
          <w:kern w:val="2"/>
          <w:sz w:val="32"/>
          <w:szCs w:val="32"/>
        </w:rPr>
      </w:pPr>
    </w:p>
    <w:p w14:paraId="50F594E7">
      <w:pPr>
        <w:pStyle w:val="13"/>
        <w:numPr>
          <w:numId w:val="0"/>
        </w:numPr>
        <w:overflowPunct w:val="0"/>
        <w:autoSpaceDE/>
        <w:autoSpaceDN/>
        <w:spacing w:line="600" w:lineRule="exact"/>
        <w:jc w:val="both"/>
        <w:rPr>
          <w:rFonts w:ascii="Times New Roman" w:hAnsi="Times New Roman" w:eastAsia="楷体_GB2312" w:cs="Times New Roman"/>
          <w:b/>
          <w:bCs/>
          <w:color w:val="auto"/>
          <w:kern w:val="2"/>
          <w:sz w:val="32"/>
          <w:szCs w:val="32"/>
        </w:rPr>
      </w:pPr>
    </w:p>
    <w:p w14:paraId="385011FC">
      <w:pPr>
        <w:pStyle w:val="13"/>
        <w:jc w:val="center"/>
        <w:rPr>
          <w:rFonts w:ascii="Times New Roman" w:hAnsi="Times New Roman" w:cs="Times New Roman"/>
          <w:sz w:val="72"/>
          <w:szCs w:val="72"/>
        </w:rPr>
      </w:pPr>
    </w:p>
    <w:p w14:paraId="07BEB637">
      <w:pPr>
        <w:pStyle w:val="13"/>
        <w:jc w:val="center"/>
        <w:rPr>
          <w:rFonts w:ascii="Times New Roman" w:hAnsi="Times New Roman" w:cs="Times New Roman"/>
          <w:sz w:val="72"/>
          <w:szCs w:val="72"/>
        </w:rPr>
      </w:pPr>
    </w:p>
    <w:p w14:paraId="6ADF2653">
      <w:pPr>
        <w:pStyle w:val="13"/>
        <w:jc w:val="center"/>
        <w:rPr>
          <w:rFonts w:ascii="Times New Roman" w:hAnsi="Times New Roman" w:cs="Times New Roman"/>
          <w:sz w:val="72"/>
          <w:szCs w:val="72"/>
        </w:rPr>
      </w:pPr>
    </w:p>
    <w:p w14:paraId="0D2A1180">
      <w:pPr>
        <w:pStyle w:val="13"/>
        <w:jc w:val="center"/>
        <w:rPr>
          <w:rFonts w:ascii="Times New Roman" w:hAnsi="Times New Roman" w:cs="Times New Roman"/>
          <w:sz w:val="72"/>
          <w:szCs w:val="72"/>
        </w:rPr>
      </w:pPr>
    </w:p>
    <w:p w14:paraId="035D5783">
      <w:pPr>
        <w:pStyle w:val="13"/>
        <w:jc w:val="center"/>
        <w:rPr>
          <w:rFonts w:ascii="Times New Roman" w:hAnsi="Times New Roman" w:cs="Times New Roman"/>
          <w:sz w:val="72"/>
          <w:szCs w:val="72"/>
        </w:rPr>
      </w:pPr>
    </w:p>
    <w:p w14:paraId="3773E463">
      <w:pPr>
        <w:pStyle w:val="13"/>
        <w:jc w:val="center"/>
        <w:rPr>
          <w:rFonts w:ascii="Times New Roman" w:hAnsi="Times New Roman" w:cs="Times New Roman"/>
          <w:sz w:val="72"/>
          <w:szCs w:val="72"/>
        </w:rPr>
      </w:pPr>
    </w:p>
    <w:p w14:paraId="5E00AD50">
      <w:pPr>
        <w:pStyle w:val="13"/>
        <w:jc w:val="center"/>
        <w:rPr>
          <w:rFonts w:ascii="Times New Roman" w:hAnsi="Times New Roman" w:cs="Times New Roman"/>
          <w:sz w:val="72"/>
          <w:szCs w:val="72"/>
        </w:rPr>
      </w:pPr>
    </w:p>
    <w:p w14:paraId="4CD7C882">
      <w:pPr>
        <w:pStyle w:val="13"/>
        <w:jc w:val="center"/>
        <w:rPr>
          <w:rFonts w:ascii="Times New Roman" w:hAnsi="Times New Roman" w:cs="Times New Roman"/>
          <w:sz w:val="72"/>
          <w:szCs w:val="72"/>
        </w:rPr>
      </w:pPr>
    </w:p>
    <w:p w14:paraId="7E281470">
      <w:pPr>
        <w:pStyle w:val="13"/>
        <w:jc w:val="center"/>
        <w:rPr>
          <w:rFonts w:ascii="Times New Roman" w:hAnsi="Times New Roman" w:cs="Times New Roman"/>
          <w:sz w:val="72"/>
          <w:szCs w:val="72"/>
        </w:rPr>
      </w:pPr>
    </w:p>
    <w:p w14:paraId="2BE1EDAC">
      <w:pPr>
        <w:pStyle w:val="13"/>
        <w:jc w:val="center"/>
        <w:rPr>
          <w:rFonts w:ascii="Times New Roman" w:hAnsi="Times New Roman" w:cs="Times New Roman"/>
          <w:sz w:val="72"/>
          <w:szCs w:val="72"/>
        </w:rPr>
      </w:pPr>
    </w:p>
    <w:p w14:paraId="75CDFB41">
      <w:pPr>
        <w:pStyle w:val="13"/>
        <w:jc w:val="both"/>
        <w:rPr>
          <w:rFonts w:ascii="Times New Roman" w:hAnsi="Times New Roman" w:cs="Times New Roman"/>
          <w:sz w:val="72"/>
          <w:szCs w:val="72"/>
        </w:rPr>
      </w:pPr>
    </w:p>
    <w:p w14:paraId="18B6A84F">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7A1A000B">
      <w:pPr>
        <w:widowControl/>
        <w:ind w:firstLine="640" w:firstLineChars="200"/>
        <w:jc w:val="left"/>
        <w:rPr>
          <w:rFonts w:ascii="Times New Roman" w:hAnsi="Times New Roman" w:eastAsia="仿宋_GB2312" w:cs="Times New Roman"/>
          <w:color w:val="000000"/>
          <w:kern w:val="0"/>
          <w:sz w:val="32"/>
          <w:szCs w:val="32"/>
        </w:rPr>
      </w:pPr>
    </w:p>
    <w:p w14:paraId="58F34395">
      <w:pPr>
        <w:widowControl/>
        <w:ind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一</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rPr>
        <w:t>财政拨款收入：指本年度从本级财政部门取得的财政拨款，包括一般公共预算财政拨款和政府性基金预算财政拨款。</w:t>
      </w:r>
    </w:p>
    <w:p w14:paraId="0A442BA0">
      <w:pPr>
        <w:widowControl/>
        <w:ind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二、</w:t>
      </w:r>
      <w:r>
        <w:rPr>
          <w:rFonts w:hint="eastAsia" w:ascii="Times New Roman" w:hAnsi="Times New Roman" w:eastAsia="仿宋_GB2312" w:cs="Times New Roman"/>
          <w:color w:val="000000"/>
          <w:kern w:val="0"/>
          <w:sz w:val="32"/>
          <w:szCs w:val="32"/>
        </w:rPr>
        <w:t>事业收入：指事业单位开展专业业务活动及其辅助活动取得的收入；事业单位收到的财政专户实际核拨的教育收费等资金在此反映。</w:t>
      </w:r>
    </w:p>
    <w:p w14:paraId="0D63F833">
      <w:pPr>
        <w:widowControl/>
        <w:ind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三、</w:t>
      </w:r>
      <w:r>
        <w:rPr>
          <w:rFonts w:hint="eastAsia" w:ascii="Times New Roman" w:hAnsi="Times New Roman" w:eastAsia="仿宋_GB2312" w:cs="Times New Roman"/>
          <w:color w:val="000000"/>
          <w:kern w:val="0"/>
          <w:sz w:val="32"/>
          <w:szCs w:val="32"/>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14:paraId="3B30E108">
      <w:pPr>
        <w:widowControl/>
        <w:ind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四、</w:t>
      </w:r>
      <w:r>
        <w:rPr>
          <w:rFonts w:hint="eastAsia" w:ascii="Times New Roman" w:hAnsi="Times New Roman" w:eastAsia="仿宋_GB2312" w:cs="Times New Roman"/>
          <w:color w:val="000000"/>
          <w:kern w:val="0"/>
          <w:sz w:val="32"/>
          <w:szCs w:val="32"/>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B9BE327">
      <w:pPr>
        <w:widowControl/>
        <w:ind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五、</w:t>
      </w:r>
      <w:r>
        <w:rPr>
          <w:rFonts w:hint="eastAsia" w:ascii="Times New Roman" w:hAnsi="Times New Roman" w:eastAsia="仿宋_GB2312" w:cs="Times New Roman"/>
          <w:color w:val="000000"/>
          <w:kern w:val="0"/>
          <w:sz w:val="32"/>
          <w:szCs w:val="32"/>
        </w:rPr>
        <w:t>项目支出：指在基本支出之外为完成特定行政任务和事业发展目标所发生的支出。</w:t>
      </w:r>
    </w:p>
    <w:p w14:paraId="3DCA16CE">
      <w:pPr>
        <w:widowControl/>
        <w:ind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六、“三公”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6D79B2F">
      <w:pPr>
        <w:widowControl/>
        <w:ind w:firstLine="640" w:firstLineChars="200"/>
        <w:jc w:val="left"/>
        <w:rPr>
          <w:rFonts w:ascii="Times New Roman" w:hAnsi="Times New Roman" w:eastAsia="仿宋_GB2312" w:cs="Times New Roman"/>
          <w:color w:val="000000"/>
          <w:kern w:val="0"/>
          <w:sz w:val="32"/>
          <w:szCs w:val="32"/>
        </w:rPr>
      </w:pPr>
    </w:p>
    <w:p w14:paraId="062DD560">
      <w:pPr>
        <w:pStyle w:val="13"/>
        <w:ind w:firstLine="640" w:firstLineChars="200"/>
        <w:rPr>
          <w:rFonts w:ascii="Times New Roman" w:hAnsi="Times New Roman" w:cs="Times New Roman" w:eastAsiaTheme="minorEastAsia"/>
          <w:sz w:val="32"/>
          <w:szCs w:val="32"/>
        </w:rPr>
      </w:pPr>
    </w:p>
    <w:p w14:paraId="4CDCD347">
      <w:pPr>
        <w:pStyle w:val="13"/>
        <w:spacing w:line="600" w:lineRule="exact"/>
        <w:ind w:firstLine="640" w:firstLineChars="200"/>
        <w:rPr>
          <w:rFonts w:ascii="Times New Roman" w:hAnsi="Times New Roman" w:eastAsia="楷体_GB2312" w:cs="Times New Roman"/>
          <w:b/>
          <w:bCs/>
          <w:i/>
          <w:color w:val="auto"/>
          <w:sz w:val="32"/>
          <w:szCs w:val="32"/>
        </w:rPr>
      </w:pPr>
      <w:r>
        <w:rPr>
          <w:rFonts w:ascii="Times New Roman" w:hAnsi="Times New Roman" w:eastAsia="楷体_GB2312" w:cs="Times New Roman"/>
          <w:b/>
          <w:bCs/>
          <w:i/>
          <w:color w:val="auto"/>
          <w:sz w:val="32"/>
          <w:szCs w:val="32"/>
        </w:rPr>
        <w:t>（名词解释应包含本部门专有名词，如省财政厅应有对“财政事务”科目的解释，可参考中央相关部门的名词解释）</w:t>
      </w:r>
    </w:p>
    <w:p w14:paraId="14DBA5CA">
      <w:pPr>
        <w:pStyle w:val="13"/>
        <w:jc w:val="center"/>
        <w:rPr>
          <w:rFonts w:ascii="Times New Roman" w:hAnsi="Times New Roman" w:cs="Times New Roman"/>
          <w:sz w:val="72"/>
          <w:szCs w:val="72"/>
        </w:rPr>
      </w:pPr>
    </w:p>
    <w:p w14:paraId="02062C65">
      <w:pPr>
        <w:pStyle w:val="13"/>
        <w:jc w:val="center"/>
        <w:rPr>
          <w:rFonts w:ascii="Times New Roman" w:hAnsi="Times New Roman" w:cs="Times New Roman"/>
          <w:sz w:val="72"/>
          <w:szCs w:val="72"/>
        </w:rPr>
      </w:pPr>
    </w:p>
    <w:p w14:paraId="36B5819C">
      <w:pPr>
        <w:pStyle w:val="13"/>
        <w:jc w:val="center"/>
        <w:rPr>
          <w:rFonts w:ascii="Times New Roman" w:hAnsi="Times New Roman" w:cs="Times New Roman"/>
          <w:sz w:val="72"/>
          <w:szCs w:val="72"/>
        </w:rPr>
      </w:pPr>
    </w:p>
    <w:p w14:paraId="499ACDC4">
      <w:pPr>
        <w:pStyle w:val="13"/>
        <w:jc w:val="center"/>
        <w:rPr>
          <w:rFonts w:ascii="Times New Roman" w:hAnsi="Times New Roman" w:cs="Times New Roman"/>
          <w:sz w:val="72"/>
          <w:szCs w:val="72"/>
        </w:rPr>
      </w:pPr>
    </w:p>
    <w:p w14:paraId="19CBF6D8">
      <w:pPr>
        <w:pStyle w:val="13"/>
        <w:jc w:val="center"/>
        <w:rPr>
          <w:rFonts w:ascii="Times New Roman" w:hAnsi="Times New Roman" w:cs="Times New Roman"/>
          <w:sz w:val="72"/>
          <w:szCs w:val="72"/>
        </w:rPr>
      </w:pPr>
    </w:p>
    <w:p w14:paraId="1FB031CC">
      <w:pPr>
        <w:pStyle w:val="13"/>
        <w:jc w:val="center"/>
        <w:rPr>
          <w:rFonts w:ascii="Times New Roman" w:hAnsi="Times New Roman" w:cs="Times New Roman"/>
          <w:sz w:val="72"/>
          <w:szCs w:val="72"/>
        </w:rPr>
      </w:pPr>
    </w:p>
    <w:p w14:paraId="603867C7">
      <w:pPr>
        <w:pStyle w:val="13"/>
        <w:jc w:val="center"/>
        <w:rPr>
          <w:rFonts w:ascii="Times New Roman" w:hAnsi="Times New Roman" w:cs="Times New Roman"/>
          <w:sz w:val="72"/>
          <w:szCs w:val="72"/>
        </w:rPr>
      </w:pPr>
    </w:p>
    <w:p w14:paraId="1B25B39E">
      <w:pPr>
        <w:pStyle w:val="13"/>
        <w:jc w:val="both"/>
        <w:rPr>
          <w:rFonts w:ascii="Times New Roman" w:hAnsi="Times New Roman" w:cs="Times New Roman"/>
          <w:sz w:val="72"/>
          <w:szCs w:val="72"/>
        </w:rPr>
      </w:pPr>
    </w:p>
    <w:p w14:paraId="1419ABB5">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6048BB08">
      <w:pPr>
        <w:rPr>
          <w:rFonts w:ascii="Times New Roman" w:hAnsi="Times New Roman" w:cs="Times New Roman"/>
          <w:sz w:val="72"/>
          <w:szCs w:val="72"/>
        </w:rPr>
      </w:pPr>
    </w:p>
    <w:p w14:paraId="76EBA795">
      <w:pPr>
        <w:pStyle w:val="13"/>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w:t>
      </w:r>
      <w:r>
        <w:rPr>
          <w:rFonts w:ascii="Times New Roman" w:hAnsi="Times New Roman" w:eastAsia="仿宋_GB2312" w:cs="Times New Roman"/>
          <w:sz w:val="32"/>
          <w:szCs w:val="32"/>
        </w:rPr>
        <w:t>2024年度部门(单位)整体支出绩效自评报告。</w:t>
      </w:r>
    </w:p>
    <w:p w14:paraId="5005763D">
      <w:pPr>
        <w:pStyle w:val="13"/>
        <w:ind w:firstLine="1280" w:firstLineChars="400"/>
        <w:rPr>
          <w:rFonts w:ascii="Times New Roman" w:hAnsi="Times New Roman" w:eastAsia="仿宋_GB2312" w:cs="Times New Roman"/>
          <w:sz w:val="32"/>
          <w:szCs w:val="32"/>
        </w:rPr>
      </w:pPr>
    </w:p>
    <w:p w14:paraId="62A4E2A6">
      <w:pPr>
        <w:pStyle w:val="13"/>
        <w:spacing w:line="600" w:lineRule="exact"/>
        <w:ind w:firstLine="640" w:firstLineChars="200"/>
        <w:rPr>
          <w:rFonts w:ascii="Times New Roman" w:hAnsi="Times New Roman" w:eastAsia="仿宋_GB2312" w:cs="Times New Roman"/>
          <w:sz w:val="32"/>
          <w:szCs w:val="32"/>
        </w:rPr>
      </w:pPr>
    </w:p>
    <w:p w14:paraId="7B494CC8">
      <w:pPr>
        <w:pStyle w:val="13"/>
        <w:jc w:val="center"/>
        <w:rPr>
          <w:rFonts w:ascii="Times New Roman" w:hAnsi="Times New Roman" w:cs="Times New Roman"/>
          <w:sz w:val="72"/>
          <w:szCs w:val="72"/>
        </w:rPr>
      </w:pPr>
    </w:p>
    <w:p w14:paraId="4CD46A28">
      <w:pPr>
        <w:pStyle w:val="13"/>
        <w:jc w:val="center"/>
        <w:rPr>
          <w:rFonts w:ascii="Times New Roman" w:hAnsi="Times New Roman" w:cs="Times New Roman"/>
          <w:sz w:val="72"/>
          <w:szCs w:val="72"/>
        </w:rPr>
      </w:pPr>
    </w:p>
    <w:p w14:paraId="5899B08F">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C009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4D255">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C0C19">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BE26B">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6AB888">
                          <w:pPr>
                            <w:pStyle w:val="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C6AB888">
                    <w:pPr>
                      <w:pStyle w:val="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7BC66A"/>
    <w:multiLevelType w:val="singleLevel"/>
    <w:tmpl w:val="B97BC66A"/>
    <w:lvl w:ilvl="0" w:tentative="0">
      <w:start w:val="10"/>
      <w:numFmt w:val="decimal"/>
      <w:suff w:val="nothing"/>
      <w:lvlText w:val="%1、"/>
      <w:lvlJc w:val="left"/>
    </w:lvl>
  </w:abstractNum>
  <w:abstractNum w:abstractNumId="1">
    <w:nsid w:val="F700EDED"/>
    <w:multiLevelType w:val="singleLevel"/>
    <w:tmpl w:val="F700EDED"/>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63411E7"/>
    <w:rsid w:val="09495FEF"/>
    <w:rsid w:val="0AE11AAD"/>
    <w:rsid w:val="1CE92ABB"/>
    <w:rsid w:val="1D97DEFF"/>
    <w:rsid w:val="1DFF72E5"/>
    <w:rsid w:val="1EFC6F07"/>
    <w:rsid w:val="2FDF85B8"/>
    <w:rsid w:val="2FFFEE04"/>
    <w:rsid w:val="320771EA"/>
    <w:rsid w:val="33925D96"/>
    <w:rsid w:val="34DF85B0"/>
    <w:rsid w:val="34F83874"/>
    <w:rsid w:val="36C95EC8"/>
    <w:rsid w:val="37402742"/>
    <w:rsid w:val="395E5707"/>
    <w:rsid w:val="3B8F36BC"/>
    <w:rsid w:val="3CD235BE"/>
    <w:rsid w:val="491FF225"/>
    <w:rsid w:val="4FFD214C"/>
    <w:rsid w:val="5777D4F5"/>
    <w:rsid w:val="57A92DF9"/>
    <w:rsid w:val="59CC52AE"/>
    <w:rsid w:val="59DD8326"/>
    <w:rsid w:val="5ABE17D2"/>
    <w:rsid w:val="5DEF592A"/>
    <w:rsid w:val="5EDB21BD"/>
    <w:rsid w:val="5FC6BB1E"/>
    <w:rsid w:val="5FF720F1"/>
    <w:rsid w:val="62BF00A6"/>
    <w:rsid w:val="671C36AF"/>
    <w:rsid w:val="67FF5C0B"/>
    <w:rsid w:val="68FB6810"/>
    <w:rsid w:val="6EFC0924"/>
    <w:rsid w:val="6FB74722"/>
    <w:rsid w:val="6FEF8B7E"/>
    <w:rsid w:val="71A6591B"/>
    <w:rsid w:val="737D59BA"/>
    <w:rsid w:val="77C37683"/>
    <w:rsid w:val="79D19834"/>
    <w:rsid w:val="79FF515B"/>
    <w:rsid w:val="7D1E3873"/>
    <w:rsid w:val="7E9E1962"/>
    <w:rsid w:val="7E9F11B4"/>
    <w:rsid w:val="7EAA64E6"/>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Normal (Web)"/>
    <w:basedOn w:val="1"/>
    <w:semiHidden/>
    <w:unhideWhenUsed/>
    <w:qFormat/>
    <w:uiPriority w:val="99"/>
    <w:pPr>
      <w:spacing w:beforeAutospacing="1" w:afterAutospacing="1"/>
      <w:jc w:val="left"/>
    </w:pPr>
    <w:rPr>
      <w:rFonts w:cs="Times New Roman"/>
      <w:kern w:val="0"/>
      <w:sz w:val="24"/>
    </w:r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1337</Words>
  <Characters>1369</Characters>
  <Lines>69</Lines>
  <Paragraphs>19</Paragraphs>
  <TotalTime>0</TotalTime>
  <ScaleCrop>false</ScaleCrop>
  <LinksUpToDate>false</LinksUpToDate>
  <CharactersWithSpaces>1509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九月</cp:lastModifiedBy>
  <cp:lastPrinted>2024-08-08T18:20:00Z</cp:lastPrinted>
  <dcterms:modified xsi:type="dcterms:W3CDTF">2025-09-24T03:29:58Z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BB7B6AA21D207914D6FDA268992A22D6</vt:lpwstr>
  </property>
  <property fmtid="{D5CDD505-2E9C-101B-9397-08002B2CF9AE}" pid="4" name="KSOTemplateDocerSaveRecord">
    <vt:lpwstr>eyJoZGlkIjoiMTQ3NjcyZmViZGMxZDk3MWUzMTZkYjFlZDE0NzUwMjQiLCJ1c2VySWQiOiIzMjQyMjY2MzEifQ==</vt:lpwstr>
  </property>
</Properties>
</file>