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rFonts w:hint="eastAsia" w:ascii="仿宋" w:hAnsi="仿宋" w:eastAsia="仿宋" w:cs="仿宋"/>
          <w:b/>
          <w:bCs/>
          <w:sz w:val="48"/>
          <w:szCs w:val="48"/>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sz w:val="56"/>
          <w:szCs w:val="56"/>
        </w:rPr>
      </w:pPr>
      <w:r>
        <w:rPr>
          <w:rFonts w:hint="eastAsia" w:ascii="仿宋" w:hAnsi="仿宋" w:eastAsia="仿宋" w:cs="仿宋"/>
          <w:b/>
          <w:bCs/>
          <w:sz w:val="48"/>
          <w:szCs w:val="48"/>
        </w:rPr>
        <w:t>2021年度怀化市中心血站部门决算</w:t>
      </w:r>
    </w:p>
    <w:p>
      <w:pPr>
        <w:pStyle w:val="10"/>
        <w:keepNext w:val="0"/>
        <w:keepLines w:val="0"/>
        <w:pageBreakBefore w:val="0"/>
        <w:kinsoku/>
        <w:wordWrap/>
        <w:overflowPunct/>
        <w:topLinePunct w:val="0"/>
        <w:bidi w:val="0"/>
        <w:snapToGrid/>
        <w:spacing w:line="600" w:lineRule="exact"/>
        <w:jc w:val="both"/>
        <w:textAlignment w:val="auto"/>
        <w:rPr>
          <w:b/>
          <w:sz w:val="36"/>
          <w:szCs w:val="28"/>
        </w:rPr>
      </w:pPr>
    </w:p>
    <w:p>
      <w:pPr>
        <w:pStyle w:val="10"/>
        <w:keepNext w:val="0"/>
        <w:keepLines w:val="0"/>
        <w:pageBreakBefore w:val="0"/>
        <w:kinsoku/>
        <w:wordWrap/>
        <w:overflowPunct/>
        <w:topLinePunct w:val="0"/>
        <w:bidi w:val="0"/>
        <w:snapToGrid/>
        <w:spacing w:line="600" w:lineRule="exact"/>
        <w:ind w:left="0" w:firstLine="602" w:firstLineChars="200"/>
        <w:jc w:val="center"/>
        <w:textAlignment w:val="auto"/>
        <w:rPr>
          <w:b/>
          <w:sz w:val="30"/>
          <w:szCs w:val="30"/>
        </w:rPr>
      </w:pPr>
      <w:r>
        <w:rPr>
          <w:rFonts w:hint="eastAsia"/>
          <w:b/>
          <w:sz w:val="30"/>
          <w:szCs w:val="30"/>
        </w:rPr>
        <w:t>目录</w:t>
      </w:r>
    </w:p>
    <w:p>
      <w:pPr>
        <w:pStyle w:val="10"/>
        <w:keepNext w:val="0"/>
        <w:keepLines w:val="0"/>
        <w:pageBreakBefore w:val="0"/>
        <w:kinsoku/>
        <w:wordWrap/>
        <w:overflowPunct/>
        <w:topLinePunct w:val="0"/>
        <w:bidi w:val="0"/>
        <w:snapToGrid/>
        <w:spacing w:line="600" w:lineRule="exact"/>
        <w:ind w:left="0" w:firstLine="643" w:firstLineChars="200"/>
        <w:textAlignment w:val="auto"/>
        <w:rPr>
          <w:rFonts w:ascii="仿宋_GB2312" w:hAnsi="仿宋_GB2312" w:cs="仿宋_GB2312"/>
          <w:b/>
          <w:sz w:val="32"/>
          <w:szCs w:val="32"/>
        </w:rPr>
      </w:pPr>
      <w:r>
        <w:rPr>
          <w:rFonts w:hint="eastAsia"/>
          <w:b/>
          <w:sz w:val="32"/>
          <w:szCs w:val="32"/>
        </w:rPr>
        <w:t>第一部分怀化市中心血站单位概况</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0"/>
        <w:keepNext w:val="0"/>
        <w:keepLines w:val="0"/>
        <w:pageBreakBefore w:val="0"/>
        <w:kinsoku/>
        <w:wordWrap/>
        <w:overflowPunct/>
        <w:topLinePunct w:val="0"/>
        <w:bidi w:val="0"/>
        <w:snapToGrid/>
        <w:spacing w:line="600" w:lineRule="exact"/>
        <w:ind w:left="0" w:firstLine="643" w:firstLineChars="200"/>
        <w:textAlignment w:val="auto"/>
        <w:rPr>
          <w:rFonts w:ascii="仿宋_GB2312" w:hAnsi="仿宋_GB2312" w:cs="仿宋_GB2312"/>
          <w:b/>
          <w:sz w:val="32"/>
          <w:szCs w:val="32"/>
        </w:rPr>
      </w:pPr>
      <w:r>
        <w:rPr>
          <w:rFonts w:hint="eastAsia" w:hAnsi="仿宋_GB2312"/>
          <w:b/>
          <w:sz w:val="32"/>
          <w:szCs w:val="32"/>
        </w:rPr>
        <w:t>第二部分</w:t>
      </w:r>
      <w:r>
        <w:rPr>
          <w:rFonts w:hAnsi="仿宋_GB2312"/>
          <w:b/>
          <w:sz w:val="32"/>
          <w:szCs w:val="32"/>
        </w:rPr>
        <w:t>20</w:t>
      </w:r>
      <w:r>
        <w:rPr>
          <w:rFonts w:hint="eastAsia" w:hAnsi="仿宋_GB2312"/>
          <w:b/>
          <w:sz w:val="32"/>
          <w:szCs w:val="32"/>
        </w:rPr>
        <w:t>21年度部门决算表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0"/>
        <w:keepNext w:val="0"/>
        <w:keepLines w:val="0"/>
        <w:pageBreakBefore w:val="0"/>
        <w:kinsoku/>
        <w:wordWrap/>
        <w:overflowPunct/>
        <w:topLinePunct w:val="0"/>
        <w:bidi w:val="0"/>
        <w:snapToGrid/>
        <w:spacing w:line="600" w:lineRule="exact"/>
        <w:ind w:left="0" w:firstLine="643" w:firstLineChars="200"/>
        <w:textAlignment w:val="auto"/>
        <w:rPr>
          <w:rFonts w:ascii="仿宋_GB2312" w:hAnsi="仿宋_GB2312" w:cs="仿宋_GB2312"/>
          <w:b/>
          <w:sz w:val="32"/>
          <w:szCs w:val="32"/>
        </w:rPr>
      </w:pPr>
      <w:r>
        <w:rPr>
          <w:rFonts w:hint="eastAsia" w:hAnsi="仿宋_GB2312"/>
          <w:b/>
          <w:sz w:val="32"/>
          <w:szCs w:val="32"/>
        </w:rPr>
        <w:t>第三部分</w:t>
      </w:r>
      <w:r>
        <w:rPr>
          <w:rFonts w:hAnsi="仿宋_GB2312"/>
          <w:b/>
          <w:sz w:val="32"/>
          <w:szCs w:val="32"/>
        </w:rPr>
        <w:t>20</w:t>
      </w:r>
      <w:r>
        <w:rPr>
          <w:rFonts w:hint="eastAsia" w:hAnsi="仿宋_GB2312"/>
          <w:b/>
          <w:sz w:val="32"/>
          <w:szCs w:val="32"/>
        </w:rPr>
        <w:t>21年度部门决算情况说明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pageBreakBefore w:val="0"/>
        <w:kinsoku/>
        <w:wordWrap/>
        <w:overflowPunct/>
        <w:topLinePunct w:val="0"/>
        <w:bidi w:val="0"/>
        <w:snapToGrid/>
        <w:spacing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九、国有资本经营预算财政拨款支出决算情况说明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十、机关运行经费支出说明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十一、一般性支出情况说明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十二、政府采购支出说明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十三、国有资产占用情况说明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十四、2021年度预算绩效情况说明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3" w:firstLineChars="200"/>
        <w:jc w:val="left"/>
        <w:textAlignment w:val="auto"/>
        <w:rPr>
          <w:rFonts w:ascii="黑体" w:hAnsi="黑体" w:eastAsia="黑体" w:cs="黑体"/>
          <w:b/>
          <w:color w:val="000000"/>
          <w:kern w:val="0"/>
          <w:sz w:val="32"/>
          <w:szCs w:val="32"/>
        </w:rPr>
      </w:pPr>
      <w:r>
        <w:rPr>
          <w:rFonts w:ascii="黑体" w:hAnsi="黑体" w:eastAsia="黑体" w:cs="黑体"/>
          <w:b/>
          <w:color w:val="000000"/>
          <w:kern w:val="0"/>
          <w:sz w:val="32"/>
          <w:szCs w:val="32"/>
        </w:rPr>
        <w:t>第四部分名词解释</w:t>
      </w:r>
    </w:p>
    <w:p>
      <w:pPr>
        <w:keepNext w:val="0"/>
        <w:keepLines w:val="0"/>
        <w:pageBreakBefore w:val="0"/>
        <w:kinsoku/>
        <w:wordWrap/>
        <w:overflowPunct/>
        <w:topLinePunct w:val="0"/>
        <w:autoSpaceDE w:val="0"/>
        <w:autoSpaceDN w:val="0"/>
        <w:bidi w:val="0"/>
        <w:adjustRightInd w:val="0"/>
        <w:snapToGrid/>
        <w:spacing w:line="600" w:lineRule="exact"/>
        <w:ind w:left="0" w:firstLine="643" w:firstLineChars="200"/>
        <w:jc w:val="left"/>
        <w:textAlignment w:val="auto"/>
        <w:rPr>
          <w:rFonts w:ascii="黑体" w:hAnsi="黑体" w:eastAsia="黑体" w:cs="仿宋_GB2312"/>
          <w:b/>
          <w:color w:val="000000"/>
          <w:kern w:val="0"/>
          <w:sz w:val="32"/>
          <w:szCs w:val="32"/>
        </w:rPr>
      </w:pPr>
      <w:r>
        <w:rPr>
          <w:rFonts w:hint="eastAsia" w:ascii="黑体" w:hAnsi="黑体" w:eastAsia="黑体" w:cs="黑体"/>
          <w:b/>
          <w:color w:val="000000"/>
          <w:kern w:val="0"/>
          <w:sz w:val="32"/>
          <w:szCs w:val="32"/>
        </w:rPr>
        <w:t>第五部分附件</w:t>
      </w:r>
    </w:p>
    <w:p>
      <w:pPr>
        <w:pStyle w:val="10"/>
        <w:keepNext w:val="0"/>
        <w:keepLines w:val="0"/>
        <w:pageBreakBefore w:val="0"/>
        <w:kinsoku/>
        <w:wordWrap/>
        <w:overflowPunct/>
        <w:topLinePunct w:val="0"/>
        <w:bidi w:val="0"/>
        <w:snapToGrid/>
        <w:spacing w:line="600" w:lineRule="exact"/>
        <w:jc w:val="both"/>
        <w:textAlignment w:val="auto"/>
        <w:rPr>
          <w:sz w:val="44"/>
          <w:szCs w:val="44"/>
        </w:rPr>
      </w:pPr>
    </w:p>
    <w:p>
      <w:pPr>
        <w:pStyle w:val="10"/>
        <w:keepNext w:val="0"/>
        <w:keepLines w:val="0"/>
        <w:pageBreakBefore w:val="0"/>
        <w:kinsoku/>
        <w:wordWrap/>
        <w:overflowPunct/>
        <w:topLinePunct w:val="0"/>
        <w:bidi w:val="0"/>
        <w:snapToGrid/>
        <w:spacing w:line="600" w:lineRule="exact"/>
        <w:ind w:left="0" w:firstLine="880" w:firstLineChars="200"/>
        <w:jc w:val="center"/>
        <w:textAlignment w:val="auto"/>
        <w:rPr>
          <w:sz w:val="44"/>
          <w:szCs w:val="44"/>
        </w:rPr>
      </w:pPr>
    </w:p>
    <w:p>
      <w:pPr>
        <w:pStyle w:val="10"/>
        <w:keepNext w:val="0"/>
        <w:keepLines w:val="0"/>
        <w:pageBreakBefore w:val="0"/>
        <w:kinsoku/>
        <w:wordWrap/>
        <w:overflowPunct/>
        <w:topLinePunct w:val="0"/>
        <w:bidi w:val="0"/>
        <w:snapToGrid/>
        <w:spacing w:line="600" w:lineRule="exact"/>
        <w:ind w:left="0" w:firstLine="964" w:firstLineChars="200"/>
        <w:jc w:val="center"/>
        <w:textAlignment w:val="auto"/>
        <w:rPr>
          <w:sz w:val="48"/>
          <w:szCs w:val="48"/>
        </w:rPr>
      </w:pPr>
      <w:r>
        <w:rPr>
          <w:rFonts w:hint="eastAsia" w:ascii="黑体" w:hAnsi="黑体" w:eastAsia="黑体" w:cs="黑体"/>
          <w:b/>
          <w:bCs/>
          <w:sz w:val="48"/>
          <w:szCs w:val="48"/>
        </w:rPr>
        <w:t>第一部分怀化市中心血站概况</w:t>
      </w:r>
    </w:p>
    <w:p>
      <w:pPr>
        <w:keepNext w:val="0"/>
        <w:keepLines w:val="0"/>
        <w:pageBreakBefore w:val="0"/>
        <w:kinsoku/>
        <w:wordWrap/>
        <w:overflowPunct/>
        <w:topLinePunct w:val="0"/>
        <w:bidi w:val="0"/>
        <w:snapToGrid/>
        <w:spacing w:line="600" w:lineRule="exact"/>
        <w:ind w:left="0" w:firstLine="640" w:firstLineChars="200"/>
        <w:jc w:val="left"/>
        <w:textAlignment w:val="auto"/>
        <w:rPr>
          <w:rFonts w:ascii="黑体" w:hAnsi="黑体" w:eastAsia="黑体"/>
          <w:sz w:val="32"/>
          <w:szCs w:val="32"/>
        </w:rPr>
      </w:pPr>
    </w:p>
    <w:p>
      <w:pPr>
        <w:pStyle w:val="11"/>
        <w:keepNext w:val="0"/>
        <w:keepLines w:val="0"/>
        <w:pageBreakBefore w:val="0"/>
        <w:numPr>
          <w:ilvl w:val="0"/>
          <w:numId w:val="1"/>
        </w:numPr>
        <w:kinsoku/>
        <w:wordWrap/>
        <w:overflowPunct/>
        <w:topLinePunct w:val="0"/>
        <w:bidi w:val="0"/>
        <w:snapToGrid/>
        <w:spacing w:line="600" w:lineRule="exact"/>
        <w:ind w:left="0" w:firstLine="643" w:firstLineChars="200"/>
        <w:jc w:val="left"/>
        <w:textAlignment w:val="auto"/>
        <w:rPr>
          <w:rFonts w:ascii="黑体" w:hAnsi="黑体" w:eastAsia="黑体"/>
          <w:b/>
          <w:sz w:val="32"/>
          <w:szCs w:val="32"/>
        </w:rPr>
      </w:pPr>
      <w:r>
        <w:rPr>
          <w:rFonts w:ascii="黑体" w:hAnsi="黑体" w:eastAsia="黑体"/>
          <w:b/>
          <w:sz w:val="32"/>
          <w:szCs w:val="32"/>
        </w:rPr>
        <w:t>部门职责</w:t>
      </w:r>
    </w:p>
    <w:p>
      <w:pPr>
        <w:pStyle w:val="11"/>
        <w:keepNext w:val="0"/>
        <w:keepLines w:val="0"/>
        <w:pageBreakBefore w:val="0"/>
        <w:widowControl/>
        <w:kinsoku/>
        <w:wordWrap/>
        <w:overflowPunct/>
        <w:topLinePunct w:val="0"/>
        <w:bidi w:val="0"/>
        <w:snapToGrid/>
        <w:spacing w:line="600" w:lineRule="exact"/>
        <w:ind w:left="0" w:firstLine="640" w:firstLineChars="200"/>
        <w:jc w:val="left"/>
        <w:textAlignment w:val="auto"/>
        <w:rPr>
          <w:rFonts w:cs="宋体" w:asciiTheme="minorEastAsia" w:hAnsiTheme="minorEastAsia"/>
          <w:color w:val="424242"/>
          <w:kern w:val="0"/>
          <w:sz w:val="32"/>
          <w:szCs w:val="32"/>
        </w:rPr>
      </w:pPr>
      <w:r>
        <w:rPr>
          <w:rFonts w:hint="eastAsia" w:ascii="仿宋" w:hAnsi="仿宋" w:eastAsia="仿宋" w:cs="仿宋"/>
          <w:color w:val="424242"/>
          <w:kern w:val="0"/>
          <w:sz w:val="32"/>
          <w:szCs w:val="32"/>
        </w:rPr>
        <w:t>怀化市中心血站是财政补助（差额拨款）的公益一类事业单位，主管部门市卫生健康委，血站现有在职员工85人，其中卫生专业技术人员52人。按照省级人民政府卫生健康行政部门的要求，在怀化市13个县市区开展无偿献血的宣传与招募、血液的采集、血液的检测、血液的制备、临床用血供应等采供血服务工作，市辖区内医疗用血的业务指导和血液储存的质量控制工作，卫生健康行政部门交办的任务工作。</w:t>
      </w:r>
    </w:p>
    <w:p>
      <w:pPr>
        <w:keepNext w:val="0"/>
        <w:keepLines w:val="0"/>
        <w:pageBreakBefore w:val="0"/>
        <w:widowControl/>
        <w:kinsoku/>
        <w:wordWrap/>
        <w:overflowPunct/>
        <w:topLinePunct w:val="0"/>
        <w:bidi w:val="0"/>
        <w:snapToGrid/>
        <w:spacing w:line="600" w:lineRule="exact"/>
        <w:ind w:left="0" w:firstLine="643" w:firstLineChars="200"/>
        <w:textAlignment w:val="auto"/>
        <w:rPr>
          <w:rFonts w:ascii="黑体" w:hAnsi="黑体" w:eastAsia="黑体"/>
          <w:b/>
          <w:bCs/>
          <w:kern w:val="0"/>
          <w:sz w:val="32"/>
          <w:szCs w:val="32"/>
        </w:rPr>
      </w:pPr>
      <w:r>
        <w:rPr>
          <w:rFonts w:hint="eastAsia" w:ascii="黑体" w:hAnsi="黑体" w:eastAsia="黑体"/>
          <w:b/>
          <w:bCs/>
          <w:kern w:val="0"/>
          <w:sz w:val="32"/>
          <w:szCs w:val="32"/>
        </w:rPr>
        <w:t>二、机构设置及决算单位构成</w:t>
      </w:r>
    </w:p>
    <w:p>
      <w:pPr>
        <w:keepNext w:val="0"/>
        <w:keepLines w:val="0"/>
        <w:pageBreakBefore w:val="0"/>
        <w:widowControl/>
        <w:kinsoku/>
        <w:wordWrap/>
        <w:overflowPunct/>
        <w:topLinePunct w:val="0"/>
        <w:bidi w:val="0"/>
        <w:snapToGrid/>
        <w:spacing w:line="600" w:lineRule="exact"/>
        <w:ind w:left="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hint="eastAsia" w:ascii="仿宋" w:hAnsi="仿宋" w:eastAsia="仿宋" w:cs="仿宋"/>
          <w:color w:val="424242"/>
          <w:kern w:val="0"/>
          <w:sz w:val="32"/>
          <w:szCs w:val="32"/>
        </w:rPr>
      </w:pPr>
      <w:r>
        <w:rPr>
          <w:rFonts w:hint="eastAsia" w:ascii="仿宋" w:hAnsi="仿宋" w:eastAsia="仿宋" w:cs="仿宋"/>
          <w:color w:val="424242"/>
          <w:kern w:val="0"/>
          <w:sz w:val="32"/>
          <w:szCs w:val="32"/>
        </w:rPr>
        <w:t>怀化市中心血站内设机构包括献血服务科、体检采血科、成分制备供血科、检验科、质理管理科、办公室、财务科、总务科8个职能科室。承担无偿献血的招募、采集、制备、检测、供应等采供血服务工作。</w:t>
      </w:r>
    </w:p>
    <w:p>
      <w:pPr>
        <w:keepNext w:val="0"/>
        <w:keepLines w:val="0"/>
        <w:pageBreakBefore w:val="0"/>
        <w:widowControl/>
        <w:kinsoku/>
        <w:wordWrap/>
        <w:overflowPunct/>
        <w:topLinePunct w:val="0"/>
        <w:bidi w:val="0"/>
        <w:snapToGrid/>
        <w:spacing w:line="600" w:lineRule="exact"/>
        <w:ind w:left="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（二）决算单位构成。</w:t>
      </w:r>
    </w:p>
    <w:p>
      <w:pPr>
        <w:keepNext w:val="0"/>
        <w:keepLines w:val="0"/>
        <w:pageBreakBefore w:val="0"/>
        <w:widowControl/>
        <w:kinsoku/>
        <w:wordWrap/>
        <w:overflowPunct/>
        <w:topLinePunct w:val="0"/>
        <w:bidi w:val="0"/>
        <w:snapToGrid/>
        <w:spacing w:line="600" w:lineRule="exact"/>
        <w:ind w:left="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怀化市中心血站2021年部门决算汇总公开单位构成包括：怀化市中心血站本级。</w:t>
      </w:r>
    </w:p>
    <w:p>
      <w:pPr>
        <w:keepNext w:val="0"/>
        <w:keepLines w:val="0"/>
        <w:pageBreakBefore w:val="0"/>
        <w:kinsoku/>
        <w:wordWrap/>
        <w:overflowPunct/>
        <w:topLinePunct w:val="0"/>
        <w:bidi w:val="0"/>
        <w:snapToGrid/>
        <w:spacing w:line="600" w:lineRule="exact"/>
        <w:ind w:left="0" w:firstLine="640" w:firstLineChars="200"/>
        <w:jc w:val="center"/>
        <w:textAlignment w:val="auto"/>
        <w:rPr>
          <w:rFonts w:asciiTheme="minorEastAsia" w:hAnsiTheme="minorEastAsia"/>
          <w:sz w:val="32"/>
          <w:szCs w:val="32"/>
        </w:rPr>
      </w:pPr>
    </w:p>
    <w:p>
      <w:pPr>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b/>
          <w:sz w:val="72"/>
          <w:szCs w:val="7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黑体" w:hAnsi="黑体" w:eastAsia="黑体" w:cs="黑体"/>
          <w:b/>
          <w:bCs w:val="0"/>
          <w:sz w:val="48"/>
          <w:szCs w:val="48"/>
        </w:rPr>
      </w:pPr>
      <w:r>
        <w:rPr>
          <w:rFonts w:hint="eastAsia" w:ascii="黑体" w:hAnsi="黑体" w:eastAsia="黑体" w:cs="黑体"/>
          <w:b/>
          <w:bCs w:val="0"/>
          <w:sz w:val="48"/>
          <w:szCs w:val="48"/>
        </w:rPr>
        <w:t>第二部分部门决算表</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黑体" w:hAnsi="黑体" w:eastAsia="黑体" w:cs="黑体"/>
          <w:b w:val="0"/>
          <w:bCs/>
          <w:sz w:val="48"/>
          <w:szCs w:val="48"/>
          <w:lang w:eastAsia="zh-CN"/>
        </w:rPr>
        <w:sectPr>
          <w:pgSz w:w="11906" w:h="16838"/>
          <w:pgMar w:top="720" w:right="720" w:bottom="720" w:left="720" w:header="851" w:footer="992" w:gutter="0"/>
          <w:cols w:space="425" w:num="1"/>
          <w:docGrid w:type="lines" w:linePitch="312" w:charSpace="0"/>
        </w:sectPr>
      </w:pPr>
      <w:r>
        <w:rPr>
          <w:rFonts w:hint="eastAsia" w:ascii="黑体" w:hAnsi="黑体" w:eastAsia="黑体" w:cs="黑体"/>
          <w:b w:val="0"/>
          <w:bCs/>
          <w:kern w:val="0"/>
          <w:sz w:val="48"/>
          <w:szCs w:val="48"/>
          <w:lang w:eastAsia="zh-CN"/>
        </w:rPr>
        <w:t>（</w:t>
      </w:r>
      <w:r>
        <w:rPr>
          <w:rFonts w:hint="eastAsia" w:ascii="黑体" w:hAnsi="黑体" w:eastAsia="黑体" w:cs="黑体"/>
          <w:b w:val="0"/>
          <w:bCs/>
          <w:kern w:val="0"/>
          <w:sz w:val="48"/>
          <w:szCs w:val="48"/>
        </w:rPr>
        <w:t>具体见附件</w:t>
      </w:r>
      <w:r>
        <w:rPr>
          <w:rFonts w:hint="eastAsia" w:ascii="黑体" w:hAnsi="黑体" w:eastAsia="黑体" w:cs="黑体"/>
          <w:b w:val="0"/>
          <w:bCs/>
          <w:kern w:val="0"/>
          <w:sz w:val="48"/>
          <w:szCs w:val="48"/>
          <w:lang w:eastAsia="zh-CN"/>
        </w:rPr>
        <w:t>）</w:t>
      </w: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sz w:val="72"/>
          <w:szCs w:val="72"/>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sz w:val="48"/>
          <w:szCs w:val="48"/>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b/>
          <w:bCs/>
          <w:sz w:val="48"/>
          <w:szCs w:val="48"/>
        </w:rPr>
      </w:pPr>
      <w:r>
        <w:rPr>
          <w:rFonts w:hint="eastAsia"/>
          <w:b/>
          <w:bCs/>
          <w:sz w:val="48"/>
          <w:szCs w:val="48"/>
        </w:rPr>
        <w:t>第三部分</w:t>
      </w:r>
      <w:r>
        <w:rPr>
          <w:b/>
          <w:bCs/>
          <w:sz w:val="48"/>
          <w:szCs w:val="48"/>
        </w:rPr>
        <w:t>20</w:t>
      </w:r>
      <w:r>
        <w:rPr>
          <w:rFonts w:hint="eastAsia"/>
          <w:b/>
          <w:bCs/>
          <w:sz w:val="48"/>
          <w:szCs w:val="48"/>
        </w:rPr>
        <w:t>21年度部门决算情况说明</w:t>
      </w:r>
    </w:p>
    <w:p>
      <w:pPr>
        <w:keepNext w:val="0"/>
        <w:keepLines w:val="0"/>
        <w:pageBreakBefore w:val="0"/>
        <w:widowControl/>
        <w:kinsoku/>
        <w:wordWrap/>
        <w:overflowPunct/>
        <w:topLinePunct w:val="0"/>
        <w:bidi w:val="0"/>
        <w:snapToGrid/>
        <w:spacing w:line="600" w:lineRule="exact"/>
        <w:jc w:val="left"/>
        <w:textAlignment w:val="auto"/>
        <w:rPr>
          <w:rFonts w:asciiTheme="minorEastAsia" w:hAnsiTheme="minorEastAsia" w:eastAsiaTheme="minorEastAsia"/>
          <w:sz w:val="32"/>
          <w:szCs w:val="32"/>
        </w:rPr>
      </w:pPr>
      <w:r>
        <w:rPr>
          <w:sz w:val="70"/>
          <w:szCs w:val="70"/>
        </w:rPr>
        <w:br w:type="page"/>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一、收入支出决算总体情况说明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3329.05万元。与上年相比，增加749.97万元，增长29.08%，主要是因为本级财政项目经费拨款收入增加</w:t>
      </w:r>
      <w:r>
        <w:rPr>
          <w:rFonts w:hint="eastAsia" w:asciiTheme="minorEastAsia" w:hAnsiTheme="minorEastAsia" w:eastAsiaTheme="minorEastAsia"/>
          <w:sz w:val="32"/>
          <w:szCs w:val="32"/>
        </w:rPr>
        <w:t>。</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二、收入决算情况说明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2021年度收入合计3001.53万元，其中：财政拨款收入936.73万元，占31.21%；事业收入2064.8</w:t>
      </w:r>
      <w:r>
        <w:rPr>
          <w:rFonts w:hint="eastAsia" w:ascii="仿宋" w:hAnsi="仿宋" w:eastAsia="仿宋" w:cs="仿宋"/>
          <w:sz w:val="32"/>
          <w:szCs w:val="32"/>
          <w:lang w:val="en-US" w:eastAsia="zh-CN"/>
        </w:rPr>
        <w:t>0</w:t>
      </w:r>
      <w:r>
        <w:rPr>
          <w:rFonts w:hint="eastAsia" w:ascii="仿宋" w:hAnsi="仿宋" w:eastAsia="仿宋" w:cs="仿宋"/>
          <w:sz w:val="32"/>
          <w:szCs w:val="32"/>
        </w:rPr>
        <w:t>万元，占68.79%。</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三、支出决算情况说明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2021年度支出合计3243.11万元，其中：基本支出3243.11万元，占100%。</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四、财政拨款收入支出决算总体情况说明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953.65万元，与上年相比，增加322.64万元,增长51.13%，主要是因为财政拨款专用设备购置经费较上年增加。</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五、一般公共预算财政拨款支出决算情况说明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2021年度财政拨款支出953.65万元，占本年支出合计的29.41%，与上年相比，财政拨款支出增加339.56万元，增长55.29%，主要是因为财政拨款专用设备购置经费较上年增加。</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2021年度财政拨款支出953.65万元，主要用于以下方面：社会保障和就业支出7.86万元，占0.82%；卫生健康支出945.79万元，占99.18%。</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仿宋" w:hAnsi="仿宋" w:eastAsia="仿宋" w:cs="仿宋"/>
          <w:sz w:val="32"/>
          <w:szCs w:val="32"/>
        </w:rPr>
        <w:t>021年度财政拨款支出年初预算数为529.77万元，支出决算数为953.65万元，完成年初预算的180.01%，其中：</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sz w:val="32"/>
          <w:szCs w:val="32"/>
        </w:rPr>
      </w:pPr>
      <w:r>
        <w:rPr>
          <w:rFonts w:hint="eastAsia" w:asciiTheme="minorEastAsia" w:hAnsiTheme="minorEastAsia"/>
          <w:b/>
          <w:bCs/>
          <w:sz w:val="32"/>
          <w:szCs w:val="32"/>
        </w:rPr>
        <w:t>1、社会保障和就业支出（类）行政事业单位养老支出（款）事业单位离退休（项）</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年初预算为0万元，支出决算为7.86万元，</w:t>
      </w:r>
      <w:r>
        <w:rPr>
          <w:rFonts w:hint="eastAsia" w:ascii="仿宋" w:hAnsi="仿宋" w:eastAsia="仿宋" w:cs="仿宋"/>
          <w:sz w:val="32"/>
          <w:szCs w:val="32"/>
          <w:lang w:val="en-US" w:eastAsia="zh-CN"/>
        </w:rPr>
        <w:t>无法计算成比例，</w:t>
      </w:r>
      <w:r>
        <w:rPr>
          <w:rFonts w:hint="eastAsia" w:ascii="仿宋" w:hAnsi="仿宋" w:eastAsia="仿宋" w:cs="仿宋"/>
          <w:sz w:val="32"/>
          <w:szCs w:val="32"/>
        </w:rPr>
        <w:t>决算数大于年初预算数的主要原因是：退休人员2021年春节一次性生活补助未纳入年初预算。</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sz w:val="32"/>
          <w:szCs w:val="32"/>
        </w:rPr>
      </w:pPr>
      <w:r>
        <w:rPr>
          <w:rFonts w:hint="eastAsia" w:asciiTheme="minorEastAsia" w:hAnsiTheme="minorEastAsia"/>
          <w:b/>
          <w:bCs/>
          <w:sz w:val="32"/>
          <w:szCs w:val="32"/>
        </w:rPr>
        <w:t>2、卫生健康支出（类）公共卫生（款）采供血机构（项）</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年初预算数为529.77万元，支出决算为849.39万，决算数大于年初预算的原因是:不包括市级追加人员经费，不包括追加用于购买血液离心机等专业设备的一般债券资金。</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sz w:val="32"/>
          <w:szCs w:val="32"/>
        </w:rPr>
      </w:pPr>
      <w:r>
        <w:rPr>
          <w:rFonts w:hint="eastAsia" w:asciiTheme="minorEastAsia" w:hAnsiTheme="minorEastAsia"/>
          <w:b/>
          <w:bCs/>
          <w:sz w:val="32"/>
          <w:szCs w:val="32"/>
        </w:rPr>
        <w:t>3、卫生健康支出（类）公共卫生（款）重大公共卫生专项（项）</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年初预算为0万元，支出决算为96.4万元，</w:t>
      </w:r>
      <w:r>
        <w:rPr>
          <w:rFonts w:hint="eastAsia" w:ascii="仿宋" w:hAnsi="仿宋" w:eastAsia="仿宋" w:cs="仿宋"/>
          <w:sz w:val="32"/>
          <w:szCs w:val="32"/>
          <w:lang w:val="en-US" w:eastAsia="zh-CN"/>
        </w:rPr>
        <w:t>无法计算成比例，</w:t>
      </w:r>
      <w:r>
        <w:rPr>
          <w:rFonts w:hint="eastAsia" w:ascii="仿宋" w:hAnsi="仿宋" w:eastAsia="仿宋" w:cs="仿宋"/>
          <w:sz w:val="32"/>
          <w:szCs w:val="32"/>
        </w:rPr>
        <w:t>决算数大于年初预算数的主要原因是：年初预算不包括中央补助艾滋病防控血液安全项目经费。</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六、一般公共预算财政拨款基本支出决算情况说明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953.65万元，其中：人员经费213.9万元，占基本支出的22.43%,主要包括基本工资、奖金、对个人和家庭的补助；公用经费739.75万元，占基本支出的77.57%，主要包括专用材料费、其它商品和服务支出——无偿献血者及其家属用血报销经费、资本性支出——专用设备购置。</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七、一般公共预算财政拨款“三公”经费支出决算情况说明</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ascii="仿宋" w:hAnsi="仿宋" w:eastAsia="仿宋" w:cs="仿宋"/>
          <w:b/>
          <w:bCs/>
          <w:color w:val="000000" w:themeColor="text1"/>
          <w:kern w:val="0"/>
          <w:sz w:val="32"/>
          <w:szCs w:val="32"/>
          <w:highlight w:val="none"/>
          <w:u w:val="none"/>
          <w:shd w:val="clear" w:color="auto" w:fill="FFFFFF"/>
          <w:lang w:bidi="ar"/>
        </w:rPr>
      </w:pPr>
      <w:r>
        <w:rPr>
          <w:rFonts w:hint="eastAsia" w:ascii="仿宋" w:hAnsi="仿宋" w:eastAsia="仿宋" w:cs="仿宋"/>
          <w:b/>
          <w:bCs/>
          <w:color w:val="000000" w:themeColor="text1"/>
          <w:kern w:val="0"/>
          <w:sz w:val="32"/>
          <w:szCs w:val="32"/>
          <w:highlight w:val="none"/>
          <w:u w:val="none"/>
          <w:shd w:val="clear" w:color="auto" w:fill="FFFFFF"/>
          <w:lang w:bidi="ar"/>
        </w:rPr>
        <w:t>（一）“三公”经费财政拨款支出决算总体情况说明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themeColor="text1"/>
          <w:sz w:val="32"/>
          <w:szCs w:val="32"/>
          <w:highlight w:val="none"/>
        </w:rPr>
      </w:pPr>
      <w:r>
        <w:rPr>
          <w:rFonts w:hint="eastAsia" w:ascii="仿宋" w:hAnsi="仿宋" w:eastAsia="仿宋" w:cs="仿宋"/>
          <w:i w:val="0"/>
          <w:iCs w:val="0"/>
          <w:caps w:val="0"/>
          <w:color w:val="000000" w:themeColor="text1"/>
          <w:spacing w:val="0"/>
          <w:sz w:val="32"/>
          <w:szCs w:val="32"/>
          <w:highlight w:val="none"/>
        </w:rPr>
        <w:t>“三公”经费财政拨款支出预算为0万元，支出决算为0万元，其中：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themeColor="text1"/>
          <w:sz w:val="32"/>
          <w:szCs w:val="32"/>
          <w:highlight w:val="none"/>
          <w:lang w:eastAsia="zh-CN"/>
        </w:rPr>
      </w:pPr>
      <w:r>
        <w:rPr>
          <w:rFonts w:hint="eastAsia" w:ascii="仿宋" w:hAnsi="仿宋" w:eastAsia="仿宋" w:cs="仿宋"/>
          <w:i w:val="0"/>
          <w:iCs w:val="0"/>
          <w:caps w:val="0"/>
          <w:color w:val="000000" w:themeColor="text1"/>
          <w:spacing w:val="0"/>
          <w:sz w:val="32"/>
          <w:szCs w:val="32"/>
          <w:highlight w:val="none"/>
          <w:lang w:val="en-US" w:eastAsia="zh-CN"/>
        </w:rPr>
        <w:t>1、</w:t>
      </w:r>
      <w:r>
        <w:rPr>
          <w:rFonts w:hint="eastAsia" w:ascii="仿宋" w:hAnsi="仿宋" w:eastAsia="仿宋" w:cs="仿宋"/>
          <w:i w:val="0"/>
          <w:iCs w:val="0"/>
          <w:caps w:val="0"/>
          <w:color w:val="000000" w:themeColor="text1"/>
          <w:spacing w:val="0"/>
          <w:sz w:val="32"/>
          <w:szCs w:val="32"/>
          <w:highlight w:val="none"/>
        </w:rPr>
        <w:t>因公出国（境）费支出预算为0万元，支出决算为0万元，决算数与年初预算数持平，</w:t>
      </w:r>
      <w:r>
        <w:rPr>
          <w:rFonts w:hint="eastAsia" w:ascii="仿宋" w:hAnsi="仿宋" w:eastAsia="仿宋" w:cs="仿宋"/>
          <w:color w:val="000000" w:themeColor="text1"/>
          <w:sz w:val="32"/>
          <w:szCs w:val="32"/>
          <w:highlight w:val="none"/>
        </w:rPr>
        <w:t>主要原因</w:t>
      </w:r>
      <w:r>
        <w:rPr>
          <w:rFonts w:hint="eastAsia" w:ascii="仿宋" w:hAnsi="仿宋" w:eastAsia="仿宋" w:cs="仿宋"/>
          <w:color w:val="000000" w:themeColor="text1"/>
          <w:sz w:val="32"/>
          <w:szCs w:val="32"/>
          <w:highlight w:val="none"/>
          <w:lang w:eastAsia="zh-CN"/>
        </w:rPr>
        <w:t>按预算执行，</w:t>
      </w:r>
      <w:r>
        <w:rPr>
          <w:rFonts w:hint="eastAsia" w:ascii="仿宋" w:hAnsi="仿宋" w:eastAsia="仿宋" w:cs="仿宋"/>
          <w:i w:val="0"/>
          <w:iCs w:val="0"/>
          <w:caps w:val="0"/>
          <w:color w:val="000000" w:themeColor="text1"/>
          <w:spacing w:val="0"/>
          <w:sz w:val="32"/>
          <w:szCs w:val="32"/>
          <w:highlight w:val="none"/>
        </w:rPr>
        <w:t>与上年数持平</w:t>
      </w:r>
      <w:r>
        <w:rPr>
          <w:rFonts w:hint="eastAsia" w:ascii="仿宋" w:hAnsi="仿宋" w:eastAsia="仿宋" w:cs="仿宋"/>
          <w:i w:val="0"/>
          <w:iCs w:val="0"/>
          <w:caps w:val="0"/>
          <w:color w:val="000000" w:themeColor="text1"/>
          <w:spacing w:val="0"/>
          <w:sz w:val="32"/>
          <w:szCs w:val="32"/>
          <w:highlight w:val="none"/>
          <w:lang w:eastAsia="zh-CN"/>
        </w:rPr>
        <w:t>，</w:t>
      </w:r>
      <w:r>
        <w:rPr>
          <w:rFonts w:hint="eastAsia" w:ascii="仿宋" w:hAnsi="仿宋" w:eastAsia="仿宋" w:cs="仿宋"/>
          <w:color w:val="000000" w:themeColor="text1"/>
          <w:sz w:val="32"/>
          <w:szCs w:val="32"/>
          <w:highlight w:val="none"/>
        </w:rPr>
        <w:t>主要原因</w:t>
      </w:r>
      <w:r>
        <w:rPr>
          <w:rFonts w:hint="eastAsia" w:ascii="仿宋" w:hAnsi="仿宋" w:eastAsia="仿宋" w:cs="仿宋"/>
          <w:color w:val="000000" w:themeColor="text1"/>
          <w:sz w:val="32"/>
          <w:szCs w:val="32"/>
          <w:highlight w:val="none"/>
          <w:lang w:eastAsia="zh-CN"/>
        </w:rPr>
        <w:t>本年度未安排因公出国（境）。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themeColor="text1"/>
          <w:sz w:val="32"/>
          <w:szCs w:val="32"/>
          <w:highlight w:val="none"/>
        </w:rPr>
      </w:pPr>
      <w:r>
        <w:rPr>
          <w:rFonts w:hint="eastAsia" w:ascii="仿宋" w:hAnsi="仿宋" w:eastAsia="仿宋" w:cs="仿宋"/>
          <w:i w:val="0"/>
          <w:iCs w:val="0"/>
          <w:caps w:val="0"/>
          <w:color w:val="000000" w:themeColor="text1"/>
          <w:spacing w:val="0"/>
          <w:sz w:val="32"/>
          <w:szCs w:val="32"/>
          <w:highlight w:val="none"/>
          <w:lang w:val="en-US" w:eastAsia="zh-CN"/>
        </w:rPr>
        <w:t>2、</w:t>
      </w:r>
      <w:r>
        <w:rPr>
          <w:rFonts w:hint="eastAsia" w:ascii="仿宋" w:hAnsi="仿宋" w:eastAsia="仿宋" w:cs="仿宋"/>
          <w:i w:val="0"/>
          <w:iCs w:val="0"/>
          <w:caps w:val="0"/>
          <w:color w:val="000000" w:themeColor="text1"/>
          <w:spacing w:val="0"/>
          <w:sz w:val="32"/>
          <w:szCs w:val="32"/>
          <w:highlight w:val="none"/>
        </w:rPr>
        <w:t>公务接待费支出预算0万元，支出决算为0万元，决算数与年初预算数持平，</w:t>
      </w:r>
      <w:r>
        <w:rPr>
          <w:rFonts w:hint="eastAsia" w:ascii="仿宋" w:hAnsi="仿宋" w:eastAsia="仿宋" w:cs="仿宋"/>
          <w:i w:val="0"/>
          <w:iCs w:val="0"/>
          <w:caps w:val="0"/>
          <w:color w:val="000000" w:themeColor="text1"/>
          <w:spacing w:val="0"/>
          <w:sz w:val="32"/>
          <w:szCs w:val="32"/>
          <w:highlight w:val="none"/>
          <w:lang w:val="en-US" w:eastAsia="zh-CN"/>
        </w:rPr>
        <w:t>主要原因是</w:t>
      </w:r>
      <w:r>
        <w:rPr>
          <w:rFonts w:hint="eastAsia" w:ascii="仿宋" w:hAnsi="仿宋" w:eastAsia="仿宋" w:cs="仿宋"/>
          <w:color w:val="000000" w:themeColor="text1"/>
          <w:sz w:val="32"/>
          <w:szCs w:val="32"/>
          <w:highlight w:val="none"/>
          <w:lang w:eastAsia="zh-CN"/>
        </w:rPr>
        <w:t>按预算执行，</w:t>
      </w:r>
      <w:r>
        <w:rPr>
          <w:rFonts w:hint="eastAsia" w:ascii="仿宋" w:hAnsi="仿宋" w:eastAsia="仿宋" w:cs="仿宋"/>
          <w:i w:val="0"/>
          <w:iCs w:val="0"/>
          <w:caps w:val="0"/>
          <w:color w:val="000000" w:themeColor="text1"/>
          <w:spacing w:val="0"/>
          <w:sz w:val="32"/>
          <w:szCs w:val="32"/>
          <w:highlight w:val="none"/>
        </w:rPr>
        <w:t>与上年数持平</w:t>
      </w:r>
      <w:r>
        <w:rPr>
          <w:rFonts w:hint="eastAsia" w:ascii="仿宋" w:hAnsi="仿宋" w:eastAsia="仿宋" w:cs="仿宋"/>
          <w:i w:val="0"/>
          <w:iCs w:val="0"/>
          <w:caps w:val="0"/>
          <w:color w:val="000000" w:themeColor="text1"/>
          <w:spacing w:val="0"/>
          <w:sz w:val="32"/>
          <w:szCs w:val="32"/>
          <w:highlight w:val="none"/>
          <w:lang w:val="en-US" w:eastAsia="zh-CN"/>
        </w:rPr>
        <w:t>，主要原因是厉行节约，减少开支</w:t>
      </w:r>
      <w:r>
        <w:rPr>
          <w:rFonts w:hint="eastAsia" w:ascii="仿宋" w:hAnsi="仿宋" w:eastAsia="仿宋" w:cs="仿宋"/>
          <w:i w:val="0"/>
          <w:iCs w:val="0"/>
          <w:caps w:val="0"/>
          <w:color w:val="000000" w:themeColor="text1"/>
          <w:spacing w:val="0"/>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highlight w:val="none"/>
        </w:rPr>
      </w:pPr>
      <w:r>
        <w:rPr>
          <w:rFonts w:hint="eastAsia" w:ascii="仿宋" w:hAnsi="仿宋" w:eastAsia="仿宋" w:cs="仿宋"/>
          <w:i w:val="0"/>
          <w:iCs w:val="0"/>
          <w:caps w:val="0"/>
          <w:color w:val="000000" w:themeColor="text1"/>
          <w:spacing w:val="0"/>
          <w:sz w:val="32"/>
          <w:szCs w:val="32"/>
          <w:highlight w:val="none"/>
          <w:lang w:val="en-US" w:eastAsia="zh-CN"/>
        </w:rPr>
        <w:t>3、</w:t>
      </w:r>
      <w:r>
        <w:rPr>
          <w:rFonts w:hint="eastAsia" w:ascii="仿宋" w:hAnsi="仿宋" w:eastAsia="仿宋" w:cs="仿宋"/>
          <w:i w:val="0"/>
          <w:iCs w:val="0"/>
          <w:caps w:val="0"/>
          <w:color w:val="000000" w:themeColor="text1"/>
          <w:spacing w:val="0"/>
          <w:sz w:val="32"/>
          <w:szCs w:val="32"/>
          <w:highlight w:val="none"/>
        </w:rPr>
        <w:t>公务用车购置费及运行维护费支出预算为0万元，支出决算为0万元，决算数与年初预算数持平</w:t>
      </w:r>
      <w:r>
        <w:rPr>
          <w:rFonts w:hint="eastAsia" w:ascii="仿宋" w:hAnsi="仿宋" w:eastAsia="仿宋" w:cs="仿宋"/>
          <w:color w:val="000000" w:themeColor="text1"/>
          <w:sz w:val="32"/>
          <w:szCs w:val="32"/>
          <w:highlight w:val="none"/>
        </w:rPr>
        <w:t>主要原因</w:t>
      </w:r>
      <w:r>
        <w:rPr>
          <w:rFonts w:hint="eastAsia" w:ascii="仿宋" w:hAnsi="仿宋" w:eastAsia="仿宋" w:cs="仿宋"/>
          <w:color w:val="000000" w:themeColor="text1"/>
          <w:sz w:val="32"/>
          <w:szCs w:val="32"/>
          <w:highlight w:val="none"/>
          <w:lang w:eastAsia="zh-CN"/>
        </w:rPr>
        <w:t>按预算执行，</w:t>
      </w:r>
      <w:r>
        <w:rPr>
          <w:rFonts w:hint="eastAsia" w:ascii="仿宋" w:hAnsi="仿宋" w:eastAsia="仿宋" w:cs="仿宋"/>
          <w:i w:val="0"/>
          <w:iCs w:val="0"/>
          <w:caps w:val="0"/>
          <w:color w:val="000000" w:themeColor="text1"/>
          <w:spacing w:val="0"/>
          <w:sz w:val="32"/>
          <w:szCs w:val="32"/>
          <w:highlight w:val="none"/>
        </w:rPr>
        <w:t>与上年数持平</w:t>
      </w:r>
      <w:r>
        <w:rPr>
          <w:rFonts w:hint="eastAsia" w:ascii="仿宋" w:hAnsi="仿宋" w:eastAsia="仿宋" w:cs="仿宋"/>
          <w:i w:val="0"/>
          <w:iCs w:val="0"/>
          <w:caps w:val="0"/>
          <w:color w:val="000000" w:themeColor="text1"/>
          <w:spacing w:val="0"/>
          <w:sz w:val="32"/>
          <w:szCs w:val="32"/>
          <w:highlight w:val="none"/>
          <w:lang w:eastAsia="zh-CN"/>
        </w:rPr>
        <w:t>，</w:t>
      </w:r>
      <w:r>
        <w:rPr>
          <w:rFonts w:hint="eastAsia" w:ascii="仿宋" w:hAnsi="仿宋" w:eastAsia="仿宋" w:cs="仿宋"/>
          <w:i w:val="0"/>
          <w:iCs w:val="0"/>
          <w:caps w:val="0"/>
          <w:color w:val="000000" w:themeColor="text1"/>
          <w:spacing w:val="0"/>
          <w:sz w:val="32"/>
          <w:szCs w:val="32"/>
          <w:highlight w:val="none"/>
          <w:lang w:val="en-US" w:eastAsia="zh-CN"/>
        </w:rPr>
        <w:t>主要原因是厉行节约，减少开支</w:t>
      </w:r>
      <w:r>
        <w:rPr>
          <w:rFonts w:hint="eastAsia" w:ascii="仿宋" w:hAnsi="仿宋" w:eastAsia="仿宋" w:cs="仿宋"/>
          <w:i w:val="0"/>
          <w:iCs w:val="0"/>
          <w:caps w:val="0"/>
          <w:color w:val="000000" w:themeColor="text1"/>
          <w:spacing w:val="0"/>
          <w:sz w:val="32"/>
          <w:szCs w:val="32"/>
          <w:highlight w:val="none"/>
        </w:rPr>
        <w:t>。</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hint="eastAsia" w:ascii="仿宋" w:hAnsi="仿宋" w:eastAsia="仿宋" w:cs="仿宋"/>
          <w:b/>
          <w:bCs/>
          <w:color w:val="000000" w:themeColor="text1"/>
          <w:kern w:val="0"/>
          <w:sz w:val="32"/>
          <w:szCs w:val="32"/>
          <w:highlight w:val="none"/>
          <w:u w:val="none"/>
          <w:shd w:val="clear" w:color="auto" w:fill="FFFFFF"/>
          <w:lang w:eastAsia="zh-CN" w:bidi="ar"/>
        </w:rPr>
      </w:pPr>
      <w:r>
        <w:rPr>
          <w:rFonts w:hint="eastAsia" w:ascii="仿宋" w:hAnsi="仿宋" w:eastAsia="仿宋" w:cs="仿宋"/>
          <w:b/>
          <w:bCs/>
          <w:color w:val="000000" w:themeColor="text1"/>
          <w:kern w:val="0"/>
          <w:sz w:val="32"/>
          <w:szCs w:val="32"/>
          <w:highlight w:val="none"/>
          <w:u w:val="none"/>
          <w:shd w:val="clear" w:color="auto" w:fill="FFFFFF"/>
          <w:lang w:bidi="ar"/>
        </w:rPr>
        <w:t>（二）“三公”经费财政拨款支出决算具体情况说明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highlight w:val="none"/>
          <w:shd w:val="clear" w:color="auto" w:fill="FFFFFF"/>
        </w:rPr>
      </w:pPr>
      <w:r>
        <w:rPr>
          <w:rFonts w:hint="eastAsia" w:ascii="仿宋" w:hAnsi="仿宋" w:eastAsia="仿宋" w:cs="仿宋"/>
          <w:i w:val="0"/>
          <w:iCs w:val="0"/>
          <w:caps w:val="0"/>
          <w:color w:val="000000" w:themeColor="text1"/>
          <w:spacing w:val="0"/>
          <w:sz w:val="32"/>
          <w:szCs w:val="32"/>
          <w:highlight w:val="none"/>
          <w:shd w:val="clear" w:color="auto" w:fill="FFFFFF"/>
        </w:rPr>
        <w:t>202</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1</w:t>
      </w:r>
      <w:r>
        <w:rPr>
          <w:rFonts w:hint="eastAsia" w:ascii="仿宋" w:hAnsi="仿宋" w:eastAsia="仿宋" w:cs="仿宋"/>
          <w:i w:val="0"/>
          <w:iCs w:val="0"/>
          <w:caps w:val="0"/>
          <w:color w:val="000000" w:themeColor="text1"/>
          <w:spacing w:val="0"/>
          <w:sz w:val="32"/>
          <w:szCs w:val="32"/>
          <w:highlight w:val="none"/>
          <w:shd w:val="clear" w:color="auto" w:fill="FFFFFF"/>
        </w:rPr>
        <w:t>年度“三公”经费财政拨款支出决算中，公务接待费支出决算</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万元，因公出国（境）费支出决算</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万元，公务用车购置费及运行维护费支出决算</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w:t>
      </w:r>
      <w:bookmarkStart w:id="0" w:name="_GoBack"/>
      <w:bookmarkEnd w:id="0"/>
      <w:r>
        <w:rPr>
          <w:rFonts w:hint="eastAsia" w:ascii="仿宋" w:hAnsi="仿宋" w:eastAsia="仿宋" w:cs="仿宋"/>
          <w:i w:val="0"/>
          <w:iCs w:val="0"/>
          <w:caps w:val="0"/>
          <w:color w:val="000000" w:themeColor="text1"/>
          <w:spacing w:val="0"/>
          <w:sz w:val="32"/>
          <w:szCs w:val="32"/>
          <w:highlight w:val="none"/>
          <w:shd w:val="clear" w:color="auto" w:fill="FFFFFF"/>
        </w:rPr>
        <w:t>。其中：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highlight w:val="none"/>
          <w:shd w:val="clear" w:color="auto" w:fill="FFFFFF"/>
          <w:lang w:val="en-US" w:eastAsia="zh-CN"/>
        </w:rPr>
      </w:pPr>
      <w:r>
        <w:rPr>
          <w:rFonts w:hint="eastAsia" w:ascii="仿宋" w:hAnsi="仿宋" w:eastAsia="仿宋" w:cs="仿宋"/>
          <w:i w:val="0"/>
          <w:iCs w:val="0"/>
          <w:caps w:val="0"/>
          <w:color w:val="000000" w:themeColor="text1"/>
          <w:spacing w:val="0"/>
          <w:sz w:val="32"/>
          <w:szCs w:val="32"/>
          <w:highlight w:val="none"/>
          <w:shd w:val="clear" w:color="auto" w:fill="FFFFFF"/>
        </w:rPr>
        <w:t>1、因公出国（境）费支出决算为</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万元，全年安排因公出国（境）团组</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个，累计</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人次</w:t>
      </w:r>
      <w:r>
        <w:rPr>
          <w:rFonts w:hint="eastAsia" w:ascii="仿宋" w:hAnsi="仿宋" w:eastAsia="仿宋" w:cs="仿宋"/>
          <w:i w:val="0"/>
          <w:iCs w:val="0"/>
          <w:caps w:val="0"/>
          <w:color w:val="000000" w:themeColor="text1"/>
          <w:spacing w:val="0"/>
          <w:sz w:val="32"/>
          <w:szCs w:val="32"/>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highlight w:val="none"/>
          <w:shd w:val="clear" w:color="auto" w:fill="FFFFFF"/>
          <w:lang w:eastAsia="zh-CN"/>
        </w:rPr>
      </w:pPr>
      <w:r>
        <w:rPr>
          <w:rFonts w:hint="eastAsia" w:ascii="仿宋" w:hAnsi="仿宋" w:eastAsia="仿宋" w:cs="仿宋"/>
          <w:i w:val="0"/>
          <w:iCs w:val="0"/>
          <w:caps w:val="0"/>
          <w:color w:val="000000" w:themeColor="text1"/>
          <w:spacing w:val="0"/>
          <w:sz w:val="32"/>
          <w:szCs w:val="32"/>
          <w:highlight w:val="none"/>
          <w:shd w:val="clear" w:color="auto" w:fill="FFFFFF"/>
        </w:rPr>
        <w:t>2、公务接待费支出决算为</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万元，全年共接待来访团组</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个、来宾</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人次</w:t>
      </w:r>
      <w:r>
        <w:rPr>
          <w:rFonts w:hint="eastAsia" w:ascii="仿宋" w:hAnsi="仿宋" w:eastAsia="仿宋" w:cs="仿宋"/>
          <w:i w:val="0"/>
          <w:iCs w:val="0"/>
          <w:caps w:val="0"/>
          <w:color w:val="000000" w:themeColor="text1"/>
          <w:spacing w:val="0"/>
          <w:sz w:val="32"/>
          <w:szCs w:val="32"/>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heme="minorEastAsia" w:hAnsiTheme="minorEastAsia" w:eastAsiaTheme="minorEastAsia"/>
          <w:sz w:val="32"/>
          <w:szCs w:val="32"/>
          <w:lang w:val="en-US" w:eastAsia="zh-CN"/>
        </w:rPr>
      </w:pPr>
      <w:r>
        <w:rPr>
          <w:rFonts w:hint="eastAsia" w:ascii="仿宋" w:hAnsi="仿宋" w:eastAsia="仿宋" w:cs="仿宋"/>
          <w:i w:val="0"/>
          <w:iCs w:val="0"/>
          <w:caps w:val="0"/>
          <w:color w:val="000000" w:themeColor="text1"/>
          <w:spacing w:val="0"/>
          <w:sz w:val="32"/>
          <w:szCs w:val="32"/>
          <w:highlight w:val="none"/>
          <w:shd w:val="clear" w:color="auto" w:fill="FFFFFF"/>
        </w:rPr>
        <w:t>3、公务用车购置费及运行维护费支出决算为</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万元，其中：公务用车购置费</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万元，更新公务用车</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辆。公务用车运行维护费</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万元，截止202</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1</w:t>
      </w:r>
      <w:r>
        <w:rPr>
          <w:rFonts w:hint="eastAsia" w:ascii="仿宋" w:hAnsi="仿宋" w:eastAsia="仿宋" w:cs="仿宋"/>
          <w:i w:val="0"/>
          <w:iCs w:val="0"/>
          <w:caps w:val="0"/>
          <w:color w:val="000000" w:themeColor="text1"/>
          <w:spacing w:val="0"/>
          <w:sz w:val="32"/>
          <w:szCs w:val="32"/>
          <w:highlight w:val="none"/>
          <w:shd w:val="clear" w:color="auto" w:fill="FFFFFF"/>
        </w:rPr>
        <w:t>年12月31日，我单位开支财政拨款的公务用车保有量为</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rPr>
        <w:t>0</w:t>
      </w:r>
      <w:r>
        <w:rPr>
          <w:rFonts w:hint="eastAsia" w:ascii="仿宋" w:hAnsi="仿宋" w:eastAsia="仿宋" w:cs="仿宋"/>
          <w:i w:val="0"/>
          <w:iCs w:val="0"/>
          <w:caps w:val="0"/>
          <w:color w:val="000000" w:themeColor="text1"/>
          <w:spacing w:val="0"/>
          <w:sz w:val="32"/>
          <w:szCs w:val="32"/>
          <w:highlight w:val="none"/>
          <w:shd w:val="clear" w:color="auto" w:fill="FFFFFF"/>
        </w:rPr>
        <w:t>辆</w:t>
      </w:r>
      <w:r>
        <w:rPr>
          <w:rFonts w:hint="eastAsia" w:ascii="仿宋" w:hAnsi="仿宋" w:eastAsia="仿宋" w:cs="仿宋"/>
          <w:i w:val="0"/>
          <w:iCs w:val="0"/>
          <w:caps w:val="0"/>
          <w:color w:val="000000" w:themeColor="text1"/>
          <w:spacing w:val="0"/>
          <w:sz w:val="32"/>
          <w:szCs w:val="32"/>
          <w:highlight w:val="none"/>
          <w:shd w:val="clear" w:color="auto" w:fill="FFFFFF"/>
          <w:lang w:eastAsia="zh-CN"/>
        </w:rPr>
        <w:t>。</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八、政府性基金预算收入支出决算情况</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eastAsia="仿宋" w:asciiTheme="minorEastAsia" w:hAnsiTheme="minorEastAsia"/>
          <w:sz w:val="32"/>
          <w:szCs w:val="32"/>
          <w:lang w:eastAsia="zh-CN"/>
        </w:rPr>
      </w:pPr>
      <w:r>
        <w:rPr>
          <w:rFonts w:hint="eastAsia" w:ascii="仿宋" w:hAnsi="仿宋" w:eastAsia="仿宋" w:cs="仿宋"/>
          <w:sz w:val="32"/>
          <w:szCs w:val="32"/>
        </w:rPr>
        <w:t>本单位2021年度无政府性基金收支。</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hAnsi="黑体"/>
          <w:b/>
          <w:sz w:val="32"/>
          <w:szCs w:val="32"/>
        </w:rPr>
      </w:pPr>
      <w:r>
        <w:rPr>
          <w:rFonts w:hint="eastAsia" w:hAnsi="黑体"/>
          <w:b/>
          <w:sz w:val="32"/>
          <w:szCs w:val="32"/>
        </w:rPr>
        <w:t>九、国有资本经营预算财政拨款支出决算情况说明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asciiTheme="minorEastAsia" w:hAnsiTheme="minorEastAsia" w:eastAsiaTheme="minorEastAsia"/>
          <w:sz w:val="32"/>
          <w:szCs w:val="32"/>
        </w:rPr>
      </w:pPr>
      <w:r>
        <w:rPr>
          <w:rFonts w:hint="eastAsia" w:ascii="仿宋" w:hAnsi="仿宋" w:eastAsia="仿宋" w:cs="仿宋"/>
          <w:sz w:val="32"/>
          <w:szCs w:val="32"/>
        </w:rPr>
        <w:t>本单位无国有资本经营预算财政拨款支出。</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十、机关运行经费支出说明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本单位为差额拨款事业单位，无机关运行经费支出。</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十一、一般性支出情况说明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eastAsia="仿宋" w:asciiTheme="minorEastAsia" w:hAnsiTheme="minorEastAsia"/>
          <w:sz w:val="32"/>
          <w:szCs w:val="32"/>
          <w:lang w:eastAsia="zh-CN"/>
        </w:rPr>
      </w:pPr>
      <w:r>
        <w:rPr>
          <w:rFonts w:hint="eastAsia" w:ascii="仿宋" w:hAnsi="仿宋" w:eastAsia="仿宋" w:cs="仿宋"/>
          <w:sz w:val="32"/>
          <w:szCs w:val="32"/>
        </w:rPr>
        <w:t>2021年度本单位未下达会议费、培训费等预算指标</w:t>
      </w:r>
      <w:r>
        <w:rPr>
          <w:rFonts w:hint="eastAsia" w:ascii="仿宋" w:hAnsi="仿宋" w:eastAsia="仿宋" w:cs="仿宋"/>
          <w:sz w:val="32"/>
          <w:szCs w:val="32"/>
          <w:lang w:eastAsia="zh-CN"/>
        </w:rPr>
        <w:t>；本部门无节庆、晚会、论坛、赛事等支出。</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十二、政府采购支出说明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int="eastAsia" w:eastAsia="仿宋" w:asciiTheme="minorEastAsia" w:hAnsiTheme="minorEastAsia"/>
          <w:sz w:val="32"/>
          <w:szCs w:val="32"/>
          <w:lang w:eastAsia="zh-CN"/>
        </w:rPr>
      </w:pPr>
      <w:r>
        <w:rPr>
          <w:rFonts w:hint="eastAsia" w:ascii="仿宋" w:hAnsi="仿宋" w:eastAsia="仿宋" w:cs="仿宋"/>
          <w:sz w:val="32"/>
          <w:szCs w:val="32"/>
        </w:rPr>
        <w:t>本部门2021年度政府采购支出总额677.63万元，其中：政府采购货物支出677.63万元</w:t>
      </w:r>
      <w:r>
        <w:rPr>
          <w:rFonts w:hint="eastAsia" w:ascii="仿宋" w:hAnsi="仿宋" w:eastAsia="仿宋" w:cs="仿宋"/>
          <w:sz w:val="32"/>
          <w:szCs w:val="32"/>
          <w:lang w:eastAsia="zh-CN"/>
        </w:rPr>
        <w:t>、</w:t>
      </w:r>
      <w:r>
        <w:rPr>
          <w:rFonts w:hint="eastAsia" w:ascii="仿宋" w:hAnsi="仿宋" w:eastAsia="仿宋" w:cs="仿宋"/>
          <w:sz w:val="32"/>
          <w:szCs w:val="32"/>
        </w:rPr>
        <w:t>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万元。授予中小企业合同金额677.63万元，占政府采购支出总额的100%，其中：授予小微企业合同金额677.63万元，占政府采购支出总额的100%</w:t>
      </w:r>
      <w:r>
        <w:rPr>
          <w:rFonts w:hint="eastAsia" w:ascii="仿宋" w:hAnsi="仿宋" w:eastAsia="仿宋" w:cs="仿宋"/>
          <w:sz w:val="32"/>
          <w:szCs w:val="32"/>
          <w:lang w:eastAsia="zh-CN"/>
        </w:rPr>
        <w:t>。</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十三、国有资产占用情况说明</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asciiTheme="minorEastAsia" w:hAnsiTheme="minorEastAsia" w:eastAsiaTheme="minorEastAsia"/>
          <w:sz w:val="32"/>
          <w:szCs w:val="32"/>
        </w:rPr>
      </w:pPr>
      <w:r>
        <w:rPr>
          <w:rFonts w:hint="eastAsia" w:ascii="仿宋" w:hAnsi="仿宋" w:eastAsia="仿宋" w:cs="仿宋"/>
          <w:sz w:val="32"/>
          <w:szCs w:val="32"/>
        </w:rPr>
        <w:t>截至2021年12月31日，部门（单位）共有车辆8辆，其中，其他用车8辆，其他用车主要是2台采血车，6台送血车；单位价值50万元以上通用设备3台（套）；单位价值100万元以上专用设备7台（套）。</w:t>
      </w:r>
    </w:p>
    <w:p>
      <w:pPr>
        <w:pStyle w:val="10"/>
        <w:keepNext w:val="0"/>
        <w:keepLines w:val="0"/>
        <w:pageBreakBefore w:val="0"/>
        <w:kinsoku/>
        <w:wordWrap/>
        <w:overflowPunct/>
        <w:topLinePunct w:val="0"/>
        <w:bidi w:val="0"/>
        <w:snapToGrid/>
        <w:spacing w:line="600" w:lineRule="exact"/>
        <w:ind w:left="0" w:firstLine="640" w:firstLineChars="200"/>
        <w:textAlignment w:val="auto"/>
        <w:rPr>
          <w:rFonts w:hAnsi="黑体"/>
          <w:b/>
          <w:sz w:val="32"/>
          <w:szCs w:val="32"/>
        </w:rPr>
      </w:pPr>
      <w:r>
        <w:rPr>
          <w:rFonts w:hint="eastAsia" w:hAnsi="黑体"/>
          <w:b/>
          <w:sz w:val="32"/>
          <w:szCs w:val="32"/>
        </w:rPr>
        <w:t>十四、2021年度预算绩效情况说明</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根据预算绩效管理要求，我部门组织对2021年度一般公共预算项目支出全面开展绩效自评，其中，一级项目4个，二级项目8个，共涉及资金739.75万元，占一般公共预算项目支出总额的77.57%。</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血液检测专项经费”“无偿献血宣传招募专项经费”“血液质量管理专项经费”“人类嗜T淋巴细胞病毒检测专项经费”“献血者及其家属用血费用报销”“血液核酸检测离心机等专用经费”“设备更新转项资金”等8个项目开展了部门评价，涉及一般公共预算支出739.75万元。从评价情况来看，我站建立健全了内部控制制度，有完善的专项经费管理制度，并能有效地执行，从而保证了专项资金的专款专用。从专项经费的使用及完成情况来看，由于个别设备仍在走采购流程和质保金需要一年后支付的问题，以及献血者及其家属用血费用报销经费未使用完毕，其他资金均已执行完毕，项目取得了较好的社会效益，有效的避免输血相关传染病的传播，确保临床用血安全、及时，提高了血液检测质量，满足了医疗服务需求，保障了临床用血的供应。</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cs="黑体" w:asciiTheme="minorEastAsia" w:hAnsiTheme="minorEastAsia"/>
          <w:color w:val="000000"/>
          <w:kern w:val="0"/>
          <w:sz w:val="32"/>
          <w:szCs w:val="32"/>
        </w:rPr>
      </w:pPr>
      <w:r>
        <w:rPr>
          <w:rFonts w:hint="eastAsia" w:ascii="仿宋" w:hAnsi="仿宋" w:eastAsia="仿宋" w:cs="仿宋"/>
          <w:color w:val="000000"/>
          <w:kern w:val="0"/>
          <w:sz w:val="32"/>
          <w:szCs w:val="32"/>
        </w:rPr>
        <w:t>组织对怀化市中心血站开展整体支出绩效评价，涉及一般公共预算支出</w:t>
      </w:r>
      <w:r>
        <w:rPr>
          <w:rFonts w:hint="eastAsia" w:ascii="仿宋" w:hAnsi="仿宋" w:eastAsia="仿宋" w:cs="仿宋"/>
          <w:sz w:val="32"/>
          <w:szCs w:val="32"/>
        </w:rPr>
        <w:t>953.65</w:t>
      </w:r>
      <w:r>
        <w:rPr>
          <w:rFonts w:hint="eastAsia" w:ascii="仿宋" w:hAnsi="仿宋" w:eastAsia="仿宋" w:cs="仿宋"/>
          <w:color w:val="000000"/>
          <w:kern w:val="0"/>
          <w:sz w:val="32"/>
          <w:szCs w:val="32"/>
        </w:rPr>
        <w:t>万元。从评价情况来看，我站认真贯彻落实《中华人民共和国献血法》、《湖南省实施&lt;中华人民共和国献血法&gt;办法》、《血站管理办法》、《血站质量管理规范》和《血站实验室质量管理规范》，广泛宣传发动，调动社会参与，严格质量管理，积极履行血液采供职责，临床用血100%来自无偿献血。在资金使用上，严格遵守各项财经法规和财务管理制度规定，临床供血按照《湖南省公民临床用血供应价格及有关收费标准》收取，并缴入财政非税专户，执行收支两条线管理，资金拨付有完整的审批程序和手续，支出符合部门预算批复的用途，各项支出按照预算批复开支，确保收支平衡。</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①血液检测经费项目绩效自评综述：根据年初设定的绩效目标，项目绩效自评得分为96分。项目全年预算数为202万元，执行数为285.4万元，完成预算的141.29%,</w:t>
      </w:r>
      <w:r>
        <w:rPr>
          <w:rFonts w:hint="eastAsia" w:ascii="仿宋" w:hAnsi="仿宋" w:eastAsia="仿宋" w:cs="仿宋"/>
          <w:sz w:val="32"/>
          <w:szCs w:val="32"/>
        </w:rPr>
        <w:t>决算数大于年初预算数的主要原因是年初预算不包括中央补助艾滋病防控血液安全项目经费</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绩效目标完成情况：巩固血站核酸检测全覆盖，提高血液安全水平，核酸检测覆率达100%。2021年检测无偿献血血液标本40328人份,酶免检测后进行核酸检测39788人份，合格血液核酸检测100%全覆盖，出库血液合格率100%，确保血液安全。核酸检测出酶免未检出乙肝阳性标本72例，检出阳性率为0.18%。</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②设备更新专项资金项目绩效自评综述：根据年初设定的绩效目标，项目绩效自评得分为96分。项目全年预算数为100万元，执行数为100万元，完成预算的100%。</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项目绩效目标完成情况：</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购买乾安县井方医疗器械销售有限公司平板式血浆速冻机一台56.3万，从设备更新专项资金中列支50.67万，购买乾安县井方医疗器械销售有限公司全自动冷沉淀制备仪一台54.85万，从设备更新专项资金中列支49.33万元。该资金已经全部使用完毕，资金使用率为100%</w:t>
      </w:r>
      <w:r>
        <w:rPr>
          <w:rFonts w:hint="eastAsia" w:ascii="仿宋" w:hAnsi="仿宋" w:eastAsia="仿宋" w:cs="仿宋"/>
          <w:sz w:val="32"/>
          <w:szCs w:val="32"/>
        </w:rPr>
        <w:t>，保证了血液制备工作的正常运行</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left="0" w:firstLine="640" w:firstLineChars="200"/>
        <w:jc w:val="left"/>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sz w:val="72"/>
          <w:szCs w:val="72"/>
        </w:rPr>
      </w:pPr>
      <w:r>
        <w:rPr>
          <w:rFonts w:hint="eastAsia" w:ascii="仿宋" w:hAnsi="仿宋" w:eastAsia="仿宋" w:cs="仿宋"/>
          <w:sz w:val="32"/>
          <w:szCs w:val="32"/>
        </w:rPr>
        <w:t>我单位填报《财政专项资金绩效评价共性指标表》及各项目《</w:t>
      </w:r>
      <w:r>
        <w:rPr>
          <w:rFonts w:hint="eastAsia" w:ascii="仿宋" w:hAnsi="仿宋" w:eastAsia="仿宋" w:cs="仿宋"/>
          <w:color w:val="000000"/>
          <w:kern w:val="0"/>
          <w:sz w:val="32"/>
          <w:szCs w:val="32"/>
        </w:rPr>
        <w:t>专项资金绩效目标自评表》结果均为优秀。</w:t>
      </w: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keepNext w:val="0"/>
        <w:keepLines w:val="0"/>
        <w:pageBreakBefore w:val="0"/>
        <w:widowControl/>
        <w:kinsoku/>
        <w:wordWrap/>
        <w:overflowPunct/>
        <w:topLinePunct w:val="0"/>
        <w:bidi w:val="0"/>
        <w:snapToGrid/>
        <w:spacing w:line="600" w:lineRule="exact"/>
        <w:ind w:left="0" w:firstLine="420" w:firstLineChars="200"/>
        <w:jc w:val="left"/>
        <w:textAlignment w:val="auto"/>
        <w:rPr>
          <w:rFonts w:ascii="微软雅黑" w:hAnsi="微软雅黑" w:eastAsia="微软雅黑" w:cs="宋体"/>
          <w:color w:val="424242"/>
          <w:kern w:val="0"/>
          <w:szCs w:val="21"/>
        </w:rPr>
      </w:pPr>
    </w:p>
    <w:p>
      <w:pPr>
        <w:keepNext w:val="0"/>
        <w:keepLines w:val="0"/>
        <w:pageBreakBefore w:val="0"/>
        <w:widowControl/>
        <w:kinsoku/>
        <w:wordWrap/>
        <w:overflowPunct/>
        <w:topLinePunct w:val="0"/>
        <w:bidi w:val="0"/>
        <w:snapToGrid/>
        <w:spacing w:line="600" w:lineRule="exact"/>
        <w:ind w:left="0" w:firstLine="880" w:firstLineChars="200"/>
        <w:jc w:val="center"/>
        <w:textAlignment w:val="auto"/>
        <w:rPr>
          <w:rFonts w:ascii="微软雅黑" w:hAnsi="微软雅黑" w:eastAsia="微软雅黑" w:cs="宋体"/>
          <w:kern w:val="0"/>
          <w:szCs w:val="21"/>
        </w:rPr>
      </w:pPr>
      <w:r>
        <w:rPr>
          <w:rFonts w:hint="eastAsia" w:ascii="黑体" w:hAnsi="黑体" w:eastAsia="黑体" w:cs="黑体"/>
          <w:kern w:val="0"/>
          <w:sz w:val="44"/>
          <w:szCs w:val="44"/>
        </w:rPr>
        <w:t>第四部分名词解释</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cs="宋体" w:asciiTheme="minorEastAsia" w:hAnsiTheme="minorEastAsia"/>
          <w:kern w:val="0"/>
          <w:szCs w:val="21"/>
        </w:rPr>
      </w:pPr>
      <w:r>
        <w:rPr>
          <w:rFonts w:hint="eastAsia" w:cs="宋体" w:asciiTheme="minorEastAsia" w:hAnsiTheme="minorEastAsia"/>
          <w:b/>
          <w:bCs/>
          <w:kern w:val="0"/>
          <w:sz w:val="32"/>
          <w:szCs w:val="32"/>
        </w:rPr>
        <w:t> </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cs="宋体" w:asciiTheme="minorEastAsia" w:hAnsiTheme="minorEastAsia"/>
          <w:kern w:val="0"/>
          <w:szCs w:val="21"/>
        </w:rPr>
      </w:pPr>
      <w:r>
        <w:rPr>
          <w:rFonts w:hint="eastAsia" w:cs="宋体" w:asciiTheme="minorEastAsia" w:hAnsiTheme="minorEastAsia"/>
          <w:b/>
          <w:bCs/>
          <w:kern w:val="0"/>
          <w:sz w:val="32"/>
          <w:szCs w:val="32"/>
        </w:rPr>
        <w:t>一、事业收入：</w:t>
      </w:r>
      <w:r>
        <w:rPr>
          <w:rFonts w:hint="eastAsia" w:cs="宋体" w:asciiTheme="minorEastAsia" w:hAnsiTheme="minorEastAsia"/>
          <w:kern w:val="0"/>
          <w:sz w:val="32"/>
          <w:szCs w:val="32"/>
        </w:rPr>
        <w:t>是指事业单位开展专业业务活动所取得的收入，实行“收支两条线”管理，统一缴入财政专户。</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cs="宋体" w:asciiTheme="minorEastAsia" w:hAnsiTheme="minorEastAsia"/>
          <w:kern w:val="0"/>
          <w:szCs w:val="21"/>
        </w:rPr>
      </w:pPr>
      <w:r>
        <w:rPr>
          <w:rFonts w:hint="eastAsia" w:cs="宋体" w:asciiTheme="minorEastAsia" w:hAnsiTheme="minorEastAsia"/>
          <w:b/>
          <w:bCs/>
          <w:kern w:val="0"/>
          <w:sz w:val="32"/>
          <w:szCs w:val="32"/>
        </w:rPr>
        <w:t>二、基本支出：</w:t>
      </w:r>
      <w:r>
        <w:rPr>
          <w:rFonts w:hint="eastAsia" w:cs="宋体" w:asciiTheme="minorEastAsia" w:hAnsiTheme="minorEastAsia"/>
          <w:kern w:val="0"/>
          <w:sz w:val="32"/>
          <w:szCs w:val="32"/>
        </w:rPr>
        <w:t>是指反映行政事业单位为保障机构正常运转、完成日常工作任务所需的最基本的支出，具体包括工资福利支出、一般商品和服务支出、对个人和家庭的补助等。</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cs="宋体" w:asciiTheme="minorEastAsia" w:hAnsiTheme="minorEastAsia"/>
          <w:kern w:val="0"/>
          <w:szCs w:val="21"/>
        </w:rPr>
      </w:pPr>
      <w:r>
        <w:rPr>
          <w:rFonts w:hint="eastAsia" w:cs="宋体" w:asciiTheme="minorEastAsia" w:hAnsiTheme="minorEastAsia"/>
          <w:b/>
          <w:bCs/>
          <w:kern w:val="0"/>
          <w:sz w:val="32"/>
          <w:szCs w:val="32"/>
        </w:rPr>
        <w:t>三、项目支出：</w:t>
      </w:r>
      <w:r>
        <w:rPr>
          <w:rFonts w:hint="eastAsia" w:cs="宋体" w:asciiTheme="minorEastAsia" w:hAnsiTheme="minorEastAsia"/>
          <w:kern w:val="0"/>
          <w:sz w:val="32"/>
          <w:szCs w:val="32"/>
        </w:rPr>
        <w:t>是指除基本预算支出以外，需完成指定的工作任务，财政预算专项专款安排的支出，包括基本建设、有关事业发展专项计划、专项业务费、大型修缮、大型购置等项目支出。</w:t>
      </w:r>
    </w:p>
    <w:p>
      <w:pPr>
        <w:keepNext w:val="0"/>
        <w:keepLines w:val="0"/>
        <w:pageBreakBefore w:val="0"/>
        <w:widowControl/>
        <w:kinsoku/>
        <w:wordWrap/>
        <w:overflowPunct/>
        <w:topLinePunct w:val="0"/>
        <w:bidi w:val="0"/>
        <w:snapToGrid/>
        <w:spacing w:line="600" w:lineRule="exact"/>
        <w:ind w:left="0" w:firstLine="560" w:firstLineChars="200"/>
        <w:jc w:val="left"/>
        <w:textAlignment w:val="auto"/>
        <w:rPr>
          <w:rFonts w:cs="宋体" w:asciiTheme="minorEastAsia" w:hAnsiTheme="minorEastAsia"/>
          <w:color w:val="424242"/>
          <w:kern w:val="0"/>
          <w:szCs w:val="21"/>
        </w:rPr>
      </w:pPr>
      <w:r>
        <w:rPr>
          <w:rFonts w:hint="eastAsia" w:cs="宋体" w:asciiTheme="minorEastAsia" w:hAnsiTheme="minorEastAsia"/>
          <w:color w:val="424242"/>
          <w:kern w:val="0"/>
          <w:sz w:val="28"/>
          <w:szCs w:val="28"/>
        </w:rPr>
        <w:t> </w:t>
      </w: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1440" w:firstLineChars="200"/>
        <w:jc w:val="center"/>
        <w:textAlignment w:val="auto"/>
        <w:rPr>
          <w:sz w:val="72"/>
          <w:szCs w:val="72"/>
        </w:rPr>
      </w:pPr>
    </w:p>
    <w:p>
      <w:pPr>
        <w:pStyle w:val="10"/>
        <w:keepNext w:val="0"/>
        <w:keepLines w:val="0"/>
        <w:pageBreakBefore w:val="0"/>
        <w:kinsoku/>
        <w:wordWrap/>
        <w:overflowPunct/>
        <w:topLinePunct w:val="0"/>
        <w:bidi w:val="0"/>
        <w:snapToGrid/>
        <w:spacing w:line="600" w:lineRule="exact"/>
        <w:ind w:left="0" w:firstLine="880" w:firstLineChars="200"/>
        <w:jc w:val="center"/>
        <w:textAlignment w:val="auto"/>
        <w:rPr>
          <w:rFonts w:hint="eastAsia" w:ascii="黑体" w:hAnsi="黑体" w:eastAsia="黑体" w:cs="黑体"/>
          <w:b/>
          <w:bCs/>
          <w:color w:val="000000"/>
          <w:kern w:val="0"/>
          <w:sz w:val="30"/>
          <w:szCs w:val="30"/>
        </w:rPr>
      </w:pPr>
      <w:r>
        <w:rPr>
          <w:rFonts w:hint="eastAsia" w:ascii="黑体" w:hAnsi="黑体" w:eastAsia="黑体" w:cs="黑体"/>
          <w:b/>
          <w:bCs/>
          <w:sz w:val="44"/>
          <w:szCs w:val="44"/>
        </w:rPr>
        <w:t>第五部分</w:t>
      </w:r>
      <w:r>
        <w:rPr>
          <w:rFonts w:hint="eastAsia" w:ascii="黑体" w:hAnsi="黑体" w:eastAsia="黑体" w:cs="黑体"/>
          <w:b/>
          <w:bCs/>
          <w:color w:val="000000"/>
          <w:kern w:val="0"/>
          <w:sz w:val="44"/>
          <w:szCs w:val="44"/>
        </w:rPr>
        <w:t>附件</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附件一：怀化市中心血站2021年度部门决算公开表</w:t>
      </w:r>
    </w:p>
    <w:p>
      <w:pPr>
        <w:keepNext w:val="0"/>
        <w:keepLines w:val="0"/>
        <w:pageBreakBefore w:val="0"/>
        <w:widowControl/>
        <w:kinsoku/>
        <w:wordWrap/>
        <w:overflowPunct/>
        <w:topLinePunct w:val="0"/>
        <w:bidi w:val="0"/>
        <w:snapToGrid/>
        <w:spacing w:line="600" w:lineRule="exact"/>
        <w:ind w:left="0" w:firstLine="640" w:firstLineChars="200"/>
        <w:jc w:val="left"/>
        <w:textAlignment w:val="auto"/>
        <w:rPr>
          <w:rFonts w:ascii="黑体" w:eastAsia="黑体" w:cs="黑体"/>
          <w:color w:val="000000"/>
          <w:kern w:val="0"/>
          <w:sz w:val="70"/>
          <w:szCs w:val="70"/>
        </w:rPr>
      </w:pPr>
      <w:r>
        <w:rPr>
          <w:rFonts w:hint="eastAsia" w:cs="黑体" w:asciiTheme="minorEastAsia" w:hAnsiTheme="minorEastAsia"/>
          <w:color w:val="000000"/>
          <w:kern w:val="0"/>
          <w:sz w:val="32"/>
          <w:szCs w:val="32"/>
        </w:rPr>
        <w:t>附件二：2021年度部门整体支出绩效评价报告</w:t>
      </w:r>
    </w:p>
    <w:p>
      <w:pPr>
        <w:keepNext w:val="0"/>
        <w:keepLines w:val="0"/>
        <w:pageBreakBefore w:val="0"/>
        <w:kinsoku/>
        <w:wordWrap/>
        <w:overflowPunct/>
        <w:topLinePunct w:val="0"/>
        <w:bidi w:val="0"/>
        <w:snapToGrid/>
        <w:spacing w:line="600" w:lineRule="exact"/>
        <w:ind w:left="0" w:firstLine="640" w:firstLineChars="200"/>
        <w:jc w:val="left"/>
        <w:textAlignment w:val="auto"/>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4506F9"/>
    <w:rsid w:val="00013BCD"/>
    <w:rsid w:val="0002229B"/>
    <w:rsid w:val="000273BD"/>
    <w:rsid w:val="000337F7"/>
    <w:rsid w:val="000415B7"/>
    <w:rsid w:val="00041E3F"/>
    <w:rsid w:val="00055DAA"/>
    <w:rsid w:val="00061F7B"/>
    <w:rsid w:val="000658A3"/>
    <w:rsid w:val="00074155"/>
    <w:rsid w:val="000873EF"/>
    <w:rsid w:val="000A3F69"/>
    <w:rsid w:val="000C74AC"/>
    <w:rsid w:val="00103957"/>
    <w:rsid w:val="00117FFB"/>
    <w:rsid w:val="001239CD"/>
    <w:rsid w:val="00124A1F"/>
    <w:rsid w:val="00152C6D"/>
    <w:rsid w:val="00162D39"/>
    <w:rsid w:val="001678BD"/>
    <w:rsid w:val="00182373"/>
    <w:rsid w:val="001A25C3"/>
    <w:rsid w:val="001A572C"/>
    <w:rsid w:val="001A65A9"/>
    <w:rsid w:val="001A67DB"/>
    <w:rsid w:val="001C3C29"/>
    <w:rsid w:val="001C771B"/>
    <w:rsid w:val="001D51E5"/>
    <w:rsid w:val="001E080D"/>
    <w:rsid w:val="001E13CC"/>
    <w:rsid w:val="001E1AF4"/>
    <w:rsid w:val="001E53D0"/>
    <w:rsid w:val="001E7043"/>
    <w:rsid w:val="001F0C3B"/>
    <w:rsid w:val="00202C14"/>
    <w:rsid w:val="00202C82"/>
    <w:rsid w:val="0021228A"/>
    <w:rsid w:val="00214427"/>
    <w:rsid w:val="002236FC"/>
    <w:rsid w:val="00226CB7"/>
    <w:rsid w:val="00236109"/>
    <w:rsid w:val="00245A88"/>
    <w:rsid w:val="00264552"/>
    <w:rsid w:val="00264EF9"/>
    <w:rsid w:val="00265724"/>
    <w:rsid w:val="00265CE6"/>
    <w:rsid w:val="0027426B"/>
    <w:rsid w:val="0027523A"/>
    <w:rsid w:val="0029437E"/>
    <w:rsid w:val="00296B86"/>
    <w:rsid w:val="002B792F"/>
    <w:rsid w:val="002C59F5"/>
    <w:rsid w:val="002D4F08"/>
    <w:rsid w:val="002E0A30"/>
    <w:rsid w:val="002E68AC"/>
    <w:rsid w:val="00311164"/>
    <w:rsid w:val="003130C4"/>
    <w:rsid w:val="00316C4B"/>
    <w:rsid w:val="0032192B"/>
    <w:rsid w:val="003479BD"/>
    <w:rsid w:val="0037197D"/>
    <w:rsid w:val="003768D5"/>
    <w:rsid w:val="00380FCD"/>
    <w:rsid w:val="003A6CBD"/>
    <w:rsid w:val="003C4197"/>
    <w:rsid w:val="003C47E6"/>
    <w:rsid w:val="003C4FC2"/>
    <w:rsid w:val="003D3C87"/>
    <w:rsid w:val="003E2331"/>
    <w:rsid w:val="00407356"/>
    <w:rsid w:val="004159FF"/>
    <w:rsid w:val="00416E61"/>
    <w:rsid w:val="0042790C"/>
    <w:rsid w:val="004506F9"/>
    <w:rsid w:val="004717A2"/>
    <w:rsid w:val="00473DF3"/>
    <w:rsid w:val="004852AE"/>
    <w:rsid w:val="00487911"/>
    <w:rsid w:val="00491741"/>
    <w:rsid w:val="004A43E2"/>
    <w:rsid w:val="004A741E"/>
    <w:rsid w:val="004B0CEE"/>
    <w:rsid w:val="004D51D2"/>
    <w:rsid w:val="004E3224"/>
    <w:rsid w:val="00500E5F"/>
    <w:rsid w:val="005122EF"/>
    <w:rsid w:val="0051441A"/>
    <w:rsid w:val="00517C33"/>
    <w:rsid w:val="00517D5F"/>
    <w:rsid w:val="00521AF2"/>
    <w:rsid w:val="00523644"/>
    <w:rsid w:val="0054069E"/>
    <w:rsid w:val="00544866"/>
    <w:rsid w:val="005767CC"/>
    <w:rsid w:val="00590D9F"/>
    <w:rsid w:val="00595D26"/>
    <w:rsid w:val="005A468B"/>
    <w:rsid w:val="005A74E6"/>
    <w:rsid w:val="005B21AB"/>
    <w:rsid w:val="005B404E"/>
    <w:rsid w:val="005B6E9B"/>
    <w:rsid w:val="005D4D55"/>
    <w:rsid w:val="005E2CFB"/>
    <w:rsid w:val="005F02B1"/>
    <w:rsid w:val="005F2103"/>
    <w:rsid w:val="005F3D1C"/>
    <w:rsid w:val="0062378F"/>
    <w:rsid w:val="00632057"/>
    <w:rsid w:val="00634F29"/>
    <w:rsid w:val="00635C7B"/>
    <w:rsid w:val="00641842"/>
    <w:rsid w:val="00651EEC"/>
    <w:rsid w:val="0066003D"/>
    <w:rsid w:val="0066604F"/>
    <w:rsid w:val="00670667"/>
    <w:rsid w:val="00686673"/>
    <w:rsid w:val="00691E8C"/>
    <w:rsid w:val="006967A9"/>
    <w:rsid w:val="006A22C4"/>
    <w:rsid w:val="006A348B"/>
    <w:rsid w:val="006A351B"/>
    <w:rsid w:val="006B0422"/>
    <w:rsid w:val="006C1B53"/>
    <w:rsid w:val="006D67B4"/>
    <w:rsid w:val="006D7730"/>
    <w:rsid w:val="006E30B7"/>
    <w:rsid w:val="006E5284"/>
    <w:rsid w:val="006F3EB5"/>
    <w:rsid w:val="00702E34"/>
    <w:rsid w:val="007032DA"/>
    <w:rsid w:val="00704395"/>
    <w:rsid w:val="00710FE7"/>
    <w:rsid w:val="00711FFF"/>
    <w:rsid w:val="00717621"/>
    <w:rsid w:val="00720FF1"/>
    <w:rsid w:val="00727A53"/>
    <w:rsid w:val="00737938"/>
    <w:rsid w:val="0074203B"/>
    <w:rsid w:val="00742891"/>
    <w:rsid w:val="00743105"/>
    <w:rsid w:val="00773B17"/>
    <w:rsid w:val="00787B42"/>
    <w:rsid w:val="007C4539"/>
    <w:rsid w:val="007D0094"/>
    <w:rsid w:val="007D1EF1"/>
    <w:rsid w:val="007E47BD"/>
    <w:rsid w:val="007F3657"/>
    <w:rsid w:val="00812ED5"/>
    <w:rsid w:val="008277D9"/>
    <w:rsid w:val="0084478C"/>
    <w:rsid w:val="008510AC"/>
    <w:rsid w:val="00854E22"/>
    <w:rsid w:val="0086638C"/>
    <w:rsid w:val="008905AF"/>
    <w:rsid w:val="008A3E8D"/>
    <w:rsid w:val="008C3F94"/>
    <w:rsid w:val="008D0399"/>
    <w:rsid w:val="008E18A3"/>
    <w:rsid w:val="009237C4"/>
    <w:rsid w:val="00944C48"/>
    <w:rsid w:val="00950252"/>
    <w:rsid w:val="00967F5D"/>
    <w:rsid w:val="00974A1C"/>
    <w:rsid w:val="009A0F95"/>
    <w:rsid w:val="009B3ADF"/>
    <w:rsid w:val="009C3B52"/>
    <w:rsid w:val="009E440A"/>
    <w:rsid w:val="009E6817"/>
    <w:rsid w:val="009E6E9A"/>
    <w:rsid w:val="00A01D2B"/>
    <w:rsid w:val="00A42218"/>
    <w:rsid w:val="00A43E67"/>
    <w:rsid w:val="00A535C9"/>
    <w:rsid w:val="00A70249"/>
    <w:rsid w:val="00A70B02"/>
    <w:rsid w:val="00A71D9F"/>
    <w:rsid w:val="00A92E9F"/>
    <w:rsid w:val="00AA2E0B"/>
    <w:rsid w:val="00AB7FE2"/>
    <w:rsid w:val="00AF3FA9"/>
    <w:rsid w:val="00B170D0"/>
    <w:rsid w:val="00B31B30"/>
    <w:rsid w:val="00B33BEA"/>
    <w:rsid w:val="00B57C9F"/>
    <w:rsid w:val="00B63572"/>
    <w:rsid w:val="00B75779"/>
    <w:rsid w:val="00B845B3"/>
    <w:rsid w:val="00B853AF"/>
    <w:rsid w:val="00B85D8B"/>
    <w:rsid w:val="00BB4A40"/>
    <w:rsid w:val="00BD6C3E"/>
    <w:rsid w:val="00BE3674"/>
    <w:rsid w:val="00BE52E7"/>
    <w:rsid w:val="00C10681"/>
    <w:rsid w:val="00C3049A"/>
    <w:rsid w:val="00C31B1E"/>
    <w:rsid w:val="00C33722"/>
    <w:rsid w:val="00C35A1D"/>
    <w:rsid w:val="00C72DE8"/>
    <w:rsid w:val="00C77645"/>
    <w:rsid w:val="00C85541"/>
    <w:rsid w:val="00C86C4B"/>
    <w:rsid w:val="00CD36C9"/>
    <w:rsid w:val="00CE04C3"/>
    <w:rsid w:val="00CE76A0"/>
    <w:rsid w:val="00D00E18"/>
    <w:rsid w:val="00D148C6"/>
    <w:rsid w:val="00D1640B"/>
    <w:rsid w:val="00D17A8A"/>
    <w:rsid w:val="00D415BA"/>
    <w:rsid w:val="00D56CB1"/>
    <w:rsid w:val="00D62A27"/>
    <w:rsid w:val="00D63780"/>
    <w:rsid w:val="00D644EE"/>
    <w:rsid w:val="00D75489"/>
    <w:rsid w:val="00D7753A"/>
    <w:rsid w:val="00D84718"/>
    <w:rsid w:val="00DB3188"/>
    <w:rsid w:val="00DC46CA"/>
    <w:rsid w:val="00DD06FF"/>
    <w:rsid w:val="00DD3913"/>
    <w:rsid w:val="00DD5FE9"/>
    <w:rsid w:val="00DE35D6"/>
    <w:rsid w:val="00E00C7A"/>
    <w:rsid w:val="00E05DBE"/>
    <w:rsid w:val="00E1112E"/>
    <w:rsid w:val="00E209CF"/>
    <w:rsid w:val="00E37D6C"/>
    <w:rsid w:val="00E55B68"/>
    <w:rsid w:val="00E66358"/>
    <w:rsid w:val="00E67BE6"/>
    <w:rsid w:val="00E72F85"/>
    <w:rsid w:val="00E8683C"/>
    <w:rsid w:val="00E91280"/>
    <w:rsid w:val="00EA2B72"/>
    <w:rsid w:val="00ED5039"/>
    <w:rsid w:val="00EE4134"/>
    <w:rsid w:val="00F36696"/>
    <w:rsid w:val="00F63128"/>
    <w:rsid w:val="00F74360"/>
    <w:rsid w:val="00F848D0"/>
    <w:rsid w:val="00F932AD"/>
    <w:rsid w:val="00FB462F"/>
    <w:rsid w:val="00FC45FA"/>
    <w:rsid w:val="00FE16FA"/>
    <w:rsid w:val="00FE328A"/>
    <w:rsid w:val="00FE6269"/>
    <w:rsid w:val="00FF5CD6"/>
    <w:rsid w:val="1ACF6823"/>
    <w:rsid w:val="26E66FE1"/>
    <w:rsid w:val="30C371FB"/>
    <w:rsid w:val="559A7B22"/>
    <w:rsid w:val="65EF46A4"/>
    <w:rsid w:val="6E1D368D"/>
    <w:rsid w:val="6F071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653</Words>
  <Characters>3723</Characters>
  <Lines>31</Lines>
  <Paragraphs>8</Paragraphs>
  <TotalTime>0</TotalTime>
  <ScaleCrop>false</ScaleCrop>
  <LinksUpToDate>false</LinksUpToDate>
  <CharactersWithSpaces>4368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2022-09-06T04:32:00Z</dcterms:created>
  <dc:creator>李航 null</dc:creator>
  <cp:lastModifiedBy>非鱼</cp:lastModifiedBy>
  <cp:lastPrinted>2022-07-27T12:55:00Z</cp:lastPrinted>
  <dcterms:modified xsi:type="dcterms:W3CDTF">2023-09-24T03:28:20Z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513D0332CF33413DBC91276764FDDAC7_12</vt:lpwstr>
  </property>
</Properties>
</file>