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val="0"/>
          <w:color w:val="auto"/>
          <w:kern w:val="0"/>
          <w:sz w:val="48"/>
          <w:szCs w:val="48"/>
          <w:lang w:eastAsia="zh-CN"/>
        </w:rPr>
      </w:pPr>
      <w:r>
        <w:rPr>
          <w:rFonts w:hint="eastAsia" w:ascii="仿宋" w:hAnsi="仿宋" w:eastAsia="仿宋" w:cs="仿宋"/>
          <w:b/>
          <w:bCs w:val="0"/>
          <w:color w:val="auto"/>
          <w:kern w:val="0"/>
          <w:sz w:val="48"/>
          <w:szCs w:val="48"/>
          <w:lang w:val="en-US" w:eastAsia="zh-CN"/>
        </w:rPr>
        <w:t>2021</w:t>
      </w:r>
      <w:r>
        <w:rPr>
          <w:rFonts w:hint="eastAsia" w:ascii="仿宋" w:hAnsi="仿宋" w:eastAsia="仿宋" w:cs="仿宋"/>
          <w:b/>
          <w:bCs w:val="0"/>
          <w:color w:val="auto"/>
          <w:kern w:val="0"/>
          <w:sz w:val="48"/>
          <w:szCs w:val="48"/>
        </w:rPr>
        <w:t>年</w:t>
      </w:r>
      <w:r>
        <w:rPr>
          <w:rFonts w:hint="eastAsia" w:ascii="仿宋" w:hAnsi="仿宋" w:eastAsia="仿宋" w:cs="仿宋"/>
          <w:b/>
          <w:bCs w:val="0"/>
          <w:color w:val="auto"/>
          <w:kern w:val="0"/>
          <w:sz w:val="48"/>
          <w:szCs w:val="48"/>
          <w:lang w:eastAsia="zh-CN"/>
        </w:rPr>
        <w:t>怀化市劳动监察支队</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val="0"/>
          <w:color w:val="auto"/>
          <w:kern w:val="0"/>
          <w:sz w:val="48"/>
          <w:szCs w:val="48"/>
        </w:rPr>
      </w:pPr>
      <w:r>
        <w:rPr>
          <w:rFonts w:hint="eastAsia" w:ascii="仿宋" w:hAnsi="仿宋" w:eastAsia="仿宋" w:cs="仿宋"/>
          <w:b/>
          <w:bCs w:val="0"/>
          <w:color w:val="auto"/>
          <w:kern w:val="0"/>
          <w:sz w:val="48"/>
          <w:szCs w:val="48"/>
        </w:rPr>
        <w:t>部门决算</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目录</w:t>
      </w:r>
    </w:p>
    <w:p>
      <w:pPr>
        <w:keepNext w:val="0"/>
        <w:keepLines w:val="0"/>
        <w:pageBreakBefore w:val="0"/>
        <w:widowControl/>
        <w:kinsoku/>
        <w:wordWrap/>
        <w:overflowPunct/>
        <w:topLinePunct w:val="0"/>
        <w:bidi w:val="0"/>
        <w:snapToGrid/>
        <w:spacing w:line="600" w:lineRule="exact"/>
        <w:jc w:val="center"/>
        <w:textAlignment w:val="auto"/>
        <w:rPr>
          <w:rFonts w:hint="eastAsia" w:ascii="仿宋" w:hAnsi="仿宋" w:eastAsia="仿宋" w:cs="仿宋"/>
          <w:bCs/>
          <w:color w:val="auto"/>
          <w:kern w:val="0"/>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第一部分</w:t>
      </w:r>
      <w:r>
        <w:rPr>
          <w:rFonts w:hint="eastAsia" w:ascii="仿宋" w:hAnsi="仿宋" w:eastAsia="仿宋" w:cs="仿宋"/>
          <w:b/>
          <w:bCs/>
          <w:color w:val="auto"/>
          <w:kern w:val="0"/>
          <w:sz w:val="32"/>
          <w:szCs w:val="32"/>
          <w:lang w:val="en-US" w:eastAsia="zh-CN"/>
        </w:rPr>
        <w:t>怀化市劳动监察支队</w:t>
      </w:r>
      <w:r>
        <w:rPr>
          <w:rFonts w:hint="eastAsia" w:ascii="仿宋" w:hAnsi="仿宋" w:eastAsia="仿宋" w:cs="仿宋"/>
          <w:b/>
          <w:bCs/>
          <w:color w:val="auto"/>
          <w:kern w:val="0"/>
          <w:sz w:val="32"/>
          <w:szCs w:val="32"/>
        </w:rPr>
        <w:t>部门概况</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一、部门职责</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二、机构设置</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第二部分</w:t>
      </w:r>
      <w:r>
        <w:rPr>
          <w:rFonts w:hint="eastAsia" w:ascii="仿宋" w:hAnsi="仿宋" w:eastAsia="仿宋" w:cs="仿宋"/>
          <w:b/>
          <w:bCs/>
          <w:color w:val="auto"/>
          <w:kern w:val="0"/>
          <w:sz w:val="32"/>
          <w:szCs w:val="32"/>
          <w:lang w:val="en-US" w:eastAsia="zh-CN"/>
        </w:rPr>
        <w:t>2021年度</w:t>
      </w:r>
      <w:r>
        <w:rPr>
          <w:rFonts w:hint="eastAsia" w:ascii="仿宋" w:hAnsi="仿宋" w:eastAsia="仿宋" w:cs="仿宋"/>
          <w:b/>
          <w:bCs/>
          <w:color w:val="auto"/>
          <w:kern w:val="0"/>
          <w:sz w:val="32"/>
          <w:szCs w:val="32"/>
        </w:rPr>
        <w:t>部门决算表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二、收入决算表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三、支出决算表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五、一般公共预算财政拨款支出决算表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七、一般公共预算财政拨款“三公”经费支出决算表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八、政府性基金预算财政拨款收入支出决算表</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w:t>
      </w:r>
      <w:r>
        <w:rPr>
          <w:rFonts w:hint="eastAsia" w:ascii="仿宋" w:hAnsi="仿宋" w:eastAsia="仿宋" w:cs="仿宋"/>
          <w:color w:val="auto"/>
          <w:sz w:val="32"/>
          <w:szCs w:val="32"/>
          <w:highlight w:val="none"/>
        </w:rPr>
        <w:t>国有资本经营预算财政拨款支出决算表</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第三部分</w:t>
      </w:r>
      <w:r>
        <w:rPr>
          <w:rFonts w:hint="eastAsia" w:ascii="仿宋" w:hAnsi="仿宋" w:eastAsia="仿宋" w:cs="仿宋"/>
          <w:b/>
          <w:bCs/>
          <w:color w:val="auto"/>
          <w:kern w:val="0"/>
          <w:sz w:val="32"/>
          <w:szCs w:val="32"/>
          <w:lang w:val="en-US" w:eastAsia="zh-CN"/>
        </w:rPr>
        <w:t>2021</w:t>
      </w:r>
      <w:r>
        <w:rPr>
          <w:rFonts w:hint="eastAsia" w:ascii="仿宋" w:hAnsi="仿宋" w:eastAsia="仿宋" w:cs="仿宋"/>
          <w:b/>
          <w:bCs/>
          <w:color w:val="auto"/>
          <w:kern w:val="0"/>
          <w:sz w:val="32"/>
          <w:szCs w:val="32"/>
        </w:rPr>
        <w:t>年度部门决算情况说明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一、收入支出决算总体情况说明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二、收入决算情况说明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三、支出决算情况说明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四、财政拨款收入支出决算总体情况说明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五、一般公共预算财政拨款支出决算情况说明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七、一般公共预算财政拨款三公经费支出决算情况说明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八、政府性基金预算收入支出决算情况</w:t>
      </w:r>
      <w:r>
        <w:rPr>
          <w:rFonts w:hint="eastAsia" w:ascii="仿宋" w:hAnsi="仿宋" w:eastAsia="仿宋" w:cs="仿宋"/>
          <w:color w:val="auto"/>
          <w:sz w:val="32"/>
          <w:szCs w:val="32"/>
          <w:lang w:val="en-US" w:eastAsia="zh-CN"/>
        </w:rPr>
        <w:t>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九、国有资本经营预算财政拨款支出</w:t>
      </w:r>
      <w:r>
        <w:rPr>
          <w:rFonts w:hint="eastAsia" w:ascii="仿宋" w:hAnsi="仿宋" w:eastAsia="仿宋" w:cs="仿宋"/>
          <w:color w:val="auto"/>
          <w:sz w:val="32"/>
          <w:szCs w:val="32"/>
          <w:highlight w:val="none"/>
        </w:rPr>
        <w:t>决算情况</w:t>
      </w:r>
      <w:r>
        <w:rPr>
          <w:rFonts w:hint="eastAsia" w:ascii="仿宋" w:hAnsi="仿宋" w:eastAsia="仿宋" w:cs="仿宋"/>
          <w:color w:val="auto"/>
          <w:sz w:val="32"/>
          <w:szCs w:val="32"/>
          <w:highlight w:val="none"/>
          <w:lang w:val="en-US" w:eastAsia="zh-CN"/>
        </w:rPr>
        <w:t>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lang w:val="en-US" w:eastAsia="zh-CN"/>
        </w:rPr>
        <w:t>十</w:t>
      </w:r>
      <w:r>
        <w:rPr>
          <w:rFonts w:hint="eastAsia" w:ascii="仿宋" w:hAnsi="仿宋" w:eastAsia="仿宋" w:cs="仿宋"/>
          <w:i w:val="0"/>
          <w:iCs w:val="0"/>
          <w:caps w:val="0"/>
          <w:color w:val="auto"/>
          <w:spacing w:val="0"/>
          <w:sz w:val="32"/>
          <w:szCs w:val="32"/>
          <w:highlight w:val="none"/>
          <w:shd w:val="clear" w:color="auto" w:fill="FFFFFF"/>
        </w:rPr>
        <w:t>、关于机关运行经费支出说明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一</w:t>
      </w:r>
      <w:r>
        <w:rPr>
          <w:rFonts w:hint="eastAsia" w:ascii="仿宋" w:hAnsi="仿宋" w:eastAsia="仿宋" w:cs="仿宋"/>
          <w:i w:val="0"/>
          <w:iCs w:val="0"/>
          <w:caps w:val="0"/>
          <w:color w:val="auto"/>
          <w:spacing w:val="0"/>
          <w:sz w:val="32"/>
          <w:szCs w:val="32"/>
          <w:highlight w:val="none"/>
          <w:shd w:val="clear" w:color="auto" w:fill="FFFFFF"/>
        </w:rPr>
        <w:t>、一般性支出情况</w:t>
      </w:r>
      <w:r>
        <w:rPr>
          <w:rFonts w:hint="eastAsia" w:ascii="仿宋" w:hAnsi="仿宋" w:eastAsia="仿宋" w:cs="仿宋"/>
          <w:i w:val="0"/>
          <w:iCs w:val="0"/>
          <w:caps w:val="0"/>
          <w:color w:val="auto"/>
          <w:spacing w:val="0"/>
          <w:sz w:val="32"/>
          <w:szCs w:val="32"/>
          <w:highlight w:val="none"/>
          <w:shd w:val="clear" w:color="auto" w:fill="FFFFFF"/>
          <w:lang w:val="en-US" w:eastAsia="zh-CN"/>
        </w:rPr>
        <w:t>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二</w:t>
      </w:r>
      <w:r>
        <w:rPr>
          <w:rFonts w:hint="eastAsia" w:ascii="仿宋" w:hAnsi="仿宋" w:eastAsia="仿宋" w:cs="仿宋"/>
          <w:i w:val="0"/>
          <w:iCs w:val="0"/>
          <w:caps w:val="0"/>
          <w:color w:val="auto"/>
          <w:spacing w:val="0"/>
          <w:sz w:val="32"/>
          <w:szCs w:val="32"/>
          <w:highlight w:val="none"/>
          <w:shd w:val="clear" w:color="auto" w:fill="FFFFFF"/>
        </w:rPr>
        <w:t>、关于政府采购支出说明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三</w:t>
      </w:r>
      <w:r>
        <w:rPr>
          <w:rFonts w:hint="eastAsia" w:ascii="仿宋" w:hAnsi="仿宋" w:eastAsia="仿宋" w:cs="仿宋"/>
          <w:i w:val="0"/>
          <w:iCs w:val="0"/>
          <w:caps w:val="0"/>
          <w:color w:val="auto"/>
          <w:spacing w:val="0"/>
          <w:sz w:val="32"/>
          <w:szCs w:val="32"/>
          <w:highlight w:val="none"/>
          <w:shd w:val="clear" w:color="auto" w:fill="FFFFFF"/>
        </w:rPr>
        <w:t>、关于国有资产占用情况说明</w:t>
      </w:r>
    </w:p>
    <w:p>
      <w:pPr>
        <w:pStyle w:val="10"/>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四</w:t>
      </w:r>
      <w:r>
        <w:rPr>
          <w:rFonts w:hint="eastAsia" w:ascii="仿宋" w:hAnsi="仿宋" w:eastAsia="仿宋" w:cs="仿宋"/>
          <w:i w:val="0"/>
          <w:iCs w:val="0"/>
          <w:caps w:val="0"/>
          <w:color w:val="auto"/>
          <w:spacing w:val="0"/>
          <w:sz w:val="32"/>
          <w:szCs w:val="32"/>
          <w:highlight w:val="none"/>
          <w:shd w:val="clear" w:color="auto" w:fill="FFFFFF"/>
        </w:rPr>
        <w:t>、关于2021年度预算绩效情况的说明</w:t>
      </w:r>
    </w:p>
    <w:p>
      <w:pPr>
        <w:rPr>
          <w:rFonts w:hint="eastAsia" w:ascii="仿宋" w:hAnsi="仿宋" w:eastAsia="仿宋" w:cs="仿宋"/>
          <w:color w:val="auto"/>
          <w:sz w:val="32"/>
          <w:szCs w:val="32"/>
        </w:rPr>
      </w:pPr>
    </w:p>
    <w:p>
      <w:pPr>
        <w:pStyle w:val="10"/>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第一部分</w:t>
      </w:r>
      <w:r>
        <w:rPr>
          <w:rFonts w:hint="eastAsia" w:ascii="仿宋" w:hAnsi="仿宋" w:eastAsia="仿宋" w:cs="仿宋"/>
          <w:color w:val="auto"/>
          <w:sz w:val="32"/>
          <w:szCs w:val="32"/>
          <w:lang w:eastAsia="zh-CN"/>
        </w:rPr>
        <w:t>怀化市劳动监察支队</w:t>
      </w:r>
      <w:r>
        <w:rPr>
          <w:rFonts w:hint="eastAsia" w:ascii="仿宋" w:hAnsi="仿宋" w:eastAsia="仿宋" w:cs="仿宋"/>
          <w:color w:val="auto"/>
          <w:sz w:val="32"/>
          <w:szCs w:val="32"/>
        </w:rPr>
        <w:t>概况</w:t>
      </w:r>
    </w:p>
    <w:p>
      <w:pPr>
        <w:pStyle w:val="11"/>
        <w:numPr>
          <w:ilvl w:val="0"/>
          <w:numId w:val="0"/>
        </w:numPr>
        <w:ind w:leftChars="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部门职责</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为劳动保障提供监察执法保障。宣传劳动保障法律法规和规章，督促用人单位贯彻执行；检查用人单位遵守劳动保障法律和法规的情况；受理对违反劳动保障法律法规或规章行为的举报、投诉；依法纠正和查处违反劳动保障法律、法规或规章的行为。</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二、机构设置及决算单位构成</w:t>
      </w:r>
    </w:p>
    <w:p>
      <w:pPr>
        <w:widowControl/>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（一）内设机构设置。</w:t>
      </w:r>
      <w:r>
        <w:rPr>
          <w:rFonts w:hint="eastAsia" w:ascii="仿宋" w:hAnsi="仿宋" w:eastAsia="仿宋" w:cs="仿宋"/>
          <w:bCs/>
          <w:color w:val="auto"/>
          <w:kern w:val="0"/>
          <w:sz w:val="32"/>
          <w:szCs w:val="32"/>
          <w:lang w:eastAsia="zh-CN"/>
        </w:rPr>
        <w:t>无</w:t>
      </w:r>
      <w:r>
        <w:rPr>
          <w:rFonts w:hint="eastAsia" w:ascii="仿宋" w:hAnsi="仿宋" w:eastAsia="仿宋" w:cs="仿宋"/>
          <w:bCs/>
          <w:color w:val="auto"/>
          <w:kern w:val="0"/>
          <w:sz w:val="32"/>
          <w:szCs w:val="32"/>
        </w:rPr>
        <w:t>内设机构</w:t>
      </w:r>
      <w:r>
        <w:rPr>
          <w:rFonts w:hint="eastAsia" w:ascii="仿宋" w:hAnsi="仿宋" w:eastAsia="仿宋" w:cs="仿宋"/>
          <w:bCs/>
          <w:color w:val="auto"/>
          <w:kern w:val="0"/>
          <w:sz w:val="32"/>
          <w:szCs w:val="32"/>
          <w:lang w:eastAsia="zh-CN"/>
        </w:rPr>
        <w:t>。</w:t>
      </w:r>
    </w:p>
    <w:p>
      <w:pPr>
        <w:widowControl/>
        <w:spacing w:line="60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（二）决算单位构成。</w:t>
      </w:r>
      <w:r>
        <w:rPr>
          <w:rFonts w:hint="eastAsia" w:ascii="仿宋" w:hAnsi="仿宋" w:eastAsia="仿宋" w:cs="仿宋"/>
          <w:bCs/>
          <w:color w:val="auto"/>
          <w:kern w:val="0"/>
          <w:sz w:val="32"/>
          <w:szCs w:val="32"/>
          <w:lang w:eastAsia="zh-CN"/>
        </w:rPr>
        <w:t>怀化市劳动监察支队为二级预算单位，主管部门为怀化市人力资源和社会保障局。</w:t>
      </w:r>
    </w:p>
    <w:p>
      <w:pPr>
        <w:jc w:val="both"/>
        <w:rPr>
          <w:rFonts w:hint="eastAsia" w:ascii="仿宋" w:hAnsi="仿宋" w:eastAsia="仿宋" w:cs="仿宋"/>
          <w:color w:val="auto"/>
          <w:sz w:val="32"/>
          <w:szCs w:val="32"/>
        </w:rPr>
      </w:pPr>
    </w:p>
    <w:p>
      <w:pPr>
        <w:pStyle w:val="10"/>
        <w:ind w:firstLine="640" w:firstLineChars="20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第二部分决算表</w:t>
      </w:r>
    </w:p>
    <w:p>
      <w:pPr>
        <w:ind w:firstLine="640" w:firstLineChars="200"/>
        <w:jc w:val="center"/>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（公开表格附后）</w:t>
      </w:r>
    </w:p>
    <w:p>
      <w:pPr>
        <w:jc w:val="both"/>
        <w:rPr>
          <w:rFonts w:hint="eastAsia" w:ascii="仿宋" w:hAnsi="仿宋" w:eastAsia="仿宋" w:cs="仿宋"/>
          <w:color w:val="auto"/>
          <w:sz w:val="32"/>
          <w:szCs w:val="32"/>
        </w:rPr>
      </w:pPr>
    </w:p>
    <w:p>
      <w:pPr>
        <w:pStyle w:val="10"/>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第三部分</w:t>
      </w:r>
      <w:r>
        <w:rPr>
          <w:rFonts w:hint="eastAsia" w:ascii="仿宋" w:hAnsi="仿宋" w:eastAsia="仿宋" w:cs="仿宋"/>
          <w:color w:val="auto"/>
          <w:sz w:val="32"/>
          <w:szCs w:val="32"/>
        </w:rPr>
        <w:t>2021年度部门决算情况说明</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一、收入支出决算总体情况说明</w:t>
      </w:r>
    </w:p>
    <w:p>
      <w:pPr>
        <w:pStyle w:val="10"/>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2021年度收、支总计</w:t>
      </w:r>
      <w:r>
        <w:rPr>
          <w:rFonts w:hint="eastAsia" w:ascii="仿宋" w:hAnsi="仿宋" w:eastAsia="仿宋" w:cs="仿宋"/>
          <w:color w:val="auto"/>
          <w:sz w:val="32"/>
          <w:szCs w:val="32"/>
          <w:lang w:val="en-US" w:eastAsia="zh-CN"/>
        </w:rPr>
        <w:t>各251.81</w:t>
      </w:r>
      <w:r>
        <w:rPr>
          <w:rFonts w:hint="eastAsia" w:ascii="仿宋" w:hAnsi="仿宋" w:eastAsia="仿宋" w:cs="仿宋"/>
          <w:color w:val="auto"/>
          <w:sz w:val="32"/>
          <w:szCs w:val="32"/>
        </w:rPr>
        <w:t>万元。与上年相比，增加</w:t>
      </w:r>
      <w:r>
        <w:rPr>
          <w:rFonts w:hint="eastAsia" w:ascii="仿宋" w:hAnsi="仿宋" w:eastAsia="仿宋" w:cs="仿宋"/>
          <w:color w:val="auto"/>
          <w:sz w:val="32"/>
          <w:szCs w:val="32"/>
          <w:lang w:val="en-US" w:eastAsia="zh-CN"/>
        </w:rPr>
        <w:t>10.61</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4.4</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eastAsia="zh-CN"/>
        </w:rPr>
        <w:t>人员工资福利提高。</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二、收入决算情况说明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2021年度收入合计</w:t>
      </w:r>
      <w:r>
        <w:rPr>
          <w:rFonts w:hint="eastAsia" w:ascii="仿宋" w:hAnsi="仿宋" w:eastAsia="仿宋" w:cs="仿宋"/>
          <w:color w:val="auto"/>
          <w:sz w:val="32"/>
          <w:szCs w:val="32"/>
          <w:lang w:val="en-US" w:eastAsia="zh-CN"/>
        </w:rPr>
        <w:t>243.65</w:t>
      </w:r>
      <w:r>
        <w:rPr>
          <w:rFonts w:hint="eastAsia" w:ascii="仿宋" w:hAnsi="仿宋" w:eastAsia="仿宋" w:cs="仿宋"/>
          <w:color w:val="auto"/>
          <w:sz w:val="32"/>
          <w:szCs w:val="32"/>
        </w:rPr>
        <w:t>万元，其中：财政拨款收入</w:t>
      </w:r>
      <w:r>
        <w:rPr>
          <w:rFonts w:hint="eastAsia" w:ascii="仿宋" w:hAnsi="仿宋" w:eastAsia="仿宋" w:cs="仿宋"/>
          <w:color w:val="auto"/>
          <w:sz w:val="32"/>
          <w:szCs w:val="32"/>
          <w:lang w:val="en-US" w:eastAsia="zh-CN"/>
        </w:rPr>
        <w:t>243.65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三、支出决算情况说明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2021年度支出合计</w:t>
      </w:r>
      <w:r>
        <w:rPr>
          <w:rFonts w:hint="eastAsia" w:ascii="仿宋" w:hAnsi="仿宋" w:eastAsia="仿宋" w:cs="仿宋"/>
          <w:color w:val="auto"/>
          <w:sz w:val="32"/>
          <w:szCs w:val="32"/>
          <w:lang w:val="en-US" w:eastAsia="zh-CN"/>
        </w:rPr>
        <w:t>251.81</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251.81</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四、财政拨款收入支出决算总体情况说明</w:t>
      </w:r>
    </w:p>
    <w:p>
      <w:pPr>
        <w:pStyle w:val="10"/>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2021年度财政拨款收、支总计</w:t>
      </w:r>
      <w:r>
        <w:rPr>
          <w:rFonts w:hint="eastAsia" w:ascii="仿宋" w:hAnsi="仿宋" w:eastAsia="仿宋" w:cs="仿宋"/>
          <w:color w:val="auto"/>
          <w:sz w:val="32"/>
          <w:szCs w:val="32"/>
          <w:lang w:val="en-US" w:eastAsia="zh-CN"/>
        </w:rPr>
        <w:t>各251.85</w:t>
      </w:r>
      <w:r>
        <w:rPr>
          <w:rFonts w:hint="eastAsia" w:ascii="仿宋" w:hAnsi="仿宋" w:eastAsia="仿宋" w:cs="仿宋"/>
          <w:color w:val="auto"/>
          <w:sz w:val="32"/>
          <w:szCs w:val="32"/>
        </w:rPr>
        <w:t>万元，与上年相比，增加</w:t>
      </w:r>
      <w:r>
        <w:rPr>
          <w:rFonts w:hint="eastAsia" w:ascii="仿宋" w:hAnsi="仿宋" w:eastAsia="仿宋" w:cs="仿宋"/>
          <w:color w:val="auto"/>
          <w:sz w:val="32"/>
          <w:szCs w:val="32"/>
          <w:lang w:val="en-US" w:eastAsia="zh-CN"/>
        </w:rPr>
        <w:t>10.61</w:t>
      </w:r>
      <w:r>
        <w:rPr>
          <w:rFonts w:hint="eastAsia" w:ascii="仿宋" w:hAnsi="仿宋" w:eastAsia="仿宋" w:cs="仿宋"/>
          <w:color w:val="auto"/>
          <w:sz w:val="32"/>
          <w:szCs w:val="32"/>
        </w:rPr>
        <w:t>元,增长</w:t>
      </w:r>
      <w:r>
        <w:rPr>
          <w:rFonts w:hint="eastAsia" w:ascii="仿宋" w:hAnsi="仿宋" w:eastAsia="仿宋" w:cs="仿宋"/>
          <w:color w:val="auto"/>
          <w:sz w:val="32"/>
          <w:szCs w:val="32"/>
          <w:lang w:val="en-US" w:eastAsia="zh-CN"/>
        </w:rPr>
        <w:t>4.4</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eastAsia="zh-CN"/>
        </w:rPr>
        <w:t>人员工资福利提高。</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五、一般公共预算财政拨款支出决算情况说明</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w:t>
      </w:r>
      <w:r>
        <w:rPr>
          <w:rFonts w:hint="eastAsia" w:ascii="仿宋" w:hAnsi="仿宋" w:eastAsia="仿宋" w:cs="仿宋"/>
          <w:color w:val="auto"/>
          <w:sz w:val="32"/>
          <w:szCs w:val="32"/>
          <w:lang w:val="en-US" w:eastAsia="zh-CN"/>
        </w:rPr>
        <w:t>251.81</w:t>
      </w:r>
      <w:r>
        <w:rPr>
          <w:rFonts w:hint="eastAsia" w:ascii="仿宋" w:hAnsi="仿宋" w:eastAsia="仿宋" w:cs="仿宋"/>
          <w:color w:val="auto"/>
          <w:sz w:val="32"/>
          <w:szCs w:val="32"/>
        </w:rPr>
        <w:t>万元，占本年支出合计的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%，与上年相比，财政拨款支出增加</w:t>
      </w:r>
      <w:r>
        <w:rPr>
          <w:rFonts w:hint="eastAsia" w:ascii="仿宋" w:hAnsi="仿宋" w:eastAsia="仿宋" w:cs="仿宋"/>
          <w:color w:val="auto"/>
          <w:sz w:val="32"/>
          <w:szCs w:val="32"/>
          <w:lang w:val="en-US" w:eastAsia="zh-CN"/>
        </w:rPr>
        <w:t>12.9</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eastAsia="zh-CN"/>
        </w:rPr>
        <w:t>人员工资福利提高。</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（二）财政拨款支出决算结构情况</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2021年度财政拨款支出</w:t>
      </w:r>
      <w:r>
        <w:rPr>
          <w:rFonts w:hint="eastAsia" w:ascii="仿宋" w:hAnsi="仿宋" w:eastAsia="仿宋" w:cs="仿宋"/>
          <w:color w:val="auto"/>
          <w:sz w:val="32"/>
          <w:szCs w:val="32"/>
          <w:lang w:val="en-US" w:eastAsia="zh-CN"/>
        </w:rPr>
        <w:t>251.81</w:t>
      </w:r>
      <w:r>
        <w:rPr>
          <w:rFonts w:hint="eastAsia" w:ascii="仿宋" w:hAnsi="仿宋" w:eastAsia="仿宋" w:cs="仿宋"/>
          <w:color w:val="auto"/>
          <w:sz w:val="32"/>
          <w:szCs w:val="32"/>
        </w:rPr>
        <w:t>万元，主要用于以下方面：社会保障和就业支出（类）支出</w:t>
      </w:r>
      <w:r>
        <w:rPr>
          <w:rFonts w:hint="eastAsia" w:ascii="仿宋" w:hAnsi="仿宋" w:eastAsia="仿宋" w:cs="仿宋"/>
          <w:color w:val="auto"/>
          <w:sz w:val="32"/>
          <w:szCs w:val="32"/>
          <w:lang w:val="en-US" w:eastAsia="zh-CN"/>
        </w:rPr>
        <w:t>245.42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97.46</w:t>
      </w:r>
      <w:r>
        <w:rPr>
          <w:rFonts w:hint="eastAsia" w:ascii="仿宋" w:hAnsi="仿宋" w:eastAsia="仿宋" w:cs="仿宋"/>
          <w:color w:val="auto"/>
          <w:sz w:val="32"/>
          <w:szCs w:val="32"/>
        </w:rPr>
        <w:t>%；卫生健康支出（类）支出</w:t>
      </w:r>
      <w:r>
        <w:rPr>
          <w:rFonts w:hint="eastAsia" w:ascii="仿宋" w:hAnsi="仿宋" w:eastAsia="仿宋" w:cs="仿宋"/>
          <w:color w:val="auto"/>
          <w:sz w:val="32"/>
          <w:szCs w:val="32"/>
          <w:lang w:val="en-US" w:eastAsia="zh-CN"/>
        </w:rPr>
        <w:t>6.38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2.54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（三）财政拨款支出决算具体情况</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2021年度财政拨款支出年初预算数为</w:t>
      </w:r>
      <w:r>
        <w:rPr>
          <w:rFonts w:hint="eastAsia" w:ascii="仿宋" w:hAnsi="仿宋" w:eastAsia="仿宋" w:cs="仿宋"/>
          <w:color w:val="auto"/>
          <w:sz w:val="32"/>
          <w:szCs w:val="32"/>
          <w:lang w:val="en-US" w:eastAsia="zh-CN"/>
        </w:rPr>
        <w:t>156.97</w:t>
      </w:r>
      <w:r>
        <w:rPr>
          <w:rFonts w:hint="eastAsia" w:ascii="仿宋" w:hAnsi="仿宋" w:eastAsia="仿宋" w:cs="仿宋"/>
          <w:color w:val="auto"/>
          <w:sz w:val="32"/>
          <w:szCs w:val="32"/>
        </w:rPr>
        <w:t>万元，支出决算数为</w:t>
      </w:r>
      <w:r>
        <w:rPr>
          <w:rFonts w:hint="eastAsia" w:ascii="仿宋" w:hAnsi="仿宋" w:eastAsia="仿宋" w:cs="仿宋"/>
          <w:color w:val="auto"/>
          <w:sz w:val="32"/>
          <w:szCs w:val="32"/>
          <w:lang w:val="en-US" w:eastAsia="zh-CN"/>
        </w:rPr>
        <w:t>251.85</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160.44</w:t>
      </w:r>
      <w:r>
        <w:rPr>
          <w:rFonts w:hint="eastAsia" w:ascii="仿宋" w:hAnsi="仿宋" w:eastAsia="仿宋" w:cs="仿宋"/>
          <w:color w:val="auto"/>
          <w:sz w:val="32"/>
          <w:szCs w:val="32"/>
        </w:rPr>
        <w:t>%，其中：</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1、社会保障和就业支出（类）人力资源和社会保障管理事务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款</w:t>
      </w:r>
      <w:r>
        <w:rPr>
          <w:rFonts w:hint="eastAsia" w:ascii="仿宋" w:hAnsi="仿宋" w:eastAsia="仿宋" w:cs="仿宋"/>
          <w:color w:val="auto"/>
          <w:sz w:val="32"/>
          <w:szCs w:val="32"/>
          <w:lang w:eastAsia="zh-CN"/>
        </w:rPr>
        <w:t>）行政运行（</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92.64</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129.08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139.34</w:t>
      </w:r>
      <w:r>
        <w:rPr>
          <w:rFonts w:hint="eastAsia" w:ascii="仿宋" w:hAnsi="仿宋" w:eastAsia="仿宋" w:cs="仿宋"/>
          <w:color w:val="auto"/>
          <w:sz w:val="32"/>
          <w:szCs w:val="32"/>
        </w:rPr>
        <w:t>%，决算数大于年初预算数的主要原因是：</w:t>
      </w:r>
      <w:r>
        <w:rPr>
          <w:rFonts w:hint="eastAsia" w:ascii="仿宋" w:hAnsi="仿宋" w:eastAsia="仿宋" w:cs="仿宋"/>
          <w:color w:val="auto"/>
          <w:sz w:val="32"/>
          <w:szCs w:val="32"/>
          <w:lang w:val="en-US" w:eastAsia="zh-CN"/>
        </w:rPr>
        <w:t>2021年支队整体搬迁两次，并且更换了新的制服，办公费用和其他商品服务支出增多</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社会保障和就业支出（类）人力资源和社会保障管理事务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款</w:t>
      </w:r>
      <w:r>
        <w:rPr>
          <w:rFonts w:hint="eastAsia" w:ascii="仿宋" w:hAnsi="仿宋" w:eastAsia="仿宋" w:cs="仿宋"/>
          <w:color w:val="auto"/>
          <w:sz w:val="32"/>
          <w:szCs w:val="32"/>
          <w:lang w:eastAsia="zh-CN"/>
        </w:rPr>
        <w:t>）其他人力资源和社会保障管理事务支出（</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64.20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99.20</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154.52</w:t>
      </w:r>
      <w:r>
        <w:rPr>
          <w:rFonts w:hint="eastAsia" w:ascii="仿宋" w:hAnsi="仿宋" w:eastAsia="仿宋" w:cs="仿宋"/>
          <w:color w:val="auto"/>
          <w:sz w:val="32"/>
          <w:szCs w:val="32"/>
        </w:rPr>
        <w:t>%，决算数大于年初预算数的主要原因是：</w:t>
      </w:r>
      <w:r>
        <w:rPr>
          <w:rFonts w:hint="eastAsia" w:ascii="仿宋" w:hAnsi="仿宋" w:eastAsia="仿宋" w:cs="仿宋"/>
          <w:color w:val="auto"/>
          <w:sz w:val="32"/>
          <w:szCs w:val="32"/>
          <w:lang w:val="en-US" w:eastAsia="zh-CN"/>
        </w:rPr>
        <w:t>2021年支队整体搬迁两次，并且更换了新的制服，办公费用和其他商品服务支出增多</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社会保障和就业支出（类）行政事业单位养老支出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款</w:t>
      </w:r>
      <w:r>
        <w:rPr>
          <w:rFonts w:hint="eastAsia" w:ascii="仿宋" w:hAnsi="仿宋" w:eastAsia="仿宋" w:cs="仿宋"/>
          <w:color w:val="auto"/>
          <w:sz w:val="32"/>
          <w:szCs w:val="32"/>
          <w:lang w:eastAsia="zh-CN"/>
        </w:rPr>
        <w:t>）事业单位离退休（</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0.13</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0.13</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%，决算数</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年初预算数</w:t>
      </w:r>
      <w:r>
        <w:rPr>
          <w:rFonts w:hint="eastAsia" w:ascii="仿宋" w:hAnsi="仿宋" w:eastAsia="仿宋" w:cs="仿宋"/>
          <w:color w:val="auto"/>
          <w:sz w:val="32"/>
          <w:szCs w:val="32"/>
          <w:lang w:val="en-US" w:eastAsia="zh-CN"/>
        </w:rPr>
        <w:t>持平</w:t>
      </w:r>
      <w:r>
        <w:rPr>
          <w:rFonts w:hint="eastAsia" w:ascii="仿宋" w:hAnsi="仿宋" w:eastAsia="仿宋" w:cs="仿宋"/>
          <w:color w:val="auto"/>
          <w:sz w:val="32"/>
          <w:szCs w:val="32"/>
        </w:rPr>
        <w:t>的主要原因是：</w:t>
      </w:r>
      <w:r>
        <w:rPr>
          <w:rFonts w:hint="eastAsia" w:ascii="仿宋" w:hAnsi="仿宋" w:eastAsia="仿宋" w:cs="仿宋"/>
          <w:color w:val="auto"/>
          <w:sz w:val="32"/>
          <w:szCs w:val="32"/>
          <w:lang w:val="en-US" w:eastAsia="zh-CN"/>
        </w:rPr>
        <w:t>按预算执行。</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社会保障和就业支出（类）行政事业单位养老支出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款</w:t>
      </w:r>
      <w:r>
        <w:rPr>
          <w:rFonts w:hint="eastAsia" w:ascii="仿宋" w:hAnsi="仿宋" w:eastAsia="仿宋" w:cs="仿宋"/>
          <w:color w:val="auto"/>
          <w:sz w:val="32"/>
          <w:szCs w:val="32"/>
          <w:lang w:eastAsia="zh-CN"/>
        </w:rPr>
        <w:t>）机关事业单位基本养老保险缴费支出（</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14.44</w:t>
      </w:r>
      <w:r>
        <w:rPr>
          <w:rFonts w:hint="eastAsia" w:ascii="仿宋" w:hAnsi="仿宋" w:eastAsia="仿宋" w:cs="仿宋"/>
          <w:color w:val="auto"/>
          <w:sz w:val="32"/>
          <w:szCs w:val="32"/>
        </w:rPr>
        <w:t>万元，决算数大于年初预算数的主要原因是：</w:t>
      </w:r>
      <w:r>
        <w:rPr>
          <w:rFonts w:ascii="仿宋" w:hAnsi="仿宋" w:eastAsia="仿宋"/>
          <w:sz w:val="32"/>
          <w:szCs w:val="32"/>
          <w:highlight w:val="none"/>
        </w:rPr>
        <w:t>年初没有预算，2021年追加预算。</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社会保障和就业支出（类）就业补助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款</w:t>
      </w:r>
      <w:r>
        <w:rPr>
          <w:rFonts w:hint="eastAsia" w:ascii="仿宋" w:hAnsi="仿宋" w:eastAsia="仿宋" w:cs="仿宋"/>
          <w:color w:val="auto"/>
          <w:sz w:val="32"/>
          <w:szCs w:val="32"/>
          <w:lang w:eastAsia="zh-CN"/>
        </w:rPr>
        <w:t>）公益性岗位补贴（</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2.57</w:t>
      </w:r>
      <w:r>
        <w:rPr>
          <w:rFonts w:hint="eastAsia" w:ascii="仿宋" w:hAnsi="仿宋" w:eastAsia="仿宋" w:cs="仿宋"/>
          <w:color w:val="auto"/>
          <w:sz w:val="32"/>
          <w:szCs w:val="32"/>
        </w:rPr>
        <w:t>万元，决算数大于年初预算数的主要原因是：</w:t>
      </w:r>
      <w:r>
        <w:rPr>
          <w:rFonts w:ascii="仿宋" w:hAnsi="仿宋" w:eastAsia="仿宋"/>
          <w:sz w:val="32"/>
          <w:szCs w:val="32"/>
          <w:highlight w:val="none"/>
        </w:rPr>
        <w:t>年初没有预算，2021年追加预算。</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卫生健康支出（类）行政事业单位医疗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款</w:t>
      </w:r>
      <w:r>
        <w:rPr>
          <w:rFonts w:hint="eastAsia" w:ascii="仿宋" w:hAnsi="仿宋" w:eastAsia="仿宋" w:cs="仿宋"/>
          <w:color w:val="auto"/>
          <w:sz w:val="32"/>
          <w:szCs w:val="32"/>
          <w:lang w:eastAsia="zh-CN"/>
        </w:rPr>
        <w:t>）行政单位医疗（</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6.38</w:t>
      </w:r>
      <w:r>
        <w:rPr>
          <w:rFonts w:hint="eastAsia" w:ascii="仿宋" w:hAnsi="仿宋" w:eastAsia="仿宋" w:cs="仿宋"/>
          <w:color w:val="auto"/>
          <w:sz w:val="32"/>
          <w:szCs w:val="32"/>
        </w:rPr>
        <w:t>万元，决算数大于年初预算数的主要原因是：</w:t>
      </w:r>
      <w:r>
        <w:rPr>
          <w:rFonts w:ascii="仿宋" w:hAnsi="仿宋" w:eastAsia="仿宋"/>
          <w:sz w:val="32"/>
          <w:szCs w:val="32"/>
          <w:highlight w:val="none"/>
        </w:rPr>
        <w:t>年初没有预算，2021年追加预算。</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六、一般公共预算财政拨款基本支出决算情况说明</w:t>
      </w:r>
    </w:p>
    <w:p>
      <w:pPr>
        <w:pStyle w:val="10"/>
        <w:ind w:firstLine="640" w:firstLineChars="200"/>
        <w:rPr>
          <w:rFonts w:hint="eastAsia" w:ascii="仿宋" w:hAnsi="仿宋" w:eastAsia="仿宋" w:cs="仿宋"/>
          <w:i/>
          <w:color w:val="auto"/>
          <w:sz w:val="32"/>
          <w:szCs w:val="32"/>
        </w:rPr>
      </w:pPr>
      <w:r>
        <w:rPr>
          <w:rFonts w:hint="eastAsia" w:ascii="仿宋" w:hAnsi="仿宋" w:eastAsia="仿宋" w:cs="仿宋"/>
          <w:color w:val="auto"/>
          <w:sz w:val="32"/>
          <w:szCs w:val="32"/>
        </w:rPr>
        <w:t>2021年度财政拨款基本支出</w:t>
      </w:r>
      <w:r>
        <w:rPr>
          <w:rFonts w:hint="eastAsia" w:ascii="仿宋" w:hAnsi="仿宋" w:eastAsia="仿宋" w:cs="仿宋"/>
          <w:color w:val="auto"/>
          <w:sz w:val="32"/>
          <w:szCs w:val="32"/>
          <w:lang w:val="en-US" w:eastAsia="zh-CN"/>
        </w:rPr>
        <w:t>251.81</w:t>
      </w:r>
      <w:r>
        <w:rPr>
          <w:rFonts w:hint="eastAsia" w:ascii="仿宋" w:hAnsi="仿宋" w:eastAsia="仿宋" w:cs="仿宋"/>
          <w:color w:val="auto"/>
          <w:sz w:val="32"/>
          <w:szCs w:val="32"/>
        </w:rPr>
        <w:t>万元，其中：人员经费</w:t>
      </w:r>
      <w:r>
        <w:rPr>
          <w:rFonts w:hint="eastAsia" w:ascii="仿宋" w:hAnsi="仿宋" w:eastAsia="仿宋" w:cs="仿宋"/>
          <w:color w:val="auto"/>
          <w:sz w:val="32"/>
          <w:szCs w:val="32"/>
          <w:lang w:val="en-US" w:eastAsia="zh-CN"/>
        </w:rPr>
        <w:t>161.39</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64.09</w:t>
      </w:r>
      <w:r>
        <w:rPr>
          <w:rFonts w:hint="eastAsia" w:ascii="仿宋" w:hAnsi="仿宋" w:eastAsia="仿宋" w:cs="仿宋"/>
          <w:color w:val="auto"/>
          <w:sz w:val="32"/>
          <w:szCs w:val="32"/>
        </w:rPr>
        <w:t>%,主要包括基本工资、津贴补贴、奖金；公用经费</w:t>
      </w:r>
      <w:r>
        <w:rPr>
          <w:rFonts w:hint="eastAsia" w:ascii="仿宋" w:hAnsi="仿宋" w:eastAsia="仿宋" w:cs="仿宋"/>
          <w:color w:val="auto"/>
          <w:sz w:val="32"/>
          <w:szCs w:val="32"/>
          <w:lang w:val="en-US" w:eastAsia="zh-CN"/>
        </w:rPr>
        <w:t>90.41</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35.91</w:t>
      </w:r>
      <w:r>
        <w:rPr>
          <w:rFonts w:hint="eastAsia" w:ascii="仿宋" w:hAnsi="仿宋" w:eastAsia="仿宋" w:cs="仿宋"/>
          <w:color w:val="auto"/>
          <w:sz w:val="32"/>
          <w:szCs w:val="32"/>
        </w:rPr>
        <w:t>%，主要包括办公费、印刷费</w:t>
      </w:r>
      <w:r>
        <w:rPr>
          <w:rFonts w:hint="eastAsia" w:ascii="仿宋" w:hAnsi="仿宋" w:eastAsia="仿宋" w:cs="仿宋"/>
          <w:color w:val="auto"/>
          <w:sz w:val="32"/>
          <w:szCs w:val="32"/>
          <w:lang w:eastAsia="zh-CN"/>
        </w:rPr>
        <w:t>、差旅费、其他商品和服务支出</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七、一般公共预算财政拨款“三公”经费支出决算情况说明</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（一）“三公”经费财政拨款支出决算总体情况说明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2021年度“三公”经费财政拨款支出预算为</w:t>
      </w:r>
      <w:r>
        <w:rPr>
          <w:rFonts w:hint="eastAsia" w:ascii="仿宋" w:hAnsi="仿宋" w:eastAsia="仿宋" w:cs="仿宋"/>
          <w:color w:val="auto"/>
          <w:sz w:val="32"/>
          <w:szCs w:val="32"/>
          <w:lang w:val="en-US" w:eastAsia="zh-CN"/>
        </w:rPr>
        <w:t>2.68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0.84</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31.34</w:t>
      </w:r>
      <w:r>
        <w:rPr>
          <w:rFonts w:hint="eastAsia" w:ascii="仿宋" w:hAnsi="仿宋" w:eastAsia="仿宋" w:cs="仿宋"/>
          <w:color w:val="auto"/>
          <w:sz w:val="32"/>
          <w:szCs w:val="32"/>
        </w:rPr>
        <w:t>%，其中：</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因公出国（境）费支出预算为0万元，支出决算为0万元，决算数与年初预算数持平，主要原因按预算执行，与上年数持平，主要原因本年度未安排因公出国（境）。</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公务接待费支出预算为</w:t>
      </w:r>
      <w:r>
        <w:rPr>
          <w:rFonts w:hint="eastAsia" w:ascii="仿宋" w:hAnsi="仿宋" w:eastAsia="仿宋" w:cs="仿宋"/>
          <w:color w:val="auto"/>
          <w:sz w:val="32"/>
          <w:szCs w:val="32"/>
          <w:lang w:val="en-US" w:eastAsia="zh-CN"/>
        </w:rPr>
        <w:t>2.68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0.84</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31.34</w:t>
      </w:r>
      <w:r>
        <w:rPr>
          <w:rFonts w:hint="eastAsia" w:ascii="仿宋" w:hAnsi="仿宋" w:eastAsia="仿宋" w:cs="仿宋"/>
          <w:color w:val="auto"/>
          <w:sz w:val="32"/>
          <w:szCs w:val="32"/>
        </w:rPr>
        <w:t>%，决算数小于预算数的主要原因是</w:t>
      </w:r>
      <w:r>
        <w:rPr>
          <w:rFonts w:hint="eastAsia" w:ascii="仿宋" w:hAnsi="仿宋" w:eastAsia="仿宋" w:cs="仿宋"/>
          <w:color w:val="auto"/>
          <w:sz w:val="32"/>
          <w:szCs w:val="32"/>
          <w:lang w:eastAsia="zh-CN"/>
        </w:rPr>
        <w:t>削减不必要的支出</w:t>
      </w:r>
      <w:r>
        <w:rPr>
          <w:rFonts w:hint="eastAsia" w:ascii="仿宋" w:hAnsi="仿宋" w:eastAsia="仿宋" w:cs="仿宋"/>
          <w:color w:val="auto"/>
          <w:sz w:val="32"/>
          <w:szCs w:val="32"/>
        </w:rPr>
        <w:t>，与上年相比减少</w:t>
      </w:r>
      <w:r>
        <w:rPr>
          <w:rFonts w:hint="eastAsia" w:ascii="仿宋" w:hAnsi="仿宋" w:eastAsia="仿宋" w:cs="仿宋"/>
          <w:color w:val="auto"/>
          <w:sz w:val="32"/>
          <w:szCs w:val="32"/>
          <w:lang w:val="en-US" w:eastAsia="zh-CN"/>
        </w:rPr>
        <w:t>0.12</w:t>
      </w:r>
      <w:r>
        <w:rPr>
          <w:rFonts w:hint="eastAsia" w:ascii="仿宋" w:hAnsi="仿宋" w:eastAsia="仿宋" w:cs="仿宋"/>
          <w:color w:val="auto"/>
          <w:sz w:val="32"/>
          <w:szCs w:val="32"/>
        </w:rPr>
        <w:t>万元，减少</w:t>
      </w:r>
      <w:r>
        <w:rPr>
          <w:rFonts w:hint="eastAsia" w:ascii="仿宋" w:hAnsi="仿宋" w:eastAsia="仿宋" w:cs="仿宋"/>
          <w:color w:val="auto"/>
          <w:sz w:val="32"/>
          <w:szCs w:val="32"/>
          <w:lang w:val="en-US" w:eastAsia="zh-CN"/>
        </w:rPr>
        <w:t>12.5</w:t>
      </w:r>
      <w:r>
        <w:rPr>
          <w:rFonts w:hint="eastAsia" w:ascii="仿宋" w:hAnsi="仿宋" w:eastAsia="仿宋" w:cs="仿宋"/>
          <w:color w:val="auto"/>
          <w:sz w:val="32"/>
          <w:szCs w:val="32"/>
        </w:rPr>
        <w:t>%,减少的主要原因是</w:t>
      </w:r>
      <w:r>
        <w:rPr>
          <w:rFonts w:hint="eastAsia" w:ascii="仿宋" w:hAnsi="仿宋" w:eastAsia="仿宋" w:cs="仿宋"/>
          <w:color w:val="auto"/>
          <w:sz w:val="32"/>
          <w:szCs w:val="32"/>
          <w:lang w:eastAsia="zh-CN"/>
        </w:rPr>
        <w:t>削减不必要的支出</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公务用车购置费及运行维护费支出预算为0万元，支出决算为0万元，决算数与年初预算数持平主要原因按预算执行，与上年数持平，主要原因是厉行节约，减少开支。</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（二）“三公”经费财政拨款支出决算具体情况说明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2021年度“三公”经费财政拨款支出决算中，公务接待费支出决算</w:t>
      </w:r>
      <w:r>
        <w:rPr>
          <w:rFonts w:hint="eastAsia" w:ascii="仿宋" w:hAnsi="仿宋" w:eastAsia="仿宋" w:cs="仿宋"/>
          <w:color w:val="auto"/>
          <w:sz w:val="32"/>
          <w:szCs w:val="32"/>
          <w:lang w:val="en-US" w:eastAsia="zh-CN"/>
        </w:rPr>
        <w:t>0.84</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因公出国（境）费支出决算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占0%，</w:t>
      </w:r>
      <w:r>
        <w:rPr>
          <w:rFonts w:hint="eastAsia" w:ascii="仿宋" w:hAnsi="仿宋" w:eastAsia="仿宋" w:cs="仿宋"/>
          <w:color w:val="auto"/>
          <w:sz w:val="32"/>
          <w:szCs w:val="32"/>
        </w:rPr>
        <w:t>公务用车购置费及运行维护费支出决算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占0%</w:t>
      </w:r>
      <w:r>
        <w:rPr>
          <w:rFonts w:hint="eastAsia" w:ascii="仿宋" w:hAnsi="仿宋" w:eastAsia="仿宋" w:cs="仿宋"/>
          <w:color w:val="auto"/>
          <w:sz w:val="32"/>
          <w:szCs w:val="32"/>
        </w:rPr>
        <w:t>。其中：</w:t>
      </w:r>
    </w:p>
    <w:p>
      <w:pPr>
        <w:pStyle w:val="10"/>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公务接待费支出决算为</w:t>
      </w:r>
      <w:r>
        <w:rPr>
          <w:rFonts w:hint="eastAsia" w:ascii="仿宋" w:hAnsi="仿宋" w:eastAsia="仿宋" w:cs="仿宋"/>
          <w:color w:val="auto"/>
          <w:sz w:val="32"/>
          <w:szCs w:val="32"/>
          <w:lang w:val="en-US" w:eastAsia="zh-CN"/>
        </w:rPr>
        <w:t>0.84</w:t>
      </w:r>
      <w:r>
        <w:rPr>
          <w:rFonts w:hint="eastAsia" w:ascii="仿宋" w:hAnsi="仿宋" w:eastAsia="仿宋" w:cs="仿宋"/>
          <w:color w:val="auto"/>
          <w:sz w:val="32"/>
          <w:szCs w:val="32"/>
        </w:rPr>
        <w:t>万元，全年共接待来访团组</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个、来宾</w:t>
      </w:r>
      <w:r>
        <w:rPr>
          <w:rFonts w:hint="eastAsia" w:ascii="仿宋" w:hAnsi="仿宋" w:eastAsia="仿宋" w:cs="仿宋"/>
          <w:color w:val="auto"/>
          <w:sz w:val="32"/>
          <w:szCs w:val="32"/>
          <w:lang w:val="en-US" w:eastAsia="zh-CN"/>
        </w:rPr>
        <w:t>46</w:t>
      </w:r>
      <w:r>
        <w:rPr>
          <w:rFonts w:hint="eastAsia" w:ascii="仿宋" w:hAnsi="仿宋" w:eastAsia="仿宋" w:cs="仿宋"/>
          <w:color w:val="auto"/>
          <w:sz w:val="32"/>
          <w:szCs w:val="32"/>
        </w:rPr>
        <w:t>人次，主要是</w:t>
      </w:r>
      <w:r>
        <w:rPr>
          <w:rFonts w:hint="eastAsia" w:ascii="仿宋" w:hAnsi="仿宋" w:eastAsia="仿宋" w:cs="仿宋"/>
          <w:color w:val="auto"/>
          <w:sz w:val="32"/>
          <w:szCs w:val="32"/>
          <w:lang w:eastAsia="zh-CN"/>
        </w:rPr>
        <w:t>迎接省政府督导组关于农民工工资支付工作实地核查</w:t>
      </w:r>
      <w:r>
        <w:rPr>
          <w:rFonts w:hint="eastAsia" w:ascii="仿宋" w:hAnsi="仿宋" w:eastAsia="仿宋" w:cs="仿宋"/>
          <w:color w:val="auto"/>
          <w:sz w:val="32"/>
          <w:szCs w:val="32"/>
        </w:rPr>
        <w:t>发生的接待支出。</w:t>
      </w:r>
    </w:p>
    <w:p>
      <w:pPr>
        <w:pStyle w:val="10"/>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因公出国（境）费支出决算为0万元，全年安排因公出国（境）团组0个，累计0人次。</w:t>
      </w:r>
    </w:p>
    <w:p>
      <w:pPr>
        <w:pStyle w:val="10"/>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公务用车购置费及运行维护费支出决算为0万元，其中：公务用车购置费0万元，更新公务用车0辆。公务用车运行维护费0万元，截止2021年12月31日，我单位开支财政拨款的公务用车保有量为0辆。</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八、政府性基金预算收入支出决算情况</w:t>
      </w:r>
    </w:p>
    <w:p>
      <w:pPr>
        <w:pStyle w:val="10"/>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本单位无政府性基金预算收入支出。</w:t>
      </w:r>
    </w:p>
    <w:p>
      <w:pPr>
        <w:pStyle w:val="10"/>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color w:val="auto"/>
          <w:sz w:val="32"/>
          <w:szCs w:val="32"/>
        </w:rPr>
        <w:t>九、</w:t>
      </w:r>
      <w:r>
        <w:rPr>
          <w:rFonts w:hint="eastAsia" w:ascii="仿宋" w:hAnsi="仿宋" w:eastAsia="仿宋" w:cs="仿宋"/>
          <w:b/>
          <w:color w:val="auto"/>
          <w:sz w:val="32"/>
          <w:szCs w:val="32"/>
          <w:lang w:val="en-US" w:eastAsia="zh-CN"/>
        </w:rPr>
        <w:t>国有资本经营预算财政拨款支出</w:t>
      </w:r>
      <w:r>
        <w:rPr>
          <w:rFonts w:hint="eastAsia" w:ascii="仿宋" w:hAnsi="仿宋" w:eastAsia="仿宋" w:cs="仿宋"/>
          <w:b/>
          <w:color w:val="auto"/>
          <w:sz w:val="32"/>
          <w:szCs w:val="32"/>
        </w:rPr>
        <w:t>决算情况</w:t>
      </w:r>
      <w:r>
        <w:rPr>
          <w:rFonts w:hint="eastAsia" w:ascii="仿宋" w:hAnsi="仿宋" w:eastAsia="仿宋" w:cs="仿宋"/>
          <w:b/>
          <w:color w:val="auto"/>
          <w:sz w:val="32"/>
          <w:szCs w:val="32"/>
          <w:lang w:val="en-US" w:eastAsia="zh-CN"/>
        </w:rPr>
        <w:t>说明</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本单位无国有资本经营预算财政拨款支出。</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十、关于</w:t>
      </w:r>
      <w:r>
        <w:rPr>
          <w:rFonts w:hint="eastAsia" w:ascii="仿宋" w:hAnsi="仿宋" w:eastAsia="仿宋" w:cs="仿宋"/>
          <w:b/>
          <w:color w:val="auto"/>
          <w:sz w:val="32"/>
          <w:szCs w:val="32"/>
        </w:rPr>
        <w:t>机关运行经费支出说明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本部门2021年度机关运行经费支出</w:t>
      </w:r>
      <w:r>
        <w:rPr>
          <w:rFonts w:hint="eastAsia" w:ascii="仿宋" w:hAnsi="仿宋" w:eastAsia="仿宋" w:cs="仿宋"/>
          <w:color w:val="auto"/>
          <w:sz w:val="32"/>
          <w:szCs w:val="32"/>
          <w:lang w:val="en-US" w:eastAsia="zh-CN"/>
        </w:rPr>
        <w:t>156.41</w:t>
      </w:r>
      <w:r>
        <w:rPr>
          <w:rFonts w:hint="eastAsia" w:ascii="仿宋" w:hAnsi="仿宋" w:eastAsia="仿宋" w:cs="仿宋"/>
          <w:color w:val="auto"/>
          <w:sz w:val="32"/>
          <w:szCs w:val="32"/>
        </w:rPr>
        <w:t>万元，比年上年决算数增加</w:t>
      </w:r>
      <w:r>
        <w:rPr>
          <w:rFonts w:hint="eastAsia" w:ascii="仿宋" w:hAnsi="仿宋" w:eastAsia="仿宋" w:cs="仿宋"/>
          <w:color w:val="auto"/>
          <w:sz w:val="32"/>
          <w:szCs w:val="32"/>
          <w:lang w:val="en-US" w:eastAsia="zh-CN"/>
        </w:rPr>
        <w:t>63.07</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67.57</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2021年支队整体搬迁两次，并且更换了新的制服，办公费用和其他商品服务支出增多</w:t>
      </w:r>
      <w:r>
        <w:rPr>
          <w:rFonts w:hint="eastAsia" w:ascii="仿宋" w:hAnsi="仿宋" w:eastAsia="仿宋" w:cs="仿宋"/>
          <w:color w:val="auto"/>
          <w:sz w:val="32"/>
          <w:szCs w:val="32"/>
        </w:rPr>
        <w:t>。</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十</w:t>
      </w:r>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rPr>
        <w:t>、一般性支出情况说明</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2021年本部门开支会议费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培训费0万元；未举办节庆、晚会、论坛、赛事等活动。</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、政府采购支出说明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十三、</w:t>
      </w:r>
      <w:r>
        <w:rPr>
          <w:rFonts w:hint="eastAsia" w:ascii="仿宋" w:hAnsi="仿宋" w:eastAsia="仿宋" w:cs="仿宋"/>
          <w:b/>
          <w:color w:val="auto"/>
          <w:sz w:val="32"/>
          <w:szCs w:val="32"/>
          <w:lang w:eastAsia="zh-CN"/>
        </w:rPr>
        <w:t>关于</w:t>
      </w:r>
      <w:r>
        <w:rPr>
          <w:rFonts w:hint="eastAsia" w:ascii="仿宋" w:hAnsi="仿宋" w:eastAsia="仿宋" w:cs="仿宋"/>
          <w:b/>
          <w:color w:val="auto"/>
          <w:sz w:val="32"/>
          <w:szCs w:val="32"/>
        </w:rPr>
        <w:t>国有资产占用情况说明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截至2021年12月31日，</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十</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、2021年度预算绩效情况说明</w:t>
      </w:r>
    </w:p>
    <w:p>
      <w:pPr>
        <w:autoSpaceDE w:val="0"/>
        <w:autoSpaceDN w:val="0"/>
        <w:adjustRightInd w:val="0"/>
        <w:ind w:firstLine="640" w:firstLineChars="200"/>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1、项目绩效总目标和阶段性目标</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(1)年度总目标：围绕“服务提升年”活动加强队伍建设、素质与服务水平提高。畅通举报投诉渠道。快速有效处置举报投诉案件，维护劳动者合法权益，维护社会稳定。</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阶段性目标：保障农民工工资支付工作各项制度逐步落地，农民工工资欠薪预警平台全面启动，全面完成了全年国务院、省、市农民工工资支付考核工作，根治欠薪工作取得初步成效，有力保障了我市劳动关系的和谐稳定</w:t>
      </w:r>
    </w:p>
    <w:p>
      <w:pPr>
        <w:autoSpaceDE w:val="0"/>
        <w:autoSpaceDN w:val="0"/>
        <w:adjustRightInd w:val="0"/>
        <w:ind w:firstLine="640" w:firstLineChars="200"/>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2、预期主要的生态、社会和经济效益</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突出工程建设领域这一重点，全面落实分账制、实名制管理、工资专户、总包代发和工资保证金等几项关键制度，全面压实政府属地责任，部门监督责任和企业主体责任，源头上解决好农民工工资“由谁发”、“怎么发”、“发给谁”的问题。继续坚持求真务实的工作态度，发扬抓铁有痕的优良作风，对所有在建工程项目的台账资料进行“回头看”，全面查漏补缺。尤其是要针对今年在国务院、省政府农民工工资支付考核中发现的问题以及每月调度市直行业主管部门、县市区在建工程项目根治拖欠农民工工资情况发现的问题，要彻底整改到位，确保所有在建工程项目按月足额支付工资，努力实现农民工工资基本无拖欠的目标任务。</w:t>
      </w:r>
    </w:p>
    <w:p>
      <w:pPr>
        <w:autoSpaceDE w:val="0"/>
        <w:autoSpaceDN w:val="0"/>
        <w:adjustRightInd w:val="0"/>
        <w:ind w:firstLine="640" w:firstLineChars="200"/>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、绩效评价工作情况</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根据市财政局文件要求，我队组织各科室负责人学习绩效评价相关内容，认真总结项目工作的开展情况，组织绩效评价工作过程如下：</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前期准备：根据“怀财绩【2021】60号”文件要求，由财务室牵头成立自评工作小组，分管领导任组长，制定绩效自评工作方案。</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组织实施：结合2021年的财务报表，实事求是地填写《财政专项资金绩效评价共性指标表》，逐项对照指标，进行自评打分，认真撰写专项资金绩效评价报告，同时收集相关佐证资料，确保自评工作真实客观、有据可依。</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分析评价：我队根据市财政下达的项目，按部门职责、分工明确，严格执行支出审核、财务核算等制度，确保资金支出合理、合法、合规，专款专用，资金使用效益良好。</w:t>
      </w:r>
    </w:p>
    <w:p>
      <w:pPr>
        <w:autoSpaceDE w:val="0"/>
        <w:autoSpaceDN w:val="0"/>
        <w:adjustRightInd w:val="0"/>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）本单位无项目</w:t>
      </w:r>
      <w:r>
        <w:rPr>
          <w:rFonts w:hint="eastAsia" w:ascii="仿宋" w:hAnsi="仿宋" w:eastAsia="仿宋" w:cs="仿宋"/>
          <w:color w:val="auto"/>
          <w:kern w:val="0"/>
          <w:sz w:val="32"/>
          <w:szCs w:val="32"/>
          <w:lang w:val="en-US" w:eastAsia="zh-CN"/>
        </w:rPr>
        <w:t>支出</w:t>
      </w:r>
      <w:bookmarkStart w:id="0" w:name="_GoBack"/>
      <w:bookmarkEnd w:id="0"/>
      <w:r>
        <w:rPr>
          <w:rFonts w:hint="eastAsia" w:ascii="仿宋" w:hAnsi="仿宋" w:eastAsia="仿宋" w:cs="仿宋"/>
          <w:color w:val="auto"/>
          <w:kern w:val="0"/>
          <w:sz w:val="32"/>
          <w:szCs w:val="32"/>
          <w:lang w:eastAsia="zh-CN"/>
        </w:rPr>
        <w:t>，因此无重点项目绩效报告。</w:t>
      </w:r>
    </w:p>
    <w:p>
      <w:pPr>
        <w:autoSpaceDE w:val="0"/>
        <w:autoSpaceDN w:val="0"/>
        <w:adjustRightInd w:val="0"/>
        <w:jc w:val="left"/>
        <w:rPr>
          <w:rFonts w:hint="eastAsia" w:ascii="仿宋" w:hAnsi="仿宋" w:eastAsia="仿宋" w:cs="仿宋"/>
          <w:color w:val="auto"/>
          <w:kern w:val="0"/>
          <w:sz w:val="32"/>
          <w:szCs w:val="32"/>
        </w:rPr>
      </w:pPr>
    </w:p>
    <w:p>
      <w:pPr>
        <w:pStyle w:val="10"/>
        <w:ind w:firstLine="640" w:firstLineChars="200"/>
        <w:jc w:val="center"/>
        <w:rPr>
          <w:rFonts w:hint="eastAsia" w:ascii="仿宋" w:hAnsi="仿宋" w:eastAsia="仿宋" w:cs="仿宋"/>
          <w:color w:val="auto"/>
          <w:kern w:val="0"/>
          <w:sz w:val="32"/>
          <w:szCs w:val="32"/>
        </w:rPr>
      </w:pPr>
      <w:r>
        <w:rPr>
          <w:rFonts w:hint="eastAsia" w:ascii="仿宋" w:hAnsi="仿宋" w:eastAsia="仿宋" w:cs="仿宋"/>
          <w:color w:val="auto"/>
          <w:sz w:val="32"/>
          <w:szCs w:val="32"/>
        </w:rPr>
        <w:t>第四部分</w:t>
      </w:r>
      <w:r>
        <w:rPr>
          <w:rFonts w:hint="eastAsia" w:ascii="仿宋" w:hAnsi="仿宋" w:eastAsia="仿宋" w:cs="仿宋"/>
          <w:color w:val="auto"/>
          <w:kern w:val="0"/>
          <w:sz w:val="32"/>
          <w:szCs w:val="32"/>
        </w:rPr>
        <w:t>名词解释</w:t>
      </w:r>
    </w:p>
    <w:p>
      <w:pPr>
        <w:widowControl/>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机关运行经费：为保障行政单位（包括参照公务员法管理的事业单位）运行，用一般公共预算拨款安排，用于购买货物和服务的各项资金，包括办公费、印刷费、邮电费、差旅费、会议费、福利费、日常维修费、办公用房水电费、办公用房取暖费、办公用房物业管理费、公务用车运行维护费、车补以及其他费用，即为行政单位和参照公务员法管理事业单位一般公共预算财政拨款基本支出中的公用经费支出。</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rFonts w:hint="eastAsia" w:ascii="仿宋" w:hAnsi="仿宋" w:eastAsia="仿宋" w:cs="仿宋"/>
          <w:color w:val="auto"/>
          <w:sz w:val="32"/>
          <w:szCs w:val="32"/>
        </w:rPr>
      </w:pPr>
    </w:p>
    <w:p>
      <w:pPr>
        <w:pStyle w:val="10"/>
        <w:ind w:firstLine="640" w:firstLineChars="200"/>
        <w:jc w:val="center"/>
        <w:rPr>
          <w:rFonts w:hint="eastAsia" w:ascii="仿宋" w:hAnsi="仿宋" w:eastAsia="仿宋" w:cs="仿宋"/>
          <w:color w:val="auto"/>
          <w:kern w:val="0"/>
          <w:sz w:val="32"/>
          <w:szCs w:val="32"/>
        </w:rPr>
      </w:pPr>
      <w:r>
        <w:rPr>
          <w:rFonts w:hint="eastAsia" w:ascii="仿宋" w:hAnsi="仿宋" w:eastAsia="仿宋" w:cs="仿宋"/>
          <w:color w:val="auto"/>
          <w:sz w:val="32"/>
          <w:szCs w:val="32"/>
        </w:rPr>
        <w:t>第五部分</w:t>
      </w:r>
      <w:r>
        <w:rPr>
          <w:rFonts w:hint="eastAsia" w:ascii="仿宋" w:hAnsi="仿宋" w:eastAsia="仿宋" w:cs="仿宋"/>
          <w:color w:val="auto"/>
          <w:kern w:val="0"/>
          <w:sz w:val="32"/>
          <w:szCs w:val="32"/>
        </w:rPr>
        <w:t>附件</w:t>
      </w:r>
    </w:p>
    <w:p>
      <w:pPr>
        <w:widowControl/>
        <w:ind w:firstLine="632" w:firstLineChars="200"/>
        <w:jc w:val="left"/>
        <w:rPr>
          <w:rFonts w:hint="eastAsia" w:ascii="仿宋" w:hAnsi="仿宋" w:eastAsia="仿宋" w:cs="仿宋"/>
          <w:color w:val="auto"/>
          <w:spacing w:val="-2"/>
          <w:sz w:val="32"/>
          <w:szCs w:val="32"/>
          <w:lang w:eastAsia="zh-CN"/>
        </w:rPr>
      </w:pPr>
    </w:p>
    <w:p>
      <w:pPr>
        <w:ind w:firstLine="640" w:firstLineChars="200"/>
        <w:jc w:val="left"/>
        <w:rPr>
          <w:rFonts w:hint="eastAsia" w:ascii="仿宋" w:hAnsi="仿宋" w:eastAsia="仿宋" w:cs="仿宋"/>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0EC4F979-2BA7-4BC7-919B-B0D339827E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7A77F"/>
    <w:multiLevelType w:val="singleLevel"/>
    <w:tmpl w:val="8F47A7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813B1E"/>
    <w:rsid w:val="0D8D654B"/>
    <w:rsid w:val="169F1079"/>
    <w:rsid w:val="1A776DCD"/>
    <w:rsid w:val="1E3D2EAE"/>
    <w:rsid w:val="22FB1D2D"/>
    <w:rsid w:val="269F18FD"/>
    <w:rsid w:val="3806595F"/>
    <w:rsid w:val="386E134F"/>
    <w:rsid w:val="39EA500E"/>
    <w:rsid w:val="3BC91D58"/>
    <w:rsid w:val="43297489"/>
    <w:rsid w:val="450E7C30"/>
    <w:rsid w:val="4E434405"/>
    <w:rsid w:val="4EB40E5E"/>
    <w:rsid w:val="51B17709"/>
    <w:rsid w:val="51F764B7"/>
    <w:rsid w:val="55C4407D"/>
    <w:rsid w:val="5FF7504F"/>
    <w:rsid w:val="69DB32EB"/>
    <w:rsid w:val="6B631FB1"/>
    <w:rsid w:val="6C97174C"/>
    <w:rsid w:val="6CD84400"/>
    <w:rsid w:val="6F235519"/>
    <w:rsid w:val="71845F6D"/>
    <w:rsid w:val="746747FF"/>
    <w:rsid w:val="7710676F"/>
    <w:rsid w:val="7818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styleId="13">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3246</Words>
  <Characters>3525</Characters>
  <Lines>69</Lines>
  <Paragraphs>19</Paragraphs>
  <TotalTime>5</TotalTime>
  <ScaleCrop>false</ScaleCrop>
  <LinksUpToDate>false</LinksUpToDate>
  <CharactersWithSpaces>3541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2023-10-01T08:00:07Z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7885C587BAD74F7A8747A1A0FE2837C5</vt:lpwstr>
  </property>
</Properties>
</file>