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25" w:beforeLines="200"/>
        <w:jc w:val="center"/>
        <w:textAlignment w:val="auto"/>
        <w:rPr>
          <w:rFonts w:ascii="Times New Roman" w:hAnsi="Times New Roman" w:eastAsia="方正小标宋_GBK" w:cs="Times New Roman"/>
          <w:kern w:val="0"/>
          <w:sz w:val="36"/>
          <w:szCs w:val="36"/>
        </w:rPr>
      </w:pPr>
    </w:p>
    <w:p>
      <w:pPr>
        <w:keepNext w:val="0"/>
        <w:keepLines w:val="0"/>
        <w:pageBreakBefore w:val="0"/>
        <w:widowControl/>
        <w:kinsoku/>
        <w:wordWrap/>
        <w:overflowPunct/>
        <w:topLinePunct w:val="0"/>
        <w:autoSpaceDE/>
        <w:autoSpaceDN/>
        <w:bidi w:val="0"/>
        <w:adjustRightInd/>
        <w:snapToGrid/>
        <w:spacing w:before="625" w:beforeLines="200"/>
        <w:jc w:val="center"/>
        <w:textAlignment w:val="auto"/>
        <w:rPr>
          <w:rFonts w:ascii="Times New Roman" w:hAnsi="Times New Roman" w:eastAsia="方正小标宋_GBK" w:cs="Times New Roman"/>
          <w:kern w:val="0"/>
          <w:sz w:val="36"/>
          <w:szCs w:val="36"/>
        </w:rPr>
      </w:pPr>
      <w:bookmarkStart w:id="0" w:name="_GoBack"/>
      <w:r>
        <w:rPr>
          <w:rFonts w:ascii="Times New Roman" w:hAnsi="Times New Roman" w:eastAsia="方正小标宋_GBK" w:cs="Times New Roman"/>
          <w:kern w:val="0"/>
          <w:sz w:val="36"/>
          <w:szCs w:val="36"/>
        </w:rPr>
        <w:t>部门整体支出绩效</w:t>
      </w:r>
      <w:r>
        <w:rPr>
          <w:rFonts w:hint="eastAsia" w:ascii="Times New Roman" w:hAnsi="Times New Roman" w:eastAsia="方正小标宋_GBK" w:cs="Times New Roman"/>
          <w:kern w:val="0"/>
          <w:sz w:val="36"/>
          <w:szCs w:val="36"/>
        </w:rPr>
        <w:t>评价</w:t>
      </w:r>
      <w:r>
        <w:rPr>
          <w:rFonts w:ascii="Times New Roman" w:hAnsi="Times New Roman" w:eastAsia="方正小标宋_GBK" w:cs="Times New Roman"/>
          <w:kern w:val="0"/>
          <w:sz w:val="36"/>
          <w:szCs w:val="36"/>
        </w:rPr>
        <w:t>报告</w:t>
      </w:r>
    </w:p>
    <w:bookmarkEnd w:id="0"/>
    <w:p>
      <w:pPr>
        <w:keepNext w:val="0"/>
        <w:keepLines w:val="0"/>
        <w:pageBreakBefore w:val="0"/>
        <w:widowControl/>
        <w:kinsoku/>
        <w:wordWrap/>
        <w:overflowPunct/>
        <w:topLinePunct w:val="0"/>
        <w:autoSpaceDE/>
        <w:autoSpaceDN/>
        <w:bidi w:val="0"/>
        <w:adjustRightInd/>
        <w:snapToGrid/>
        <w:spacing w:before="625" w:beforeLines="200"/>
        <w:jc w:val="center"/>
        <w:textAlignment w:val="auto"/>
        <w:rPr>
          <w:rFonts w:hint="eastAsia" w:ascii="Times New Roman" w:hAnsi="Times New Roman" w:eastAsia="方正小标宋_GBK" w:cs="Times New Roman"/>
          <w:kern w:val="0"/>
          <w:sz w:val="36"/>
          <w:szCs w:val="36"/>
        </w:rPr>
      </w:pP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一、部门概况</w:t>
      </w:r>
    </w:p>
    <w:p>
      <w:pPr>
        <w:pStyle w:val="3"/>
        <w:shd w:val="clear" w:color="auto" w:fill="FFFFFF"/>
        <w:spacing w:before="0" w:beforeAutospacing="0" w:after="0" w:afterAutospacing="0" w:line="360" w:lineRule="auto"/>
        <w:ind w:firstLine="630"/>
        <w:rPr>
          <w:rFonts w:ascii="Times New Roman" w:hAnsi="Times New Roman" w:cs="Times New Roman"/>
          <w:color w:val="3D3D3D"/>
          <w:sz w:val="21"/>
          <w:szCs w:val="21"/>
        </w:rPr>
      </w:pPr>
      <w:r>
        <w:rPr>
          <w:rFonts w:ascii="仿宋" w:hAnsi="仿宋" w:eastAsia="仿宋"/>
          <w:spacing w:val="-2"/>
          <w:sz w:val="32"/>
          <w:szCs w:val="32"/>
        </w:rPr>
        <w:t>（一）</w:t>
      </w:r>
      <w:r>
        <w:rPr>
          <w:rFonts w:hint="eastAsia" w:ascii="仿宋" w:hAnsi="仿宋" w:eastAsia="仿宋" w:cs="Times New Roman"/>
          <w:b/>
          <w:bCs/>
          <w:color w:val="3D3D3D"/>
          <w:sz w:val="32"/>
          <w:szCs w:val="32"/>
        </w:rPr>
        <w:t>部门职责</w:t>
      </w:r>
    </w:p>
    <w:p>
      <w:pPr>
        <w:pStyle w:val="3"/>
        <w:shd w:val="clear" w:color="auto" w:fill="FFFFFF"/>
        <w:spacing w:before="0" w:beforeAutospacing="0" w:after="0" w:afterAutospacing="0" w:line="360" w:lineRule="auto"/>
        <w:ind w:firstLine="627"/>
        <w:rPr>
          <w:rFonts w:ascii="仿宋" w:hAnsi="仿宋" w:eastAsia="仿宋" w:cs="Times New Roman"/>
          <w:spacing w:val="-2"/>
          <w:kern w:val="2"/>
          <w:sz w:val="32"/>
          <w:szCs w:val="32"/>
        </w:rPr>
      </w:pPr>
      <w:r>
        <w:rPr>
          <w:rFonts w:hint="eastAsia" w:ascii="仿宋" w:hAnsi="仿宋" w:eastAsia="仿宋" w:cs="Times New Roman"/>
          <w:spacing w:val="-2"/>
          <w:kern w:val="2"/>
          <w:sz w:val="32"/>
          <w:szCs w:val="32"/>
        </w:rPr>
        <w:t>为劳动保障提供监察执法保障。宣传劳动保障法律法规和规章，督促用人单位贯彻执行；检查用人单位遵守劳动保障法律和法规的情况；受理对违反劳动保障法律法规或规章行为的举报、投诉；依法纠正和查处违反劳动保障法律、法规或规章的行为。</w:t>
      </w:r>
    </w:p>
    <w:p>
      <w:pPr>
        <w:pStyle w:val="3"/>
        <w:shd w:val="clear" w:color="auto" w:fill="FFFFFF"/>
        <w:spacing w:before="0" w:beforeAutospacing="0" w:after="0" w:afterAutospacing="0" w:line="360" w:lineRule="auto"/>
        <w:ind w:firstLine="630"/>
        <w:rPr>
          <w:rFonts w:ascii="Times New Roman" w:hAnsi="Times New Roman" w:cs="Times New Roman"/>
          <w:color w:val="3D3D3D"/>
          <w:sz w:val="21"/>
          <w:szCs w:val="21"/>
        </w:rPr>
      </w:pPr>
      <w:r>
        <w:rPr>
          <w:rFonts w:hint="eastAsia" w:ascii="仿宋" w:hAnsi="仿宋" w:eastAsia="仿宋" w:cs="Times New Roman"/>
          <w:b/>
          <w:bCs/>
          <w:color w:val="3D3D3D"/>
          <w:sz w:val="32"/>
          <w:szCs w:val="32"/>
        </w:rPr>
        <w:t>（二）机构设置情况</w:t>
      </w:r>
    </w:p>
    <w:p>
      <w:pPr>
        <w:pStyle w:val="3"/>
        <w:shd w:val="clear" w:color="auto" w:fill="FFFFFF"/>
        <w:spacing w:before="0" w:beforeAutospacing="0" w:after="0" w:afterAutospacing="0" w:line="360" w:lineRule="auto"/>
        <w:ind w:firstLine="627"/>
        <w:rPr>
          <w:rFonts w:ascii="仿宋" w:hAnsi="仿宋" w:eastAsia="仿宋" w:cs="Times New Roman"/>
          <w:spacing w:val="-2"/>
          <w:kern w:val="2"/>
          <w:sz w:val="32"/>
          <w:szCs w:val="32"/>
        </w:rPr>
      </w:pPr>
      <w:r>
        <w:rPr>
          <w:rFonts w:hint="eastAsia" w:ascii="仿宋" w:hAnsi="仿宋" w:eastAsia="仿宋" w:cs="Times New Roman"/>
          <w:spacing w:val="-2"/>
          <w:kern w:val="2"/>
          <w:sz w:val="32"/>
          <w:szCs w:val="32"/>
        </w:rPr>
        <w:t>怀化市劳动监察支队作为怀化市人力资源和社会保障局单位的二级部门预算单位，没有内设科室。</w:t>
      </w:r>
    </w:p>
    <w:p>
      <w:pPr>
        <w:widowControl/>
        <w:shd w:val="clear" w:color="auto" w:fill="FFFFFF"/>
        <w:spacing w:line="360" w:lineRule="auto"/>
        <w:ind w:firstLine="640"/>
        <w:rPr>
          <w:rFonts w:hint="eastAsia" w:ascii="仿宋" w:hAnsi="仿宋" w:eastAsia="仿宋"/>
          <w:spacing w:val="-2"/>
          <w:sz w:val="32"/>
          <w:szCs w:val="32"/>
        </w:rPr>
      </w:pPr>
      <w:r>
        <w:rPr>
          <w:rFonts w:hint="eastAsia" w:ascii="仿宋" w:hAnsi="仿宋" w:eastAsia="仿宋"/>
          <w:spacing w:val="-2"/>
          <w:sz w:val="32"/>
          <w:szCs w:val="32"/>
        </w:rPr>
        <w:t>截止2021年末，怀化市劳动监察支队共有在职人员13人。</w:t>
      </w:r>
    </w:p>
    <w:p>
      <w:pPr>
        <w:widowControl/>
        <w:shd w:val="clear" w:color="auto" w:fill="FFFFFF"/>
        <w:spacing w:line="360" w:lineRule="auto"/>
        <w:ind w:firstLine="640"/>
        <w:rPr>
          <w:rFonts w:hint="eastAsia" w:ascii="仿宋" w:hAnsi="仿宋" w:eastAsia="仿宋"/>
          <w:spacing w:val="-2"/>
          <w:sz w:val="32"/>
          <w:szCs w:val="32"/>
        </w:rPr>
      </w:pPr>
      <w:r>
        <w:rPr>
          <w:rFonts w:ascii="仿宋" w:hAnsi="仿宋" w:eastAsia="仿宋"/>
          <w:spacing w:val="-2"/>
          <w:sz w:val="32"/>
          <w:szCs w:val="32"/>
        </w:rPr>
        <w:t>（二）部门整体支出规模、使用方向和主要内容、涉及范围等。</w:t>
      </w:r>
    </w:p>
    <w:p>
      <w:pPr>
        <w:pStyle w:val="3"/>
        <w:shd w:val="clear" w:color="auto" w:fill="FFFFFF"/>
        <w:spacing w:before="0" w:beforeAutospacing="0" w:after="0" w:afterAutospacing="0" w:line="360" w:lineRule="auto"/>
        <w:ind w:firstLine="707" w:firstLineChars="224"/>
        <w:rPr>
          <w:rFonts w:ascii="仿宋" w:hAnsi="仿宋" w:eastAsia="仿宋" w:cs="Times New Roman"/>
          <w:spacing w:val="-2"/>
          <w:kern w:val="2"/>
          <w:sz w:val="32"/>
          <w:szCs w:val="32"/>
        </w:rPr>
      </w:pPr>
      <w:r>
        <w:rPr>
          <w:rFonts w:hint="eastAsia" w:ascii="仿宋" w:hAnsi="仿宋" w:eastAsia="仿宋" w:cs="Times New Roman"/>
          <w:spacing w:val="-2"/>
          <w:kern w:val="2"/>
          <w:sz w:val="32"/>
          <w:szCs w:val="32"/>
        </w:rPr>
        <w:t>2021年</w:t>
      </w:r>
      <w:r>
        <w:rPr>
          <w:rFonts w:hint="eastAsia" w:ascii="仿宋" w:hAnsi="仿宋" w:eastAsia="仿宋"/>
          <w:sz w:val="32"/>
          <w:szCs w:val="32"/>
        </w:rPr>
        <w:t>年初预算数</w:t>
      </w:r>
      <w:r>
        <w:rPr>
          <w:rFonts w:ascii="仿宋" w:hAnsi="仿宋" w:eastAsia="仿宋"/>
          <w:sz w:val="32"/>
          <w:szCs w:val="32"/>
        </w:rPr>
        <w:t>156.97</w:t>
      </w:r>
      <w:r>
        <w:rPr>
          <w:rFonts w:hint="eastAsia" w:ascii="仿宋" w:hAnsi="仿宋" w:eastAsia="仿宋" w:cs="Times New Roman"/>
          <w:spacing w:val="-2"/>
          <w:kern w:val="2"/>
          <w:sz w:val="32"/>
          <w:szCs w:val="32"/>
        </w:rPr>
        <w:t>万元,其中一般公共预算拨款收入为</w:t>
      </w:r>
      <w:r>
        <w:rPr>
          <w:rFonts w:ascii="仿宋" w:hAnsi="仿宋" w:eastAsia="仿宋" w:cs="Times New Roman"/>
          <w:spacing w:val="-2"/>
          <w:kern w:val="2"/>
          <w:sz w:val="32"/>
          <w:szCs w:val="32"/>
        </w:rPr>
        <w:t>156.97</w:t>
      </w:r>
      <w:r>
        <w:rPr>
          <w:rFonts w:hint="eastAsia" w:ascii="仿宋" w:hAnsi="仿宋" w:eastAsia="仿宋" w:cs="Times New Roman"/>
          <w:spacing w:val="-2"/>
          <w:kern w:val="2"/>
          <w:sz w:val="32"/>
          <w:szCs w:val="32"/>
        </w:rPr>
        <w:t>万元，具体安排情况如下：</w:t>
      </w:r>
    </w:p>
    <w:p>
      <w:pPr>
        <w:pStyle w:val="3"/>
        <w:shd w:val="clear" w:color="auto" w:fill="FFFFFF"/>
        <w:spacing w:line="360" w:lineRule="auto"/>
        <w:ind w:firstLine="707" w:firstLineChars="224"/>
        <w:rPr>
          <w:rFonts w:ascii="仿宋" w:hAnsi="仿宋" w:eastAsia="仿宋" w:cs="Times New Roman"/>
          <w:spacing w:val="-2"/>
          <w:kern w:val="2"/>
          <w:sz w:val="32"/>
          <w:szCs w:val="32"/>
        </w:rPr>
      </w:pPr>
      <w:r>
        <w:rPr>
          <w:rFonts w:hint="eastAsia" w:ascii="仿宋" w:hAnsi="仿宋" w:eastAsia="仿宋" w:cs="Times New Roman"/>
          <w:spacing w:val="-2"/>
          <w:kern w:val="2"/>
          <w:sz w:val="32"/>
          <w:szCs w:val="32"/>
        </w:rPr>
        <w:t>1、基本支出：2021年年初预算数为</w:t>
      </w:r>
      <w:r>
        <w:rPr>
          <w:rFonts w:ascii="仿宋" w:hAnsi="仿宋" w:eastAsia="仿宋" w:cs="Times New Roman"/>
          <w:spacing w:val="-2"/>
          <w:kern w:val="2"/>
          <w:sz w:val="32"/>
          <w:szCs w:val="32"/>
        </w:rPr>
        <w:t>1</w:t>
      </w:r>
      <w:r>
        <w:rPr>
          <w:rFonts w:hint="eastAsia" w:ascii="仿宋" w:hAnsi="仿宋" w:eastAsia="仿宋" w:cs="Times New Roman"/>
          <w:spacing w:val="-2"/>
          <w:kern w:val="2"/>
          <w:sz w:val="32"/>
          <w:szCs w:val="32"/>
          <w:lang w:val="en-US" w:eastAsia="zh-CN"/>
        </w:rPr>
        <w:t>56</w:t>
      </w:r>
      <w:r>
        <w:rPr>
          <w:rFonts w:ascii="仿宋" w:hAnsi="仿宋" w:eastAsia="仿宋" w:cs="Times New Roman"/>
          <w:spacing w:val="-2"/>
          <w:kern w:val="2"/>
          <w:sz w:val="32"/>
          <w:szCs w:val="32"/>
        </w:rPr>
        <w:t>.97</w:t>
      </w:r>
      <w:r>
        <w:rPr>
          <w:rFonts w:hint="eastAsia" w:ascii="仿宋" w:hAnsi="仿宋" w:eastAsia="仿宋" w:cs="Times New Roman"/>
          <w:spacing w:val="-2"/>
          <w:kern w:val="2"/>
          <w:sz w:val="32"/>
          <w:szCs w:val="32"/>
        </w:rPr>
        <w:t>万元，是指为保障单位机构正常运转、完成日常工作任务而发生的各项支出，包括用于基本工资</w:t>
      </w:r>
      <w:r>
        <w:rPr>
          <w:rFonts w:ascii="仿宋" w:hAnsi="仿宋" w:eastAsia="仿宋" w:cs="Times New Roman"/>
          <w:spacing w:val="-2"/>
          <w:kern w:val="2"/>
          <w:sz w:val="32"/>
          <w:szCs w:val="32"/>
        </w:rPr>
        <w:t>46.84</w:t>
      </w:r>
      <w:r>
        <w:rPr>
          <w:rFonts w:hint="eastAsia" w:ascii="仿宋" w:hAnsi="仿宋" w:eastAsia="仿宋" w:cs="Times New Roman"/>
          <w:spacing w:val="-2"/>
          <w:kern w:val="2"/>
          <w:sz w:val="32"/>
          <w:szCs w:val="32"/>
        </w:rPr>
        <w:t>万元、津贴补贴</w:t>
      </w:r>
      <w:r>
        <w:rPr>
          <w:rFonts w:ascii="仿宋" w:hAnsi="仿宋" w:eastAsia="仿宋" w:cs="Times New Roman"/>
          <w:spacing w:val="-2"/>
          <w:kern w:val="2"/>
          <w:sz w:val="32"/>
          <w:szCs w:val="32"/>
        </w:rPr>
        <w:t>14.99</w:t>
      </w:r>
      <w:r>
        <w:rPr>
          <w:rFonts w:hint="eastAsia" w:ascii="仿宋" w:hAnsi="仿宋" w:eastAsia="仿宋" w:cs="Times New Roman"/>
          <w:spacing w:val="-2"/>
          <w:kern w:val="2"/>
          <w:sz w:val="32"/>
          <w:szCs w:val="32"/>
        </w:rPr>
        <w:t>万元</w:t>
      </w:r>
      <w:r>
        <w:rPr>
          <w:rFonts w:hint="eastAsia" w:ascii="仿宋" w:hAnsi="仿宋" w:eastAsia="仿宋" w:cs="Times New Roman"/>
          <w:spacing w:val="-2"/>
          <w:kern w:val="2"/>
          <w:sz w:val="32"/>
          <w:szCs w:val="32"/>
          <w:lang w:eastAsia="zh-CN"/>
        </w:rPr>
        <w:t>、</w:t>
      </w:r>
      <w:r>
        <w:rPr>
          <w:rFonts w:hint="eastAsia" w:ascii="仿宋" w:hAnsi="仿宋" w:eastAsia="仿宋" w:cs="Times New Roman"/>
          <w:spacing w:val="-2"/>
          <w:kern w:val="2"/>
          <w:sz w:val="32"/>
          <w:szCs w:val="32"/>
        </w:rPr>
        <w:t>奖金</w:t>
      </w:r>
      <w:r>
        <w:rPr>
          <w:rFonts w:ascii="仿宋" w:hAnsi="仿宋" w:eastAsia="仿宋" w:cs="Times New Roman"/>
          <w:spacing w:val="-2"/>
          <w:kern w:val="2"/>
          <w:sz w:val="32"/>
          <w:szCs w:val="32"/>
        </w:rPr>
        <w:t>1.99</w:t>
      </w:r>
      <w:r>
        <w:rPr>
          <w:rFonts w:hint="eastAsia" w:ascii="仿宋" w:hAnsi="仿宋" w:eastAsia="仿宋" w:cs="Times New Roman"/>
          <w:spacing w:val="-2"/>
          <w:kern w:val="2"/>
          <w:sz w:val="32"/>
          <w:szCs w:val="32"/>
        </w:rPr>
        <w:t>万元、绩效工资</w:t>
      </w:r>
      <w:r>
        <w:rPr>
          <w:rFonts w:ascii="仿宋" w:hAnsi="仿宋" w:eastAsia="仿宋" w:cs="Times New Roman"/>
          <w:spacing w:val="-2"/>
          <w:kern w:val="2"/>
          <w:sz w:val="32"/>
          <w:szCs w:val="32"/>
        </w:rPr>
        <w:t>16.47</w:t>
      </w:r>
      <w:r>
        <w:rPr>
          <w:rFonts w:hint="eastAsia" w:ascii="仿宋" w:hAnsi="仿宋" w:eastAsia="仿宋" w:cs="Times New Roman"/>
          <w:spacing w:val="-2"/>
          <w:kern w:val="2"/>
          <w:sz w:val="32"/>
          <w:szCs w:val="32"/>
        </w:rPr>
        <w:t>万元、公务员医疗补助缴费</w:t>
      </w:r>
      <w:r>
        <w:rPr>
          <w:rFonts w:ascii="仿宋" w:hAnsi="仿宋" w:eastAsia="仿宋" w:cs="Times New Roman"/>
          <w:spacing w:val="-2"/>
          <w:kern w:val="2"/>
          <w:sz w:val="32"/>
          <w:szCs w:val="32"/>
        </w:rPr>
        <w:t>3.2</w:t>
      </w:r>
      <w:r>
        <w:rPr>
          <w:rFonts w:hint="eastAsia" w:ascii="仿宋" w:hAnsi="仿宋" w:eastAsia="仿宋" w:cs="Times New Roman"/>
          <w:spacing w:val="-2"/>
          <w:kern w:val="2"/>
          <w:sz w:val="32"/>
          <w:szCs w:val="32"/>
        </w:rPr>
        <w:t>0万元、其他社会保障缴费5.00万元、住房公积金1.00万元、</w:t>
      </w:r>
      <w:r>
        <w:rPr>
          <w:rFonts w:hint="eastAsia" w:ascii="仿宋" w:hAnsi="仿宋" w:eastAsia="仿宋" w:cs="Times New Roman"/>
          <w:spacing w:val="-2"/>
          <w:kern w:val="2"/>
          <w:sz w:val="32"/>
          <w:szCs w:val="32"/>
          <w:lang w:eastAsia="zh-CN"/>
        </w:rPr>
        <w:t>办公经费</w:t>
      </w:r>
      <w:r>
        <w:rPr>
          <w:rFonts w:hint="eastAsia" w:ascii="仿宋" w:hAnsi="仿宋" w:eastAsia="仿宋" w:cs="Times New Roman"/>
          <w:spacing w:val="-2"/>
          <w:kern w:val="2"/>
          <w:sz w:val="32"/>
          <w:szCs w:val="32"/>
          <w:lang w:val="en-US" w:eastAsia="zh-CN"/>
        </w:rPr>
        <w:t>22.35万元、</w:t>
      </w:r>
      <w:r>
        <w:rPr>
          <w:rFonts w:hint="eastAsia" w:ascii="仿宋" w:hAnsi="仿宋" w:eastAsia="仿宋" w:cs="Times New Roman"/>
          <w:spacing w:val="-2"/>
          <w:kern w:val="2"/>
          <w:sz w:val="32"/>
          <w:szCs w:val="32"/>
        </w:rPr>
        <w:t>工会经费6.61万元、福利费7.34万元、其他交通费用8.40万元、其他商品和服务支出0.13万元。</w:t>
      </w:r>
    </w:p>
    <w:p>
      <w:pPr>
        <w:pStyle w:val="3"/>
        <w:shd w:val="clear" w:color="auto" w:fill="FFFFFF"/>
        <w:spacing w:before="0" w:beforeAutospacing="0" w:after="0" w:afterAutospacing="0" w:line="360" w:lineRule="auto"/>
        <w:ind w:firstLine="711" w:firstLineChars="224"/>
        <w:rPr>
          <w:rFonts w:ascii="楷体" w:hAnsi="楷体" w:eastAsia="楷体"/>
          <w:b/>
          <w:spacing w:val="-2"/>
          <w:sz w:val="32"/>
          <w:szCs w:val="21"/>
        </w:rPr>
      </w:pPr>
      <w:r>
        <w:rPr>
          <w:rFonts w:ascii="楷体" w:hAnsi="楷体" w:eastAsia="楷体"/>
          <w:b/>
          <w:spacing w:val="-2"/>
          <w:sz w:val="32"/>
          <w:szCs w:val="32"/>
        </w:rPr>
        <w:t>二、部门整体支出管理及使用情况</w:t>
      </w:r>
    </w:p>
    <w:p>
      <w:pPr>
        <w:widowControl/>
        <w:shd w:val="clear" w:color="auto" w:fill="FFFFFF"/>
        <w:spacing w:line="360" w:lineRule="auto"/>
        <w:ind w:firstLine="643"/>
        <w:rPr>
          <w:rFonts w:ascii="仿宋" w:hAnsi="仿宋" w:eastAsia="仿宋"/>
          <w:b/>
          <w:spacing w:val="-2"/>
          <w:sz w:val="32"/>
          <w:szCs w:val="21"/>
        </w:rPr>
      </w:pPr>
      <w:r>
        <w:rPr>
          <w:rFonts w:ascii="仿宋" w:hAnsi="仿宋" w:eastAsia="仿宋"/>
          <w:b/>
          <w:spacing w:val="-2"/>
          <w:sz w:val="32"/>
          <w:szCs w:val="32"/>
        </w:rPr>
        <w:t>（一）基本支出</w:t>
      </w:r>
    </w:p>
    <w:p>
      <w:pPr>
        <w:widowControl/>
        <w:shd w:val="clear" w:color="auto" w:fill="FFFFFF"/>
        <w:spacing w:line="360" w:lineRule="auto"/>
        <w:ind w:firstLine="643"/>
        <w:rPr>
          <w:rFonts w:hint="eastAsia" w:ascii="仿宋" w:hAnsi="仿宋" w:eastAsia="仿宋"/>
          <w:sz w:val="32"/>
          <w:szCs w:val="32"/>
        </w:rPr>
      </w:pPr>
      <w:r>
        <w:rPr>
          <w:rFonts w:hint="eastAsia" w:ascii="仿宋" w:hAnsi="仿宋" w:eastAsia="仿宋"/>
          <w:color w:val="3D3D3D"/>
          <w:sz w:val="32"/>
          <w:szCs w:val="32"/>
          <w:shd w:val="clear" w:color="auto" w:fill="FFFFFF"/>
        </w:rPr>
        <w:t>怀化市劳动监察支队</w:t>
      </w:r>
      <w:r>
        <w:rPr>
          <w:rFonts w:hint="eastAsia" w:ascii="仿宋" w:hAnsi="仿宋" w:eastAsia="仿宋"/>
          <w:sz w:val="32"/>
          <w:szCs w:val="32"/>
        </w:rPr>
        <w:t>基本支出为用于保障机构正常运转和完成日常工作任务而产生的支出，包括用于基本工资、津贴补贴、退休费等人员经费以及办公费、印刷费、水电费、办公设备购置、公务用车运行维护等日常公用经费。2021年</w:t>
      </w:r>
      <w:r>
        <w:rPr>
          <w:rFonts w:hint="eastAsia" w:ascii="仿宋" w:hAnsi="仿宋" w:eastAsia="仿宋"/>
          <w:color w:val="3D3D3D"/>
          <w:sz w:val="32"/>
          <w:szCs w:val="32"/>
          <w:shd w:val="clear" w:color="auto" w:fill="FFFFFF"/>
        </w:rPr>
        <w:t>怀化市劳动监察支队</w:t>
      </w:r>
      <w:r>
        <w:rPr>
          <w:rFonts w:hint="eastAsia" w:ascii="仿宋" w:hAnsi="仿宋" w:eastAsia="仿宋"/>
          <w:sz w:val="32"/>
          <w:szCs w:val="32"/>
        </w:rPr>
        <w:t>共产生基本支出</w:t>
      </w:r>
      <w:r>
        <w:rPr>
          <w:rFonts w:hint="eastAsia" w:ascii="仿宋" w:hAnsi="仿宋" w:eastAsia="仿宋"/>
          <w:sz w:val="32"/>
          <w:szCs w:val="32"/>
          <w:lang w:val="en-US" w:eastAsia="zh-CN"/>
        </w:rPr>
        <w:t>251</w:t>
      </w:r>
      <w:r>
        <w:rPr>
          <w:rFonts w:hint="eastAsia" w:ascii="仿宋" w:hAnsi="仿宋" w:eastAsia="仿宋"/>
          <w:sz w:val="32"/>
          <w:szCs w:val="32"/>
        </w:rPr>
        <w:t>.81万元，其中人员经费</w:t>
      </w:r>
      <w:r>
        <w:rPr>
          <w:rFonts w:hint="eastAsia" w:ascii="仿宋" w:hAnsi="仿宋" w:eastAsia="仿宋"/>
          <w:sz w:val="32"/>
          <w:szCs w:val="32"/>
          <w:lang w:val="en-US" w:eastAsia="zh-CN"/>
        </w:rPr>
        <w:t>95.4</w:t>
      </w:r>
      <w:r>
        <w:rPr>
          <w:rFonts w:hint="eastAsia" w:ascii="仿宋" w:hAnsi="仿宋" w:eastAsia="仿宋"/>
          <w:sz w:val="32"/>
          <w:szCs w:val="32"/>
        </w:rPr>
        <w:t>万元，公用经费</w:t>
      </w:r>
      <w:r>
        <w:rPr>
          <w:rFonts w:hint="eastAsia" w:ascii="仿宋" w:hAnsi="仿宋" w:eastAsia="仿宋"/>
          <w:sz w:val="32"/>
          <w:szCs w:val="32"/>
          <w:lang w:val="en-US" w:eastAsia="zh-CN"/>
        </w:rPr>
        <w:t>156</w:t>
      </w:r>
      <w:r>
        <w:rPr>
          <w:rFonts w:hint="eastAsia" w:ascii="仿宋" w:hAnsi="仿宋" w:eastAsia="仿宋"/>
          <w:sz w:val="32"/>
          <w:szCs w:val="32"/>
        </w:rPr>
        <w:t>.41万元，其中“三公”经费0.84万元。</w:t>
      </w:r>
    </w:p>
    <w:p>
      <w:pPr>
        <w:widowControl/>
        <w:shd w:val="clear" w:color="auto" w:fill="FFFFFF"/>
        <w:spacing w:line="360" w:lineRule="auto"/>
        <w:ind w:firstLine="643"/>
        <w:rPr>
          <w:rFonts w:hint="eastAsia" w:ascii="仿宋" w:hAnsi="仿宋" w:eastAsia="仿宋"/>
          <w:spacing w:val="-2"/>
          <w:sz w:val="32"/>
          <w:szCs w:val="32"/>
        </w:rPr>
      </w:pPr>
    </w:p>
    <w:p>
      <w:pPr>
        <w:widowControl/>
        <w:shd w:val="clear" w:color="auto" w:fill="FFFFFF"/>
        <w:spacing w:line="360" w:lineRule="auto"/>
        <w:ind w:firstLine="643"/>
        <w:rPr>
          <w:rFonts w:ascii="楷体" w:hAnsi="楷体" w:eastAsia="楷体"/>
          <w:b/>
          <w:spacing w:val="-2"/>
          <w:sz w:val="32"/>
          <w:szCs w:val="21"/>
        </w:rPr>
      </w:pPr>
      <w:r>
        <w:rPr>
          <w:rFonts w:ascii="楷体" w:hAnsi="楷体" w:eastAsia="楷体"/>
          <w:b/>
          <w:spacing w:val="-2"/>
          <w:sz w:val="32"/>
          <w:szCs w:val="32"/>
        </w:rPr>
        <w:t>（二）专项支出</w:t>
      </w:r>
    </w:p>
    <w:p>
      <w:pPr>
        <w:widowControl/>
        <w:shd w:val="clear" w:color="auto" w:fill="FFFFFF"/>
        <w:spacing w:line="360" w:lineRule="auto"/>
        <w:ind w:firstLine="640"/>
        <w:rPr>
          <w:rFonts w:hint="eastAsia" w:ascii="仿宋" w:hAnsi="仿宋" w:eastAsia="仿宋"/>
          <w:spacing w:val="-2"/>
          <w:sz w:val="32"/>
          <w:szCs w:val="32"/>
        </w:rPr>
      </w:pPr>
      <w:r>
        <w:rPr>
          <w:rFonts w:ascii="仿宋" w:hAnsi="仿宋" w:eastAsia="仿宋"/>
          <w:spacing w:val="-2"/>
          <w:sz w:val="32"/>
          <w:szCs w:val="32"/>
        </w:rPr>
        <w:t>1、专项资金（包括财政资金、自筹资金等）安排落实、总投入等情况分析。</w:t>
      </w:r>
    </w:p>
    <w:p>
      <w:pPr>
        <w:widowControl/>
        <w:shd w:val="clear" w:color="auto" w:fill="FFFFFF"/>
        <w:spacing w:line="360" w:lineRule="auto"/>
        <w:ind w:firstLine="640"/>
        <w:rPr>
          <w:rFonts w:hint="eastAsia" w:ascii="仿宋" w:eastAsia="仿宋"/>
          <w:sz w:val="32"/>
          <w:szCs w:val="32"/>
        </w:rPr>
      </w:pPr>
      <w:r>
        <w:rPr>
          <w:rFonts w:hint="eastAsia" w:ascii="仿宋" w:hAnsi="仿宋" w:eastAsia="仿宋"/>
          <w:sz w:val="32"/>
          <w:szCs w:val="32"/>
        </w:rPr>
        <w:t>2021年专项资金年度财政拨款收入共计</w:t>
      </w:r>
      <w:r>
        <w:rPr>
          <w:rFonts w:hint="eastAsia" w:ascii="仿宋" w:eastAsia="仿宋"/>
          <w:sz w:val="32"/>
          <w:szCs w:val="32"/>
        </w:rPr>
        <w:t>45.00</w:t>
      </w:r>
      <w:r>
        <w:rPr>
          <w:rFonts w:hint="eastAsia" w:ascii="仿宋" w:hAnsi="仿宋" w:eastAsia="仿宋"/>
          <w:sz w:val="32"/>
          <w:szCs w:val="32"/>
        </w:rPr>
        <w:t>万元，年度可用专项资金共计</w:t>
      </w:r>
      <w:r>
        <w:rPr>
          <w:rFonts w:hint="eastAsia" w:ascii="仿宋" w:eastAsia="仿宋"/>
          <w:sz w:val="32"/>
          <w:szCs w:val="32"/>
        </w:rPr>
        <w:t>45.00</w:t>
      </w:r>
      <w:r>
        <w:rPr>
          <w:rFonts w:hint="eastAsia" w:ascii="仿宋" w:hAnsi="仿宋" w:eastAsia="仿宋"/>
          <w:sz w:val="32"/>
          <w:szCs w:val="32"/>
        </w:rPr>
        <w:t>万元；支出共计</w:t>
      </w:r>
      <w:r>
        <w:rPr>
          <w:rFonts w:hint="eastAsia" w:ascii="仿宋" w:eastAsia="仿宋"/>
          <w:sz w:val="32"/>
          <w:szCs w:val="32"/>
        </w:rPr>
        <w:t>45.00</w:t>
      </w:r>
      <w:r>
        <w:rPr>
          <w:rFonts w:hint="eastAsia" w:ascii="仿宋" w:hAnsi="仿宋" w:eastAsia="仿宋"/>
          <w:sz w:val="32"/>
          <w:szCs w:val="32"/>
        </w:rPr>
        <w:t>万元</w:t>
      </w:r>
      <w:r>
        <w:rPr>
          <w:rFonts w:hint="eastAsia" w:ascii="仿宋" w:hAnsi="仿宋" w:eastAsia="仿宋" w:cs="仿宋_GB2312"/>
          <w:sz w:val="32"/>
          <w:szCs w:val="32"/>
        </w:rPr>
        <w:t>，年末结余</w:t>
      </w:r>
      <w:r>
        <w:rPr>
          <w:rFonts w:hint="eastAsia" w:ascii="仿宋" w:hAnsi="仿宋" w:eastAsia="仿宋"/>
          <w:sz w:val="32"/>
          <w:szCs w:val="32"/>
        </w:rPr>
        <w:t>0.00万元，</w:t>
      </w:r>
      <w:r>
        <w:rPr>
          <w:rFonts w:hint="eastAsia" w:ascii="仿宋" w:hAnsi="仿宋" w:eastAsia="仿宋" w:cs="仿宋_GB2312"/>
          <w:sz w:val="32"/>
          <w:szCs w:val="32"/>
        </w:rPr>
        <w:t>综合</w:t>
      </w:r>
      <w:r>
        <w:rPr>
          <w:rFonts w:hint="eastAsia" w:ascii="仿宋" w:eastAsia="仿宋"/>
          <w:sz w:val="32"/>
          <w:szCs w:val="32"/>
        </w:rPr>
        <w:t>预算执行率100%。</w:t>
      </w:r>
    </w:p>
    <w:p>
      <w:pPr>
        <w:widowControl/>
        <w:shd w:val="clear" w:color="auto" w:fill="FFFFFF"/>
        <w:spacing w:line="360" w:lineRule="auto"/>
        <w:ind w:firstLine="640"/>
        <w:rPr>
          <w:rFonts w:hint="eastAsia" w:ascii="仿宋" w:hAnsi="仿宋" w:eastAsia="仿宋"/>
          <w:spacing w:val="-2"/>
          <w:sz w:val="32"/>
          <w:szCs w:val="32"/>
        </w:rPr>
      </w:pPr>
      <w:r>
        <w:rPr>
          <w:rFonts w:ascii="仿宋" w:hAnsi="仿宋" w:eastAsia="仿宋"/>
          <w:spacing w:val="-2"/>
          <w:sz w:val="32"/>
          <w:szCs w:val="32"/>
        </w:rPr>
        <w:t>2、专项资金（主要指财政资金）实际使用情况分析。</w:t>
      </w:r>
    </w:p>
    <w:p>
      <w:pPr>
        <w:pStyle w:val="6"/>
        <w:spacing w:line="360" w:lineRule="auto"/>
        <w:ind w:firstLine="640" w:firstLineChars="200"/>
        <w:rPr>
          <w:rFonts w:hint="eastAsia" w:ascii="仿宋" w:hAnsi="仿宋" w:eastAsia="仿宋" w:cs="仿宋_GB2312"/>
          <w:sz w:val="32"/>
          <w:szCs w:val="32"/>
        </w:rPr>
      </w:pPr>
      <w:r>
        <w:rPr>
          <w:rFonts w:hint="eastAsia" w:ascii="仿宋" w:hAnsi="仿宋" w:eastAsia="仿宋"/>
          <w:sz w:val="32"/>
          <w:szCs w:val="32"/>
        </w:rPr>
        <w:t>2021年专项业务（工作）经费全年财政拨款收入45.00万元，</w:t>
      </w:r>
      <w:r>
        <w:rPr>
          <w:rFonts w:hint="eastAsia" w:ascii="仿宋" w:hAnsi="仿宋" w:eastAsia="仿宋" w:cs="仿宋_GB2312"/>
          <w:sz w:val="32"/>
          <w:szCs w:val="32"/>
        </w:rPr>
        <w:t>支出共计</w:t>
      </w:r>
      <w:r>
        <w:rPr>
          <w:rFonts w:hint="eastAsia" w:ascii="仿宋" w:hAnsi="仿宋" w:eastAsia="仿宋"/>
          <w:sz w:val="32"/>
          <w:szCs w:val="32"/>
        </w:rPr>
        <w:t>45.00</w:t>
      </w:r>
      <w:r>
        <w:rPr>
          <w:rFonts w:hint="eastAsia" w:ascii="仿宋" w:hAnsi="仿宋" w:eastAsia="仿宋" w:cs="仿宋_GB2312"/>
          <w:sz w:val="32"/>
          <w:szCs w:val="32"/>
        </w:rPr>
        <w:t>万元，综合</w:t>
      </w:r>
      <w:r>
        <w:rPr>
          <w:rFonts w:hint="eastAsia" w:ascii="仿宋" w:eastAsia="仿宋"/>
          <w:sz w:val="32"/>
          <w:szCs w:val="32"/>
        </w:rPr>
        <w:t>预算执行率100%。</w:t>
      </w:r>
    </w:p>
    <w:p>
      <w:pPr>
        <w:spacing w:line="360" w:lineRule="auto"/>
        <w:ind w:firstLine="707" w:firstLineChars="220"/>
        <w:rPr>
          <w:rFonts w:hint="eastAsia" w:ascii="仿宋" w:hAnsi="Calibri" w:eastAsia="仿宋"/>
          <w:sz w:val="32"/>
          <w:szCs w:val="32"/>
        </w:rPr>
      </w:pPr>
      <w:r>
        <w:rPr>
          <w:rFonts w:hint="eastAsia" w:ascii="仿宋" w:hAnsi="仿宋" w:eastAsia="仿宋" w:cs="仿宋"/>
          <w:b/>
          <w:sz w:val="32"/>
          <w:szCs w:val="32"/>
        </w:rPr>
        <w:t>年度目标：</w:t>
      </w:r>
      <w:r>
        <w:rPr>
          <w:rFonts w:hint="eastAsia" w:ascii="仿宋" w:hAnsi="Calibri" w:eastAsia="仿宋"/>
          <w:sz w:val="32"/>
          <w:szCs w:val="32"/>
        </w:rPr>
        <w:t>围绕“服务提升年”活动加强队伍建设、素质与服务水平提高。畅通举报投诉渠道。快速有效处置举报投诉案件，维护劳动者合法权益，维护社会稳定。</w:t>
      </w:r>
    </w:p>
    <w:p>
      <w:pPr>
        <w:spacing w:line="360" w:lineRule="auto"/>
        <w:ind w:firstLine="707" w:firstLineChars="220"/>
        <w:rPr>
          <w:rFonts w:hint="eastAsia" w:ascii="仿宋" w:hAnsi="仿宋" w:eastAsia="仿宋" w:cs="仿宋"/>
          <w:color w:val="333333"/>
          <w:sz w:val="32"/>
          <w:szCs w:val="32"/>
        </w:rPr>
      </w:pPr>
      <w:r>
        <w:rPr>
          <w:rFonts w:hint="eastAsia" w:ascii="仿宋" w:hAnsi="仿宋" w:eastAsia="仿宋" w:cs="仿宋"/>
          <w:b/>
          <w:sz w:val="32"/>
          <w:szCs w:val="32"/>
        </w:rPr>
        <w:t>完成情况：</w:t>
      </w:r>
      <w:r>
        <w:rPr>
          <w:rFonts w:hint="eastAsia" w:ascii="仿宋" w:hAnsi="Calibri" w:eastAsia="仿宋"/>
          <w:sz w:val="32"/>
          <w:szCs w:val="32"/>
        </w:rPr>
        <w:t>2021年度，我支队在保障农民工工资支付工作各项制度逐步落地，农民工工资欠薪预警平台全面启动，全面完成了2020年度国务院、省、市农民工工资支付考核工作，根治欠薪工作取得初步成效，有力保障了我市劳动关系的和谐稳定，取得了以下成绩：1.根治欠薪工作取得新成果。2.执法能力建设取得新进展。3.根治欠薪机制取得新合力。4.《条例》宣传活动取得新氛围。5.等级评价工作取得新示范。6.优化经济环境取得新体验。7.无欠薪项目建设取得新效能。</w:t>
      </w: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三、部门专项组织实施情况</w:t>
      </w:r>
    </w:p>
    <w:p>
      <w:pPr>
        <w:widowControl/>
        <w:shd w:val="clear" w:color="auto" w:fill="FFFFFF"/>
        <w:spacing w:line="360" w:lineRule="auto"/>
        <w:ind w:firstLine="640"/>
        <w:rPr>
          <w:rFonts w:hint="eastAsia" w:ascii="仿宋" w:hAnsi="仿宋" w:eastAsia="仿宋"/>
          <w:spacing w:val="-2"/>
          <w:sz w:val="32"/>
          <w:szCs w:val="32"/>
        </w:rPr>
      </w:pPr>
      <w:r>
        <w:rPr>
          <w:rFonts w:hint="eastAsia" w:ascii="仿宋" w:eastAsia="仿宋"/>
          <w:sz w:val="32"/>
          <w:szCs w:val="32"/>
        </w:rPr>
        <w:t>2021年度专项工作于2021年12月底全部完成。</w:t>
      </w:r>
      <w:r>
        <w:rPr>
          <w:rFonts w:hint="eastAsia" w:ascii="仿宋" w:eastAsia="仿宋" w:cs="仿宋_GB2312"/>
          <w:sz w:val="32"/>
          <w:szCs w:val="32"/>
        </w:rPr>
        <w:t>在局党组的高度重视和正确领导下，我支队</w:t>
      </w:r>
      <w:r>
        <w:rPr>
          <w:rFonts w:hint="eastAsia" w:ascii="仿宋" w:eastAsia="仿宋"/>
          <w:sz w:val="32"/>
          <w:szCs w:val="32"/>
        </w:rPr>
        <w:t>始终把治欠保支工作作为一项重要而紧迫的政治任务来抓，劳动保障监察工作，特别是保障农民工工资支付工作各项制度逐步落地，农民工工资欠薪预警平台全面启动，全面完成了2021年度国务院、省、市农民工工资支付考核工作，根治欠薪工作取得初步成效，有力保障了我市劳动关系的和谐稳定。</w:t>
      </w: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四、资产管理情况</w:t>
      </w:r>
    </w:p>
    <w:p>
      <w:pPr>
        <w:widowControl/>
        <w:shd w:val="clear" w:color="auto" w:fill="FFFFFF"/>
        <w:spacing w:line="360" w:lineRule="auto"/>
        <w:ind w:firstLine="640"/>
        <w:rPr>
          <w:rFonts w:hint="eastAsia" w:ascii="仿宋" w:hAnsi="仿宋" w:eastAsia="仿宋"/>
          <w:spacing w:val="-2"/>
          <w:sz w:val="32"/>
          <w:szCs w:val="32"/>
        </w:rPr>
      </w:pPr>
      <w:r>
        <w:rPr>
          <w:rFonts w:hint="eastAsia" w:ascii="仿宋" w:hAnsi="仿宋" w:eastAsia="仿宋"/>
          <w:spacing w:val="-2"/>
          <w:sz w:val="32"/>
          <w:szCs w:val="32"/>
        </w:rPr>
        <w:t>2021年</w:t>
      </w:r>
      <w:r>
        <w:rPr>
          <w:rFonts w:hint="eastAsia" w:ascii="仿宋" w:hAnsi="仿宋" w:eastAsia="仿宋"/>
          <w:color w:val="3D3D3D"/>
          <w:sz w:val="32"/>
          <w:szCs w:val="32"/>
          <w:shd w:val="clear" w:color="auto" w:fill="FFFFFF"/>
        </w:rPr>
        <w:t>怀化市劳动监察支队</w:t>
      </w:r>
      <w:r>
        <w:rPr>
          <w:rFonts w:hint="eastAsia" w:ascii="仿宋" w:hAnsi="仿宋" w:eastAsia="仿宋"/>
          <w:spacing w:val="-2"/>
          <w:sz w:val="32"/>
          <w:szCs w:val="32"/>
        </w:rPr>
        <w:t>制定了详细的内部管理制度，所有资产统一采购、专人管理、定期盘点、集中处置、严格追责，有效防止了国有资产流失。对报废固定资产按规定程序进行处理，新增固定资产建立了固定资产卡片和台账，责任到人，从而确保资产账账相符、账实相符。</w:t>
      </w: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五、部门整体支出绩效情况</w:t>
      </w:r>
    </w:p>
    <w:p>
      <w:pPr>
        <w:spacing w:line="360" w:lineRule="auto"/>
        <w:ind w:firstLine="643" w:firstLineChars="200"/>
        <w:rPr>
          <w:rFonts w:hint="eastAsia" w:ascii="仿宋" w:eastAsia="仿宋"/>
          <w:sz w:val="32"/>
          <w:szCs w:val="32"/>
        </w:rPr>
      </w:pPr>
      <w:r>
        <w:rPr>
          <w:rFonts w:hint="eastAsia" w:ascii="仿宋" w:eastAsia="仿宋"/>
          <w:b/>
          <w:bCs/>
          <w:sz w:val="32"/>
          <w:szCs w:val="32"/>
        </w:rPr>
        <w:t>1.根治欠薪工作取得新成果。</w:t>
      </w:r>
      <w:r>
        <w:rPr>
          <w:rFonts w:hint="eastAsia" w:ascii="仿宋" w:eastAsia="仿宋"/>
          <w:sz w:val="32"/>
          <w:szCs w:val="32"/>
        </w:rPr>
        <w:t>今年以来，劳动保障监察工作稳步推进，顺利完成了国务院、省、市农民工工资支付考核工作。截止12月底，接收“全国根治欠薪线索反映平台”欠薪问题线索1019条，已全部处置到位，劳动保障监察举报投诉立案79起，涉及农民工1891人、金额1748万元，劳动保障监察举报投诉案件按期结案率100%，拖欠农民工工资举报投诉案件按期结案率100%；协调处理拖欠农民工工资举报投诉案件361起，涉及农民工3651人、金额3437万元；总计为5018人，追回工资4705万元。</w:t>
      </w:r>
    </w:p>
    <w:p>
      <w:pPr>
        <w:spacing w:line="360" w:lineRule="auto"/>
        <w:ind w:firstLine="640"/>
        <w:rPr>
          <w:rFonts w:hint="eastAsia" w:ascii="仿宋" w:eastAsia="仿宋"/>
          <w:sz w:val="32"/>
          <w:szCs w:val="32"/>
        </w:rPr>
      </w:pPr>
      <w:r>
        <w:rPr>
          <w:rFonts w:hint="eastAsia" w:ascii="仿宋" w:eastAsia="仿宋"/>
          <w:b/>
          <w:bCs/>
          <w:sz w:val="32"/>
          <w:szCs w:val="32"/>
        </w:rPr>
        <w:t>2.执法能力建设取得新进展。</w:t>
      </w:r>
      <w:r>
        <w:rPr>
          <w:rFonts w:hint="eastAsia" w:ascii="仿宋" w:eastAsia="仿宋"/>
          <w:sz w:val="32"/>
          <w:szCs w:val="32"/>
        </w:rPr>
        <w:t>市委市政府高度重视劳动保障监察工作，市本级和13个县市区劳动监察机构均拥有独立的办公区域，“两网化”管理中心、投诉举报窗口设置到位；现有专职监察员71人，每位执法人员配备了按省厅要求的执法服装；劳动监察所需设施设备配备齐全，并保障了行政执法车辆14辆用于专项执法检查及日常巡查；劳动保障监察所需经费列入本级财政预算，切实为劳动监察执法提供了全方位服务。</w:t>
      </w:r>
    </w:p>
    <w:p>
      <w:pPr>
        <w:pStyle w:val="2"/>
        <w:snapToGrid/>
        <w:spacing w:line="360" w:lineRule="auto"/>
        <w:ind w:firstLine="643" w:firstLineChars="200"/>
        <w:rPr>
          <w:rFonts w:hint="eastAsia" w:ascii="仿宋" w:eastAsia="仿宋"/>
          <w:sz w:val="32"/>
          <w:szCs w:val="32"/>
        </w:rPr>
      </w:pPr>
      <w:r>
        <w:rPr>
          <w:rFonts w:hint="eastAsia" w:ascii="仿宋" w:eastAsia="仿宋"/>
          <w:b/>
          <w:bCs/>
          <w:sz w:val="32"/>
          <w:szCs w:val="32"/>
        </w:rPr>
        <w:t>3.根治欠薪机制取得新合力。</w:t>
      </w:r>
      <w:r>
        <w:rPr>
          <w:rFonts w:hint="eastAsia" w:ascii="仿宋" w:eastAsia="仿宋"/>
          <w:sz w:val="32"/>
          <w:szCs w:val="32"/>
        </w:rPr>
        <w:t>在怀化市就业和农民工工作暨根治拖欠农民工工资工作领导小组办公室的领导下，始终按照市人社、公安、住建、市场监管、工会等23个部门或组织的成员单位的工作目标、工作任务和职责分工，定期不定期召开全市议事协调、协商会议，研究部署相关工作，运转顺畅；充分发挥联合执法职能，建立健全行政执法和刑事司法衔接机制，加强人社部门和公安机关的联合执法，对拒不支付劳动报酬、强迫劳动、使用童工等违法犯罪行为和可能引发群体性事件、个人极端事件等情形，公安机关可提前介入，人社部门依法及时移送公安机关，全年向公安机关移交欠薪案件5起，有效推进了相关工作的开展及相关案件的处置进程，提高了工作效率，形成了工作合力。</w:t>
      </w:r>
    </w:p>
    <w:p>
      <w:pPr>
        <w:spacing w:line="360" w:lineRule="auto"/>
        <w:ind w:firstLine="643" w:firstLineChars="200"/>
        <w:rPr>
          <w:rFonts w:hint="eastAsia" w:ascii="仿宋" w:hAnsi="Calibri" w:eastAsia="仿宋"/>
          <w:sz w:val="32"/>
          <w:szCs w:val="32"/>
        </w:rPr>
      </w:pPr>
      <w:r>
        <w:rPr>
          <w:rFonts w:hint="eastAsia" w:ascii="仿宋" w:eastAsia="仿宋"/>
          <w:b/>
          <w:bCs/>
          <w:sz w:val="32"/>
          <w:szCs w:val="32"/>
        </w:rPr>
        <w:t>4.《条例》宣传活动取得新氛围。</w:t>
      </w:r>
      <w:r>
        <w:rPr>
          <w:rFonts w:hint="eastAsia" w:ascii="仿宋" w:hAnsi="Calibri" w:eastAsia="仿宋"/>
          <w:sz w:val="32"/>
          <w:szCs w:val="32"/>
        </w:rPr>
        <w:t>今年5月是《保障农民工工资支付条例》实施一周年，市、县两级政府以此为契机，开展《条例》宣传月活动，宣传主要通过线上学习、线下宣传主要通过进机关、进企业、进社区（农村）、进小区、进工地“五进”等形式进行。4月27日，怀化市根治拖欠农民工工资工作领导小组组织各成员单位及85个在建项目工地在市人社局15楼会议室，集中学习《保障农民工工资支付条例》，各县市区也对人社系统、根治欠薪成员单位监管人员、企业管理人员和部分农民工开展了培训。5月份开展了《保障农民工工资支付条例》宣传月活动。我市部分县市区开设了微信公众号，各部门在各自的门户网站开设专栏，专门宣传此项工作，在市级以上媒体报道次数12次，上报根治欠薪宣传稿件5件，并及时按照上级有关部署，做好宣传工作，对欠薪舆情及时发现、核实并妥善处理，及时有效进行回应。</w:t>
      </w:r>
    </w:p>
    <w:p>
      <w:pPr>
        <w:spacing w:line="360" w:lineRule="auto"/>
        <w:ind w:firstLine="643" w:firstLineChars="200"/>
        <w:rPr>
          <w:rFonts w:hint="eastAsia" w:ascii="仿宋" w:eastAsia="仿宋" w:cs="仿宋"/>
          <w:sz w:val="32"/>
          <w:szCs w:val="32"/>
        </w:rPr>
      </w:pPr>
      <w:r>
        <w:rPr>
          <w:rFonts w:hint="eastAsia" w:ascii="仿宋" w:eastAsia="仿宋"/>
          <w:b/>
          <w:bCs/>
          <w:sz w:val="32"/>
          <w:szCs w:val="32"/>
        </w:rPr>
        <w:t>5.等级评价工作</w:t>
      </w:r>
      <w:r>
        <w:rPr>
          <w:rFonts w:hint="eastAsia" w:ascii="仿宋" w:eastAsia="仿宋" w:cs="仿宋"/>
          <w:b/>
          <w:bCs/>
          <w:sz w:val="32"/>
          <w:szCs w:val="32"/>
        </w:rPr>
        <w:t>取得新</w:t>
      </w:r>
      <w:r>
        <w:rPr>
          <w:rFonts w:hint="eastAsia" w:ascii="仿宋" w:eastAsia="仿宋"/>
          <w:b/>
          <w:bCs/>
          <w:sz w:val="32"/>
          <w:szCs w:val="32"/>
        </w:rPr>
        <w:t>示范。</w:t>
      </w:r>
      <w:r>
        <w:rPr>
          <w:rFonts w:hint="eastAsia" w:ascii="仿宋" w:eastAsia="仿宋" w:cs="仿宋"/>
          <w:sz w:val="32"/>
          <w:szCs w:val="32"/>
        </w:rPr>
        <w:t>2020年5月，我局印发了《关于开展怀化市2020年度用人单位劳动保障诚信等级评价工作的通知》，部署2020年度用人单位劳动保障网上书面审查及劳动保障诚信等级评价工作。今年以来，共评价用人单位1315家，评定A级用人单位5家、B级1257家、C级53家。将黄某毅、毛某等2人拖欠农民工工资案件推送至发改、市场监管、人民银行和住建信用信息平台，积极营造讲诚信、学诚信的良好舆论氛围和失信联合惩戒威摄力。</w:t>
      </w:r>
    </w:p>
    <w:p>
      <w:pPr>
        <w:spacing w:line="360" w:lineRule="auto"/>
        <w:ind w:firstLine="643" w:firstLineChars="200"/>
        <w:rPr>
          <w:rFonts w:hint="eastAsia" w:ascii="仿宋" w:eastAsia="仿宋"/>
          <w:sz w:val="32"/>
          <w:szCs w:val="32"/>
        </w:rPr>
      </w:pPr>
      <w:r>
        <w:rPr>
          <w:rFonts w:hint="eastAsia" w:ascii="仿宋" w:eastAsia="仿宋" w:cs="仿宋"/>
          <w:b/>
          <w:bCs/>
          <w:sz w:val="32"/>
          <w:szCs w:val="32"/>
        </w:rPr>
        <w:t>6.</w:t>
      </w:r>
      <w:r>
        <w:rPr>
          <w:rFonts w:hint="eastAsia" w:ascii="仿宋" w:eastAsia="仿宋"/>
          <w:b/>
          <w:bCs/>
          <w:sz w:val="32"/>
          <w:szCs w:val="32"/>
        </w:rPr>
        <w:t>优化经济环境取得新体验。</w:t>
      </w:r>
      <w:r>
        <w:rPr>
          <w:rFonts w:hint="eastAsia" w:ascii="仿宋" w:eastAsia="仿宋"/>
          <w:sz w:val="32"/>
          <w:szCs w:val="32"/>
        </w:rPr>
        <w:t>按照省委省政府、省厅和市委市政府要求，全市建立了“双随机一公开”执法检查运行机制，加快配套制度建设，明确了工作步骤；严格落实并制定了29类97项人社领域事项相应的随机抽查事项清单，结合劳动保障监察“两网化”系统中的“双随机抽查”模块，依托市场监管对象名录库和执法检查人员名录库，通过电脑随机摇号，从市场主体名录库中随机抽取检查对象，从执法检查人员名录库中随机选派执法检查人员，做到执法检查全程留痕，责任可追溯。</w:t>
      </w:r>
    </w:p>
    <w:p>
      <w:pPr>
        <w:widowControl/>
        <w:shd w:val="clear" w:color="auto" w:fill="FFFFFF"/>
        <w:spacing w:line="360" w:lineRule="auto"/>
        <w:ind w:firstLine="640"/>
        <w:rPr>
          <w:rFonts w:hint="eastAsia" w:ascii="仿宋" w:eastAsia="仿宋"/>
          <w:sz w:val="32"/>
          <w:szCs w:val="32"/>
        </w:rPr>
      </w:pPr>
      <w:r>
        <w:rPr>
          <w:rFonts w:hint="eastAsia" w:ascii="仿宋" w:eastAsia="仿宋" w:cs="仿宋"/>
          <w:b/>
          <w:bCs/>
          <w:color w:val="000000"/>
          <w:sz w:val="32"/>
          <w:szCs w:val="32"/>
        </w:rPr>
        <w:t>7.</w:t>
      </w:r>
      <w:r>
        <w:rPr>
          <w:rFonts w:hint="eastAsia" w:ascii="仿宋" w:eastAsia="仿宋"/>
          <w:b/>
          <w:bCs/>
          <w:sz w:val="32"/>
          <w:szCs w:val="32"/>
        </w:rPr>
        <w:t>无欠薪项目建设取得新效能</w:t>
      </w:r>
      <w:r>
        <w:rPr>
          <w:rFonts w:hint="eastAsia" w:ascii="仿宋" w:eastAsia="仿宋" w:cs="仿宋_GB2312"/>
          <w:b/>
          <w:bCs/>
          <w:sz w:val="32"/>
          <w:szCs w:val="32"/>
        </w:rPr>
        <w:t>。</w:t>
      </w:r>
      <w:r>
        <w:rPr>
          <w:rFonts w:hint="eastAsia" w:ascii="仿宋" w:eastAsia="仿宋"/>
          <w:sz w:val="32"/>
          <w:szCs w:val="32"/>
        </w:rPr>
        <w:t>对部、省厅、市局督办、交办的案件，专门指派办案经验丰富的监察骨干力量负责及时办理、严肃查处，督办、交办案件结案率达100%；严格建立欠薪案件台账，切实加强案件的查处力度；建立拖欠农民工工资隐患排查机制，对我市拖欠农民工工资情况进行了摸底排查，并依托劳动保障监察“两网化”系统、实名制管理和欠薪预警平台，进行数据分析比对，极大地提高了案件查处效率，全面推进了我市无欠薪项目的建设力度。</w:t>
      </w: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六、存在的主要问题</w:t>
      </w:r>
    </w:p>
    <w:p>
      <w:pPr>
        <w:widowControl/>
        <w:shd w:val="clear" w:color="auto" w:fill="FFFFFF"/>
        <w:spacing w:line="360" w:lineRule="auto"/>
        <w:ind w:firstLine="640"/>
        <w:rPr>
          <w:rFonts w:hint="eastAsia" w:ascii="仿宋" w:hAnsi="仿宋" w:eastAsia="仿宋"/>
          <w:spacing w:val="-2"/>
          <w:sz w:val="32"/>
          <w:szCs w:val="32"/>
        </w:rPr>
      </w:pPr>
      <w:r>
        <w:rPr>
          <w:rFonts w:ascii="仿宋" w:hAnsi="仿宋" w:eastAsia="仿宋"/>
          <w:spacing w:val="-2"/>
          <w:sz w:val="32"/>
          <w:szCs w:val="32"/>
        </w:rPr>
        <w:t>2021年的工作在</w:t>
      </w:r>
      <w:r>
        <w:rPr>
          <w:rFonts w:hint="eastAsia" w:ascii="仿宋" w:hAnsi="仿宋" w:eastAsia="仿宋"/>
          <w:spacing w:val="-2"/>
          <w:sz w:val="32"/>
          <w:szCs w:val="32"/>
        </w:rPr>
        <w:t>全体干部</w:t>
      </w:r>
      <w:r>
        <w:rPr>
          <w:rFonts w:ascii="仿宋" w:hAnsi="仿宋" w:eastAsia="仿宋"/>
          <w:spacing w:val="-2"/>
          <w:sz w:val="32"/>
          <w:szCs w:val="32"/>
        </w:rPr>
        <w:t>职工的共同努力下，虽然取得一定成绩，但是仍然存在一些问题。一是党史学习教育中对重点学习篇目的学习不够系统深入，对标支部“五化建设”要求还有一定差距；二是安全生产相关制度还不够全面、系统、完善。</w:t>
      </w: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七、改进措施和有关建议</w:t>
      </w:r>
    </w:p>
    <w:p>
      <w:pPr>
        <w:spacing w:line="360" w:lineRule="auto"/>
        <w:ind w:firstLine="632" w:firstLineChars="200"/>
        <w:rPr>
          <w:rFonts w:ascii="仿宋" w:hAnsi="仿宋" w:eastAsia="仿宋"/>
          <w:spacing w:val="-2"/>
          <w:sz w:val="32"/>
          <w:szCs w:val="32"/>
        </w:rPr>
      </w:pPr>
      <w:r>
        <w:rPr>
          <w:rFonts w:ascii="仿宋" w:hAnsi="仿宋" w:eastAsia="仿宋"/>
          <w:spacing w:val="-2"/>
          <w:sz w:val="32"/>
          <w:szCs w:val="32"/>
        </w:rPr>
        <w:t>1.深化党建</w:t>
      </w:r>
      <w:r>
        <w:rPr>
          <w:rFonts w:hint="eastAsia" w:ascii="仿宋" w:hAnsi="仿宋" w:eastAsia="仿宋"/>
          <w:spacing w:val="-2"/>
          <w:sz w:val="32"/>
          <w:szCs w:val="32"/>
        </w:rPr>
        <w:t>、</w:t>
      </w:r>
      <w:r>
        <w:rPr>
          <w:rFonts w:ascii="仿宋" w:hAnsi="仿宋" w:eastAsia="仿宋"/>
          <w:spacing w:val="-2"/>
          <w:sz w:val="32"/>
          <w:szCs w:val="32"/>
        </w:rPr>
        <w:t>意识形态</w:t>
      </w:r>
      <w:r>
        <w:rPr>
          <w:rFonts w:hint="eastAsia" w:ascii="仿宋" w:hAnsi="仿宋" w:eastAsia="仿宋"/>
          <w:spacing w:val="-2"/>
          <w:sz w:val="32"/>
          <w:szCs w:val="32"/>
        </w:rPr>
        <w:t>工作</w:t>
      </w:r>
      <w:r>
        <w:rPr>
          <w:rFonts w:ascii="仿宋" w:hAnsi="仿宋" w:eastAsia="仿宋"/>
          <w:spacing w:val="-2"/>
          <w:sz w:val="32"/>
          <w:szCs w:val="32"/>
        </w:rPr>
        <w:t>。一是强化政治理论学习，继续深入学习习近平总书记新时代中国特色社会主义思想，学习党的十九届历次全会精神和《习近平谈治国理政》等重要理论知识，进一步提高政治站位；二是深化支部“五化建设”，做好党员积分管理制度，落细落实支委联系党员群众工作制度，定期开展谈心谈话；三是进一步加强党建阵地建设，完善支部会议室、党员学习活动室和党务宣传栏；四是进一步强化意识形态工作，加强意识形态宣传。</w:t>
      </w:r>
    </w:p>
    <w:p>
      <w:pPr>
        <w:spacing w:line="360" w:lineRule="auto"/>
        <w:ind w:firstLine="632" w:firstLineChars="200"/>
        <w:rPr>
          <w:rFonts w:ascii="仿宋" w:hAnsi="仿宋" w:eastAsia="仿宋"/>
          <w:spacing w:val="-2"/>
          <w:sz w:val="32"/>
          <w:szCs w:val="32"/>
        </w:rPr>
      </w:pPr>
      <w:r>
        <w:rPr>
          <w:rFonts w:ascii="仿宋" w:hAnsi="仿宋" w:eastAsia="仿宋"/>
          <w:spacing w:val="-2"/>
          <w:sz w:val="32"/>
          <w:szCs w:val="32"/>
        </w:rPr>
        <w:t>2. 着力四个强化，稳步推进党风廉政建设。强化思想政治建设，严肃党内政治生活，突出党员示范带头作用，进一步加强党员队伍和思想政治建设；强化党风廉政监督，加强重点岗位、重点环节、重点人员的监督，增强廉洁自律意识，杜绝侥幸心理，做到防微杜渐，守住底线；强化</w:t>
      </w:r>
      <w:r>
        <w:rPr>
          <w:rFonts w:hint="eastAsia" w:ascii="仿宋" w:hAnsi="仿宋" w:eastAsia="仿宋"/>
          <w:spacing w:val="-2"/>
          <w:sz w:val="32"/>
          <w:szCs w:val="32"/>
        </w:rPr>
        <w:t>干部</w:t>
      </w:r>
      <w:r>
        <w:rPr>
          <w:rFonts w:ascii="仿宋" w:hAnsi="仿宋" w:eastAsia="仿宋"/>
          <w:spacing w:val="-2"/>
          <w:sz w:val="32"/>
          <w:szCs w:val="32"/>
        </w:rPr>
        <w:t>职工队伍管理，严格工作纪律，加强普法教育和警示教育；强化提醒常态化，把廉政提醒谈话作为开展日常监督的有力抓手，动态掌握和分析研判党员干部职工思想、工作、作风和生活情况，对苗头性问题或轻微违纪行为，灵活运用廉政提醒谈话、通报批评、诚勉谈话等方式，早发现、早处置，防止“小过错”演变成“大问题”。</w:t>
      </w:r>
    </w:p>
    <w:p>
      <w:pPr>
        <w:spacing w:line="360" w:lineRule="auto"/>
        <w:ind w:firstLine="632" w:firstLineChars="200"/>
        <w:rPr>
          <w:rFonts w:ascii="仿宋" w:hAnsi="仿宋" w:eastAsia="仿宋"/>
          <w:spacing w:val="-2"/>
          <w:sz w:val="32"/>
          <w:szCs w:val="32"/>
        </w:rPr>
      </w:pPr>
      <w:r>
        <w:rPr>
          <w:rFonts w:ascii="仿宋" w:hAnsi="仿宋" w:eastAsia="仿宋"/>
          <w:spacing w:val="-2"/>
          <w:sz w:val="32"/>
          <w:szCs w:val="32"/>
        </w:rPr>
        <w:t>3. 严格责任落实，切实抓好疫情常态化防控。继续以疫情防控战时思想和措施做好疫情常态化管理工作，落实防控责任，加强对</w:t>
      </w:r>
      <w:r>
        <w:rPr>
          <w:rFonts w:hint="eastAsia" w:ascii="仿宋" w:hAnsi="仿宋" w:eastAsia="仿宋"/>
          <w:spacing w:val="-2"/>
          <w:sz w:val="32"/>
          <w:szCs w:val="32"/>
        </w:rPr>
        <w:t>全体</w:t>
      </w:r>
      <w:r>
        <w:rPr>
          <w:rFonts w:ascii="仿宋" w:hAnsi="仿宋" w:eastAsia="仿宋"/>
          <w:spacing w:val="-2"/>
          <w:sz w:val="32"/>
          <w:szCs w:val="32"/>
        </w:rPr>
        <w:t>人员体温测量</w:t>
      </w:r>
      <w:r>
        <w:rPr>
          <w:rFonts w:hint="eastAsia" w:ascii="仿宋" w:hAnsi="仿宋" w:eastAsia="仿宋"/>
          <w:spacing w:val="-2"/>
          <w:sz w:val="32"/>
          <w:szCs w:val="32"/>
        </w:rPr>
        <w:t>、</w:t>
      </w:r>
      <w:r>
        <w:rPr>
          <w:rFonts w:ascii="仿宋" w:hAnsi="仿宋" w:eastAsia="仿宋"/>
          <w:spacing w:val="-2"/>
          <w:sz w:val="32"/>
          <w:szCs w:val="32"/>
        </w:rPr>
        <w:t>行程经历等信息登记检查工作，做好日常防护工作，定期对公共环境消毒，做好防疫物资储备。</w:t>
      </w:r>
    </w:p>
    <w:p>
      <w:pPr>
        <w:spacing w:line="360" w:lineRule="auto"/>
        <w:ind w:firstLine="632" w:firstLineChars="200"/>
        <w:rPr>
          <w:rFonts w:ascii="仿宋" w:hAnsi="仿宋" w:eastAsia="仿宋"/>
          <w:spacing w:val="-2"/>
          <w:sz w:val="32"/>
          <w:szCs w:val="32"/>
        </w:rPr>
      </w:pPr>
      <w:r>
        <w:rPr>
          <w:rFonts w:ascii="仿宋" w:hAnsi="仿宋" w:eastAsia="仿宋"/>
          <w:spacing w:val="-2"/>
          <w:sz w:val="32"/>
          <w:szCs w:val="32"/>
        </w:rPr>
        <w:t>4.推进综合治理，全力维护和谐稳定。一是全力以赴抓安全。进一步完善安全</w:t>
      </w:r>
      <w:r>
        <w:rPr>
          <w:rFonts w:hint="eastAsia" w:ascii="仿宋" w:hAnsi="仿宋" w:eastAsia="仿宋"/>
          <w:spacing w:val="-2"/>
          <w:sz w:val="32"/>
          <w:szCs w:val="32"/>
        </w:rPr>
        <w:t>责任</w:t>
      </w:r>
      <w:r>
        <w:rPr>
          <w:rFonts w:ascii="仿宋" w:hAnsi="仿宋" w:eastAsia="仿宋"/>
          <w:spacing w:val="-2"/>
          <w:sz w:val="32"/>
          <w:szCs w:val="32"/>
        </w:rPr>
        <w:t>制度，加强</w:t>
      </w:r>
      <w:r>
        <w:rPr>
          <w:rFonts w:hint="eastAsia" w:ascii="仿宋" w:hAnsi="仿宋" w:eastAsia="仿宋"/>
          <w:spacing w:val="-2"/>
          <w:sz w:val="32"/>
          <w:szCs w:val="32"/>
        </w:rPr>
        <w:t>干部</w:t>
      </w:r>
      <w:r>
        <w:rPr>
          <w:rFonts w:ascii="仿宋" w:hAnsi="仿宋" w:eastAsia="仿宋"/>
          <w:spacing w:val="-2"/>
          <w:sz w:val="32"/>
          <w:szCs w:val="32"/>
        </w:rPr>
        <w:t>职工安全知识和技能培训，提高安全意识，提升处理初期问题的能力；加强对安全生产工作检查，加强隐患排查，落实问题整改。二是综治维稳保平安。持续做好禁毒教育和扫黑除恶工作，加大宣传教育力度，改进工作方法，建立健全管理制度，确保</w:t>
      </w:r>
      <w:r>
        <w:rPr>
          <w:rFonts w:hint="eastAsia" w:ascii="仿宋" w:hAnsi="仿宋" w:eastAsia="仿宋"/>
          <w:spacing w:val="-2"/>
          <w:sz w:val="32"/>
          <w:szCs w:val="32"/>
        </w:rPr>
        <w:t>人员</w:t>
      </w:r>
      <w:r>
        <w:rPr>
          <w:rFonts w:ascii="仿宋" w:hAnsi="仿宋" w:eastAsia="仿宋"/>
          <w:spacing w:val="-2"/>
          <w:sz w:val="32"/>
          <w:szCs w:val="32"/>
        </w:rPr>
        <w:t xml:space="preserve">平安。三是“三城同创”不放松。继续按照“三城同创”有关要求，做好环境卫生，垃圾分类等工作。 </w:t>
      </w:r>
    </w:p>
    <w:p>
      <w:pPr>
        <w:spacing w:line="360" w:lineRule="auto"/>
        <w:ind w:firstLine="632" w:firstLineChars="200"/>
        <w:rPr>
          <w:rFonts w:ascii="仿宋" w:hAnsi="仿宋" w:eastAsia="仿宋"/>
          <w:spacing w:val="-2"/>
          <w:sz w:val="32"/>
          <w:szCs w:val="32"/>
        </w:rPr>
      </w:pPr>
    </w:p>
    <w:p>
      <w:pPr>
        <w:spacing w:line="360" w:lineRule="auto"/>
        <w:ind w:firstLine="632" w:firstLineChars="200"/>
        <w:rPr>
          <w:rFonts w:hint="eastAsia" w:ascii="仿宋" w:hAnsi="仿宋" w:eastAsia="仿宋"/>
          <w:spacing w:val="-2"/>
          <w:sz w:val="32"/>
          <w:szCs w:val="32"/>
        </w:rPr>
      </w:pPr>
      <w:r>
        <w:rPr>
          <w:rFonts w:ascii="仿宋" w:hAnsi="仿宋" w:eastAsia="仿宋"/>
          <w:spacing w:val="-2"/>
          <w:sz w:val="32"/>
          <w:szCs w:val="32"/>
        </w:rPr>
        <w:t xml:space="preserve"> </w:t>
      </w:r>
    </w:p>
    <w:p>
      <w:pPr>
        <w:pStyle w:val="6"/>
        <w:spacing w:line="360" w:lineRule="auto"/>
        <w:ind w:firstLine="640" w:firstLineChars="200"/>
        <w:jc w:val="center"/>
        <w:rPr>
          <w:rFonts w:hint="eastAsia" w:ascii="仿宋" w:hAnsi="仿宋" w:eastAsia="仿宋"/>
          <w:color w:val="3D3D3D"/>
          <w:sz w:val="32"/>
          <w:szCs w:val="32"/>
          <w:shd w:val="clear" w:color="auto" w:fill="FFFFFF"/>
        </w:rPr>
      </w:pPr>
      <w:r>
        <w:rPr>
          <w:rFonts w:hint="eastAsia" w:ascii="仿宋" w:hAnsi="仿宋" w:eastAsia="仿宋"/>
          <w:color w:val="3D3D3D"/>
          <w:sz w:val="32"/>
          <w:szCs w:val="32"/>
          <w:shd w:val="clear" w:color="auto" w:fill="FFFFFF"/>
        </w:rPr>
        <w:t xml:space="preserve">                 </w:t>
      </w:r>
      <w:r>
        <w:rPr>
          <w:rFonts w:hint="eastAsia" w:ascii="仿宋" w:hAnsi="仿宋" w:eastAsia="仿宋"/>
          <w:color w:val="3D3D3D"/>
          <w:sz w:val="32"/>
          <w:szCs w:val="32"/>
          <w:shd w:val="clear" w:color="auto" w:fill="FFFFFF"/>
          <w:lang w:val="en-US" w:eastAsia="zh-CN"/>
        </w:rPr>
        <w:t xml:space="preserve">            </w:t>
      </w:r>
      <w:r>
        <w:rPr>
          <w:rFonts w:hint="eastAsia" w:ascii="仿宋" w:hAnsi="仿宋" w:eastAsia="仿宋"/>
          <w:color w:val="3D3D3D"/>
          <w:sz w:val="32"/>
          <w:szCs w:val="32"/>
          <w:shd w:val="clear" w:color="auto" w:fill="FFFFFF"/>
        </w:rPr>
        <w:t>怀化市劳动监察支队</w:t>
      </w:r>
    </w:p>
    <w:p>
      <w:pPr>
        <w:jc w:val="right"/>
      </w:pPr>
      <w:r>
        <w:rPr>
          <w:rFonts w:ascii="仿宋" w:hAnsi="仿宋" w:eastAsia="仿宋"/>
          <w:color w:val="3D3D3D"/>
          <w:sz w:val="32"/>
          <w:szCs w:val="32"/>
          <w:shd w:val="clear" w:color="auto" w:fill="FFFFFF"/>
        </w:rPr>
        <w:t>2022年</w:t>
      </w:r>
      <w:r>
        <w:rPr>
          <w:rFonts w:hint="eastAsia" w:ascii="仿宋" w:hAnsi="仿宋" w:eastAsia="仿宋"/>
          <w:color w:val="3D3D3D"/>
          <w:sz w:val="32"/>
          <w:szCs w:val="32"/>
          <w:shd w:val="clear" w:color="auto" w:fill="FFFFFF"/>
        </w:rPr>
        <w:t>8</w:t>
      </w:r>
      <w:r>
        <w:rPr>
          <w:rFonts w:ascii="仿宋" w:hAnsi="仿宋" w:eastAsia="仿宋"/>
          <w:color w:val="3D3D3D"/>
          <w:sz w:val="32"/>
          <w:szCs w:val="32"/>
          <w:shd w:val="clear" w:color="auto" w:fill="FFFFFF"/>
        </w:rPr>
        <w:t>月</w:t>
      </w:r>
      <w:r>
        <w:rPr>
          <w:rFonts w:hint="eastAsia" w:ascii="仿宋" w:hAnsi="仿宋" w:eastAsia="仿宋"/>
          <w:color w:val="3D3D3D"/>
          <w:sz w:val="32"/>
          <w:szCs w:val="32"/>
          <w:shd w:val="clear" w:color="auto" w:fill="FFFFFF"/>
        </w:rPr>
        <w:t>10</w:t>
      </w:r>
      <w:r>
        <w:rPr>
          <w:rFonts w:ascii="仿宋" w:hAnsi="仿宋" w:eastAsia="仿宋"/>
          <w:color w:val="3D3D3D"/>
          <w:sz w:val="32"/>
          <w:szCs w:val="32"/>
          <w:shd w:val="clear" w:color="auto" w:fill="FFFFFF"/>
        </w:rPr>
        <w:t>日</w:t>
      </w:r>
      <w:r>
        <w:rPr>
          <w:rFonts w:hint="eastAsia" w:ascii="仿宋" w:hAnsi="仿宋" w:eastAsia="仿宋"/>
          <w:color w:val="3D3D3D"/>
          <w:sz w:val="32"/>
          <w:szCs w:val="32"/>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YTRlZDM0MjA5ZmExODljOTA5Y2M5Njk5YTAwZjcifQ=="/>
  </w:docVars>
  <w:rsids>
    <w:rsidRoot w:val="00000000"/>
    <w:rsid w:val="3A4B7AB0"/>
    <w:rsid w:val="4633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3982</Words>
  <Characters>4205</Characters>
  <Lines>0</Lines>
  <Paragraphs>0</Paragraphs>
  <TotalTime>0</TotalTime>
  <ScaleCrop>false</ScaleCrop>
  <LinksUpToDate>false</LinksUpToDate>
  <CharactersWithSpaces>4239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2023-09-05T10:10:59Z</dcterms:created>
  <dc:creator>lecoo</dc:creator>
  <cp:lastModifiedBy>滚成一只团子_</cp:lastModifiedBy>
  <dcterms:modified xsi:type="dcterms:W3CDTF">2023-09-05T10:11:34Z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907E0C7155CA470798E1E4A291590170_12</vt:lpwstr>
  </property>
</Properties>
</file>