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48"/>
          <w:szCs w:val="48"/>
          <w:highlight w:val="none"/>
        </w:rPr>
      </w:pPr>
      <w:r>
        <w:rPr>
          <w:rFonts w:ascii="仿宋" w:hAnsi="仿宋" w:eastAsia="仿宋"/>
          <w:b/>
          <w:bCs/>
          <w:sz w:val="48"/>
          <w:szCs w:val="48"/>
          <w:highlight w:val="none"/>
        </w:rPr>
        <w:t>2021年度怀化市华中劳动保障站部门决算 </w:t>
      </w:r>
    </w:p>
    <w:p>
      <w:pPr>
        <w:rPr>
          <w:rFonts w:ascii="仿宋" w:hAnsi="仿宋" w:eastAsia="仿宋"/>
          <w:sz w:val="32"/>
          <w:szCs w:val="32"/>
          <w:highlight w:val="none"/>
        </w:rPr>
      </w:pPr>
      <w:r>
        <w:rPr>
          <w:rFonts w:ascii="仿宋" w:hAnsi="仿宋" w:eastAsia="仿宋"/>
          <w:sz w:val="32"/>
          <w:szCs w:val="32"/>
          <w:highlight w:val="none"/>
        </w:rPr>
        <w:t> </w:t>
      </w:r>
    </w:p>
    <w:p>
      <w:pPr>
        <w:jc w:val="center"/>
        <w:rPr>
          <w:rFonts w:ascii="黑体" w:hAnsi="黑体" w:eastAsia="黑体"/>
          <w:b/>
          <w:bCs/>
          <w:sz w:val="32"/>
          <w:szCs w:val="32"/>
          <w:highlight w:val="none"/>
        </w:rPr>
      </w:pPr>
      <w:r>
        <w:rPr>
          <w:rFonts w:hint="eastAsia" w:ascii="黑体" w:hAnsi="黑体" w:eastAsia="黑体"/>
          <w:b/>
          <w:bCs/>
          <w:sz w:val="32"/>
          <w:szCs w:val="32"/>
          <w:highlight w:val="none"/>
        </w:rPr>
        <w:t xml:space="preserve">目 </w:t>
      </w:r>
      <w:r>
        <w:rPr>
          <w:rFonts w:ascii="黑体" w:hAnsi="黑体" w:eastAsia="黑体"/>
          <w:b/>
          <w:bCs/>
          <w:sz w:val="32"/>
          <w:szCs w:val="32"/>
          <w:highlight w:val="none"/>
        </w:rPr>
        <w:t>录</w:t>
      </w:r>
    </w:p>
    <w:p>
      <w:pPr>
        <w:spacing w:line="60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第一部分 怀化市华中劳动保障站概况</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一、部门职责</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二、机构设置</w:t>
      </w:r>
    </w:p>
    <w:p>
      <w:pPr>
        <w:spacing w:line="60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 xml:space="preserve">第二部分 </w:t>
      </w:r>
      <w:r>
        <w:rPr>
          <w:rFonts w:ascii="黑体" w:hAnsi="黑体" w:eastAsia="黑体"/>
          <w:b/>
          <w:bCs/>
          <w:sz w:val="32"/>
          <w:szCs w:val="32"/>
          <w:highlight w:val="none"/>
        </w:rPr>
        <w:t>2021年度部门决算表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一、收入支出决算总表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二、收入决算表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三、支出决算表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四、财政拨款收入支出决算总表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五、一般公共预算财政拨款支出决算表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六、一般公共预算财政拨款基本支出决算明细表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七、一般公共预算财政拨款“三公”经费支出决算表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八、政府性基金预算财政拨款收入支出决算表</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九、国有资本经营预算财政拨款支出决算表</w:t>
      </w:r>
    </w:p>
    <w:p>
      <w:pPr>
        <w:spacing w:line="60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 xml:space="preserve">第三部分 </w:t>
      </w:r>
      <w:r>
        <w:rPr>
          <w:rFonts w:ascii="黑体" w:hAnsi="黑体" w:eastAsia="黑体"/>
          <w:b/>
          <w:bCs/>
          <w:sz w:val="32"/>
          <w:szCs w:val="32"/>
          <w:highlight w:val="none"/>
        </w:rPr>
        <w:t>2021年度部门决算情况说明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一、收入支出决算总体情况说明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二、收入决算情况说明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三、支出决算情况说明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四、财政拨款收入支出决算总体情况说明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五、一般公共预算财政拨款支出决算情况说明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六、一般公共预算财政拨款基本支出决算情况说明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七、一般公共预算财政拨款“三公”经费支出决算情况说明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八、政府性基金预算收入支出决算情况</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九、国有资本经营预算财政拨款支出决算情况说明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十、关于机关运行经费支出说明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十一、一般性支出情况说明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十二、关于政府采购支出说明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十三、关于国有资产占用情况说明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十四、关于</w:t>
      </w:r>
      <w:r>
        <w:rPr>
          <w:rFonts w:ascii="仿宋" w:hAnsi="仿宋" w:eastAsia="仿宋"/>
          <w:sz w:val="32"/>
          <w:szCs w:val="32"/>
          <w:highlight w:val="none"/>
        </w:rPr>
        <w:t>2021年度预算绩效情况的说明</w:t>
      </w:r>
    </w:p>
    <w:p>
      <w:pPr>
        <w:spacing w:line="60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第四部分 名词解释</w:t>
      </w:r>
    </w:p>
    <w:p>
      <w:pPr>
        <w:spacing w:line="600" w:lineRule="exact"/>
        <w:ind w:firstLine="643" w:firstLineChars="200"/>
        <w:rPr>
          <w:rFonts w:ascii="黑体" w:hAnsi="黑体" w:eastAsia="黑体"/>
          <w:b/>
          <w:bCs/>
          <w:sz w:val="32"/>
          <w:szCs w:val="32"/>
          <w:highlight w:val="none"/>
        </w:rPr>
      </w:pPr>
      <w:r>
        <w:rPr>
          <w:rFonts w:hint="eastAsia" w:ascii="黑体" w:hAnsi="黑体" w:eastAsia="黑体"/>
          <w:b/>
          <w:bCs/>
          <w:sz w:val="32"/>
          <w:szCs w:val="32"/>
          <w:highlight w:val="none"/>
        </w:rPr>
        <w:t>第五部分 附件</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  </w:t>
      </w:r>
    </w:p>
    <w:p>
      <w:pPr>
        <w:spacing w:line="600" w:lineRule="exact"/>
        <w:ind w:firstLine="883" w:firstLineChars="200"/>
        <w:jc w:val="center"/>
        <w:rPr>
          <w:rFonts w:ascii="黑体" w:hAnsi="黑体" w:eastAsia="黑体"/>
          <w:b/>
          <w:bCs/>
          <w:sz w:val="44"/>
          <w:szCs w:val="44"/>
          <w:highlight w:val="none"/>
        </w:rPr>
      </w:pPr>
      <w:r>
        <w:rPr>
          <w:rFonts w:hint="eastAsia" w:ascii="黑体" w:hAnsi="黑体" w:eastAsia="黑体"/>
          <w:b/>
          <w:bCs/>
          <w:sz w:val="44"/>
          <w:szCs w:val="44"/>
          <w:highlight w:val="none"/>
        </w:rPr>
        <w:t xml:space="preserve">第一部分 </w:t>
      </w:r>
      <w:r>
        <w:rPr>
          <w:rFonts w:ascii="黑体" w:hAnsi="黑体" w:eastAsia="黑体"/>
          <w:b/>
          <w:bCs/>
          <w:sz w:val="44"/>
          <w:szCs w:val="44"/>
          <w:highlight w:val="none"/>
        </w:rPr>
        <w:t>怀化市华中劳动保障站概况</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 </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一、部门职责</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主要是负责原华中水泥厂离退休、内养人员和下岗职工社会化管理工作及企业改制后有关遗留问题的处理。</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二、机构设置及决算单位构成</w:t>
      </w:r>
    </w:p>
    <w:p>
      <w:pPr>
        <w:spacing w:line="600" w:lineRule="exact"/>
        <w:ind w:firstLine="640" w:firstLineChars="200"/>
        <w:rPr>
          <w:rFonts w:ascii="仿宋" w:hAnsi="仿宋" w:eastAsia="仿宋"/>
          <w:sz w:val="32"/>
          <w:szCs w:val="32"/>
          <w:highlight w:val="none"/>
        </w:rPr>
      </w:pPr>
      <w:r>
        <w:rPr>
          <w:rFonts w:hint="eastAsia" w:ascii="仿宋" w:hAnsi="仿宋" w:eastAsia="仿宋"/>
          <w:b/>
          <w:bCs/>
          <w:sz w:val="32"/>
          <w:szCs w:val="32"/>
          <w:highlight w:val="none"/>
        </w:rPr>
        <w:t>（一）内设机构设置：</w:t>
      </w:r>
      <w:r>
        <w:rPr>
          <w:rFonts w:hint="eastAsia" w:ascii="仿宋" w:hAnsi="仿宋" w:eastAsia="仿宋"/>
          <w:sz w:val="32"/>
          <w:szCs w:val="32"/>
          <w:highlight w:val="none"/>
        </w:rPr>
        <w:t>怀化市华中劳动保障站作为怀化市人力资源和社会保障局的二级部门预算单位，因人员减少未设置科室。</w:t>
      </w:r>
    </w:p>
    <w:p>
      <w:pPr>
        <w:spacing w:line="600" w:lineRule="exact"/>
        <w:ind w:firstLine="640" w:firstLineChars="200"/>
        <w:rPr>
          <w:rFonts w:ascii="仿宋" w:hAnsi="仿宋" w:eastAsia="仿宋"/>
          <w:sz w:val="32"/>
          <w:szCs w:val="32"/>
          <w:highlight w:val="none"/>
        </w:rPr>
      </w:pPr>
      <w:r>
        <w:rPr>
          <w:rFonts w:hint="eastAsia" w:ascii="仿宋" w:hAnsi="仿宋" w:eastAsia="仿宋"/>
          <w:b/>
          <w:bCs/>
          <w:sz w:val="32"/>
          <w:szCs w:val="32"/>
          <w:highlight w:val="none"/>
        </w:rPr>
        <w:t>（二）决算单位构成：</w:t>
      </w:r>
      <w:r>
        <w:rPr>
          <w:rFonts w:hint="eastAsia" w:ascii="仿宋" w:hAnsi="仿宋" w:eastAsia="仿宋"/>
          <w:sz w:val="32"/>
          <w:szCs w:val="32"/>
          <w:highlight w:val="none"/>
        </w:rPr>
        <w:t>怀化市华中劳动保障站</w:t>
      </w:r>
      <w:r>
        <w:rPr>
          <w:rFonts w:ascii="仿宋" w:hAnsi="仿宋" w:eastAsia="仿宋"/>
          <w:sz w:val="32"/>
          <w:szCs w:val="32"/>
          <w:highlight w:val="none"/>
        </w:rPr>
        <w:t>202</w:t>
      </w:r>
      <w:r>
        <w:rPr>
          <w:rFonts w:hint="eastAsia" w:ascii="仿宋" w:hAnsi="仿宋" w:eastAsia="仿宋"/>
          <w:sz w:val="32"/>
          <w:szCs w:val="32"/>
          <w:highlight w:val="none"/>
          <w:lang w:val="en-US" w:eastAsia="zh-CN"/>
        </w:rPr>
        <w:t>1</w:t>
      </w:r>
      <w:r>
        <w:rPr>
          <w:rFonts w:ascii="仿宋" w:hAnsi="仿宋" w:eastAsia="仿宋"/>
          <w:sz w:val="32"/>
          <w:szCs w:val="32"/>
          <w:highlight w:val="none"/>
        </w:rPr>
        <w:t>年部门决算汇总公开单位构成包括：怀化市华中劳动保障站单位本级。</w:t>
      </w:r>
    </w:p>
    <w:p>
      <w:pPr>
        <w:spacing w:line="600" w:lineRule="exact"/>
        <w:ind w:firstLine="640" w:firstLineChars="200"/>
        <w:rPr>
          <w:rFonts w:hint="eastAsia" w:ascii="仿宋" w:hAnsi="仿宋" w:eastAsia="仿宋"/>
          <w:sz w:val="32"/>
          <w:szCs w:val="32"/>
          <w:highlight w:val="none"/>
        </w:rPr>
      </w:pPr>
    </w:p>
    <w:p>
      <w:pPr>
        <w:spacing w:line="600" w:lineRule="exact"/>
        <w:ind w:firstLine="883" w:firstLineChars="200"/>
        <w:jc w:val="center"/>
        <w:rPr>
          <w:rFonts w:ascii="黑体" w:hAnsi="黑体" w:eastAsia="黑体"/>
          <w:b/>
          <w:bCs/>
          <w:sz w:val="44"/>
          <w:szCs w:val="44"/>
          <w:highlight w:val="none"/>
        </w:rPr>
      </w:pPr>
      <w:r>
        <w:rPr>
          <w:rFonts w:hint="eastAsia" w:ascii="黑体" w:hAnsi="黑体" w:eastAsia="黑体"/>
          <w:b/>
          <w:bCs/>
          <w:sz w:val="44"/>
          <w:szCs w:val="44"/>
          <w:highlight w:val="none"/>
        </w:rPr>
        <w:t>第二部分部门决算表</w:t>
      </w:r>
    </w:p>
    <w:p>
      <w:pPr>
        <w:spacing w:line="600" w:lineRule="exact"/>
        <w:ind w:firstLine="640" w:firstLineChars="200"/>
        <w:jc w:val="center"/>
        <w:rPr>
          <w:rFonts w:ascii="仿宋" w:hAnsi="仿宋" w:eastAsia="仿宋"/>
          <w:sz w:val="32"/>
          <w:szCs w:val="32"/>
          <w:highlight w:val="none"/>
        </w:rPr>
      </w:pPr>
      <w:r>
        <w:rPr>
          <w:rFonts w:ascii="仿宋" w:hAnsi="仿宋" w:eastAsia="仿宋"/>
          <w:sz w:val="32"/>
          <w:szCs w:val="32"/>
          <w:highlight w:val="none"/>
        </w:rPr>
        <w:t> </w:t>
      </w:r>
      <w:r>
        <w:rPr>
          <w:rFonts w:hint="eastAsia" w:ascii="仿宋" w:hAnsi="仿宋" w:eastAsia="仿宋"/>
          <w:sz w:val="32"/>
          <w:szCs w:val="32"/>
          <w:highlight w:val="none"/>
        </w:rPr>
        <w:t>（详情</w:t>
      </w:r>
      <w:r>
        <w:rPr>
          <w:rFonts w:ascii="仿宋" w:hAnsi="仿宋" w:eastAsia="仿宋"/>
          <w:sz w:val="32"/>
          <w:szCs w:val="32"/>
          <w:highlight w:val="none"/>
        </w:rPr>
        <w:t>见附件</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highlight w:val="none"/>
        </w:rPr>
      </w:pPr>
    </w:p>
    <w:p>
      <w:pPr>
        <w:spacing w:line="600" w:lineRule="exact"/>
        <w:ind w:firstLine="883" w:firstLineChars="200"/>
        <w:jc w:val="center"/>
        <w:rPr>
          <w:rFonts w:ascii="黑体" w:hAnsi="黑体" w:eastAsia="黑体"/>
          <w:b/>
          <w:bCs/>
          <w:sz w:val="44"/>
          <w:szCs w:val="44"/>
          <w:highlight w:val="none"/>
        </w:rPr>
      </w:pPr>
      <w:r>
        <w:rPr>
          <w:rFonts w:hint="eastAsia" w:ascii="黑体" w:hAnsi="黑体" w:eastAsia="黑体"/>
          <w:b/>
          <w:bCs/>
          <w:sz w:val="44"/>
          <w:szCs w:val="44"/>
          <w:highlight w:val="none"/>
        </w:rPr>
        <w:t>第三部分</w:t>
      </w:r>
      <w:r>
        <w:rPr>
          <w:rFonts w:ascii="黑体" w:hAnsi="黑体" w:eastAsia="黑体"/>
          <w:b/>
          <w:bCs/>
          <w:sz w:val="44"/>
          <w:szCs w:val="44"/>
          <w:highlight w:val="none"/>
        </w:rPr>
        <w:t>2021年度部门决算情况说明</w:t>
      </w:r>
    </w:p>
    <w:p>
      <w:pPr>
        <w:spacing w:line="600" w:lineRule="exact"/>
        <w:ind w:firstLine="883" w:firstLineChars="200"/>
        <w:jc w:val="center"/>
        <w:rPr>
          <w:rFonts w:hint="eastAsia" w:ascii="黑体" w:hAnsi="黑体" w:eastAsia="黑体"/>
          <w:b/>
          <w:bCs/>
          <w:sz w:val="44"/>
          <w:szCs w:val="44"/>
          <w:highlight w:val="none"/>
        </w:rPr>
      </w:pP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一、收入支出决算总体情况说明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2021年度收、支总计</w:t>
      </w:r>
      <w:r>
        <w:rPr>
          <w:rFonts w:hint="eastAsia" w:ascii="仿宋" w:hAnsi="仿宋" w:eastAsia="仿宋"/>
          <w:sz w:val="32"/>
          <w:szCs w:val="32"/>
          <w:highlight w:val="none"/>
        </w:rPr>
        <w:t>各</w:t>
      </w:r>
      <w:r>
        <w:rPr>
          <w:rFonts w:ascii="仿宋" w:hAnsi="仿宋" w:eastAsia="仿宋"/>
          <w:sz w:val="32"/>
          <w:szCs w:val="32"/>
          <w:highlight w:val="none"/>
        </w:rPr>
        <w:t>46.43万元。与上年相比，减少1.39万元，减少3%，主要是因为减少了零就业人员工资及社保支出。</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二、收入决算情况说明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2021年度收入合计45.73万元，其中：财政拨款收入39.1万元，占85.5%；上级补助收入0万元，占0%；事业收入0万元，占0%；经营收入0万元，占0%；附属单位上缴收入0万元，占0%；其他收入6.63万元，占14.5%。</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三、支出决算情况说明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2021年度支出合计46.43万元，其中：基本支出46.43万元，占100%；项目支出0万元，占0%；上缴上级支出0万元，占0%；经营支出0万元，占0%；对附属单位补助支出0万元，占0%。</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四、财政拨款收入支出决算总体情况说明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   2021年度财政拨款收、支总计</w:t>
      </w:r>
      <w:r>
        <w:rPr>
          <w:rFonts w:hint="eastAsia" w:ascii="仿宋" w:hAnsi="仿宋" w:eastAsia="仿宋"/>
          <w:sz w:val="32"/>
          <w:szCs w:val="32"/>
          <w:highlight w:val="none"/>
        </w:rPr>
        <w:t>各</w:t>
      </w:r>
      <w:r>
        <w:rPr>
          <w:rFonts w:ascii="仿宋" w:hAnsi="仿宋" w:eastAsia="仿宋"/>
          <w:sz w:val="32"/>
          <w:szCs w:val="32"/>
          <w:highlight w:val="none"/>
        </w:rPr>
        <w:t>39.1万元，与上年相比，减少2.87万元,减少7.34%，主要是因为减少了零就业人员工资及社保支出。</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五、一般公共预算财政拨款支出决算情况说明</w:t>
      </w:r>
    </w:p>
    <w:p>
      <w:pPr>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highlight w:val="none"/>
        </w:rPr>
        <w:t>（一）财政拨款支出决算总体情况</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2021年度财政拨款支出39.1万元，占本年支出合计的84.21%，与上年相比，财政拨款支出减少2.85万元，减少7.3%，主要是因为减少了零就业人员工资及社保支出。</w:t>
      </w:r>
    </w:p>
    <w:p>
      <w:pPr>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highlight w:val="none"/>
        </w:rPr>
        <w:t>（二）财政拨款支出决算结构情况</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2021年度财政拨款支出39.1万元，主要用于以下方面：一般公共服务（类）支出2万元，占5.12%；社会保障和就业（类）支出35.78万元，占91.51%；卫生健康（类）支出1.32万元，占3.37%。</w:t>
      </w:r>
    </w:p>
    <w:p>
      <w:pPr>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highlight w:val="none"/>
        </w:rPr>
        <w:t>（三）财政拨款支出决算具体情况</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2021年度财政拨款支出年初预算数为19.8万元，支出决算数为39.1万元，完成年初预算的197%，其中：</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1、一般公共服务支出（类）其他一般公共服务支出（款）其他一般公共服务支出（项）</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年初预算为0万元，支出决算为2万元，决算数大于年初预算数的主要原因为年初没有预算，2021年追加预算。</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2、社会保障和就业支出（类）人力资源和社会保障管理事务（款）其他人力资源和社会保障管理事务支出（项）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0万元，支出决算为21.51万元，决算数大于年初预算数的主要原因</w:t>
      </w:r>
      <w:r>
        <w:rPr>
          <w:rFonts w:hint="eastAsia" w:ascii="仿宋" w:hAnsi="仿宋" w:eastAsia="仿宋"/>
          <w:sz w:val="32"/>
          <w:szCs w:val="32"/>
          <w:highlight w:val="none"/>
        </w:rPr>
        <w:t>为</w:t>
      </w:r>
      <w:r>
        <w:rPr>
          <w:rFonts w:ascii="仿宋" w:hAnsi="仿宋" w:eastAsia="仿宋"/>
          <w:sz w:val="32"/>
          <w:szCs w:val="32"/>
          <w:highlight w:val="none"/>
        </w:rPr>
        <w:t>从离退休人员管理机构科目调整到本科目，用于支付原企业零就业人员、退养人员工资、社保等支出。</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3、社会保障和就业支出（类）行政事业单位养老支出（款）事业单位离退休（项）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0万元，支出决算为2.04万元，决算数大于年初预算数的主要原因为财政追加预算，用于发放离退休人员一次性生活补助。</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4、社会保障和就业支出（类）行政事业单位离退休（款）离退休人员管理机构（项）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19.8万元，支出决算为2.93万元，决算完成预算的14.8%，决算数小于年初预算数的主要原因为该预算有部分调整到其他科目支出。</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5、社会保障和就业支出（类）行政事业单位养老支出（款）机关事业单位基本养老保险缴费支出（项）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0，支出决算为2.63万元，决算数大于年初预算数的主要原因为年初未做该项目预算，用于事业单位养老保险缴费支出。</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6、社会保障和就业支出（类）其他社会保障和就业支出（款）其他社会保障和就业支出（项）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0，支出决算为1.67万元，决算数大于年初预算数的主要原因为年中追加预算。</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7、社会保障和就业支出（类）其他社会保障和就业支出（款）其他社会保障和就业支出（项）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0，支出决算为5万元，决算数大于年初预算数的主要原因为年中追加预算。</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8、卫生健康支出（类）行政事业单位医疗（款）事业单位医疗（项）</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年初预算为</w:t>
      </w:r>
      <w:r>
        <w:rPr>
          <w:rFonts w:ascii="仿宋" w:hAnsi="仿宋" w:eastAsia="仿宋"/>
          <w:sz w:val="32"/>
          <w:szCs w:val="32"/>
          <w:highlight w:val="none"/>
        </w:rPr>
        <w:t>0，支出决算为1.3万元，决算数大于年初预算数的主要原因为事业单位医疗费。</w:t>
      </w:r>
    </w:p>
    <w:p>
      <w:pPr>
        <w:spacing w:line="600" w:lineRule="exact"/>
        <w:ind w:firstLine="640" w:firstLineChars="200"/>
        <w:rPr>
          <w:rFonts w:ascii="仿宋" w:hAnsi="仿宋" w:eastAsia="仿宋"/>
          <w:b/>
          <w:bCs/>
          <w:sz w:val="32"/>
          <w:szCs w:val="32"/>
          <w:highlight w:val="none"/>
        </w:rPr>
      </w:pPr>
      <w:r>
        <w:rPr>
          <w:rFonts w:ascii="仿宋" w:hAnsi="仿宋" w:eastAsia="仿宋"/>
          <w:b/>
          <w:bCs/>
          <w:sz w:val="32"/>
          <w:szCs w:val="32"/>
          <w:highlight w:val="none"/>
        </w:rPr>
        <w:t>9、卫生健康支出（类）行政事业单位医疗（款）其他行政事业单位医疗支出（项）</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 年初预算为0，支出决算为0.02万元，决算数大于年初预算数的主要原因为有部分从其他科目调整到这科目。</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六、一般公共预算财政拨款基本支出决算情况说明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财政拨款基本支出39.1万元，其中：人员经费30.9万元，占基本支出的79%,主要包括基本工资、津贴补贴、奖金、机关事业单位基本养老保险缴费、其他社会保障缴费、其他工资福利支出、生活补助、其他对个人和家庭补助支出；公用经费8.19万元，占基本支出的21%，主要包括办公费、手续费、差旅费、维修费、公务接待费、工会经费、福利费、其他交通费用、其他商品和服务支出。</w:t>
      </w:r>
    </w:p>
    <w:p>
      <w:pPr>
        <w:spacing w:line="600" w:lineRule="exact"/>
        <w:ind w:firstLine="640" w:firstLineChars="200"/>
        <w:rPr>
          <w:rFonts w:ascii="黑体" w:hAnsi="黑体" w:eastAsia="黑体"/>
          <w:sz w:val="32"/>
          <w:szCs w:val="32"/>
          <w:highlight w:val="none"/>
        </w:rPr>
      </w:pPr>
      <w:r>
        <w:rPr>
          <w:rFonts w:ascii="黑体" w:hAnsi="黑体" w:eastAsia="黑体"/>
          <w:sz w:val="32"/>
          <w:szCs w:val="32"/>
          <w:highlight w:val="none"/>
        </w:rPr>
        <w:t>七、一般公共预算财政拨款“三公”经费支出决算情况说明</w:t>
      </w:r>
    </w:p>
    <w:p>
      <w:pPr>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highlight w:val="none"/>
        </w:rPr>
        <w:t>（一）“三公”经费财政拨款支出决算总体情况说明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2021年度“三公”经费财政拨款支出预算为0.95万元，支出决算为0.6万元，完成预算的63.16%，其中：</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1、因公出国（境）费支出预算控制数为0万元，支出决算为0万元，</w:t>
      </w:r>
      <w:r>
        <w:rPr>
          <w:rFonts w:hint="eastAsia" w:ascii="仿宋" w:hAnsi="仿宋" w:eastAsia="仿宋" w:cs="仿宋"/>
          <w:color w:val="000000"/>
          <w:sz w:val="32"/>
          <w:szCs w:val="32"/>
          <w:highlight w:val="none"/>
        </w:rPr>
        <w:t>决算数与年初预算数持平，主要原因按预算执行，与上年数持平，主要原因本年度未安排因公出国（境）</w:t>
      </w:r>
      <w:r>
        <w:rPr>
          <w:rFonts w:hint="eastAsia" w:ascii="仿宋" w:hAnsi="仿宋" w:eastAsia="仿宋"/>
          <w:color w:val="000000"/>
          <w:sz w:val="32"/>
          <w:szCs w:val="32"/>
          <w:highlight w:val="none"/>
        </w:rPr>
        <w:t>。</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、公务接待费支出预算为</w:t>
      </w:r>
      <w:r>
        <w:rPr>
          <w:rFonts w:ascii="仿宋" w:hAnsi="仿宋" w:eastAsia="仿宋"/>
          <w:sz w:val="32"/>
          <w:szCs w:val="32"/>
          <w:highlight w:val="none"/>
        </w:rPr>
        <w:t>0.95万元，支出决算为0.6万元，完成预算的63.16%，决算数小于预算数的主要原因是减少了招待费支出，与上年相比减少0.39万元，减少65%,减少的主要原因是减少了招待费支出。</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3、公务用车购置费及运行维护费支出预算为</w:t>
      </w:r>
      <w:r>
        <w:rPr>
          <w:rFonts w:ascii="仿宋" w:hAnsi="仿宋" w:eastAsia="仿宋"/>
          <w:sz w:val="32"/>
          <w:szCs w:val="32"/>
          <w:highlight w:val="none"/>
        </w:rPr>
        <w:t>0万元，支出决算为0万元</w:t>
      </w:r>
      <w:r>
        <w:rPr>
          <w:rFonts w:hint="eastAsia" w:ascii="仿宋" w:hAnsi="仿宋" w:eastAsia="仿宋"/>
          <w:sz w:val="32"/>
          <w:szCs w:val="32"/>
          <w:highlight w:val="none"/>
        </w:rPr>
        <w:t>，</w:t>
      </w:r>
      <w:r>
        <w:rPr>
          <w:rFonts w:hint="eastAsia" w:ascii="仿宋" w:hAnsi="仿宋" w:eastAsia="仿宋" w:cs="仿宋"/>
          <w:color w:val="000000"/>
          <w:sz w:val="32"/>
          <w:szCs w:val="32"/>
          <w:highlight w:val="none"/>
        </w:rPr>
        <w:t>决算数与年初预算数持平主要原因按预算执行，与上年数持平，主要原因是厉行节约，减少开支</w:t>
      </w:r>
      <w:r>
        <w:rPr>
          <w:rFonts w:ascii="仿宋" w:hAnsi="仿宋" w:eastAsia="仿宋"/>
          <w:sz w:val="32"/>
          <w:szCs w:val="32"/>
          <w:highlight w:val="none"/>
        </w:rPr>
        <w:t>。</w:t>
      </w:r>
    </w:p>
    <w:p>
      <w:pPr>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highlight w:val="none"/>
        </w:rPr>
        <w:t>（二）“三公”经费财政拨款支出决算具体情况说明</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2021年度“三公”经费财政拨款支出决算中，公务接待费支出决算0.6万元，占100%,因公出国（境）费支出决算0万元，占0%,公务用车购置费及运行维护费支出决算0万元，占0%。其中：</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1、因公出国（境）费支出决算为0万元，全年安排因公出国（境）团组0个，累计0人次。</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2、公务接待费预算支出为0.95万元，公务接待费支出决算为0.6万元，主要是2020年减少了接待支出。全年共接待来访团组0个、来宾43人次，主要是退休人员来访发生的接待支出。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firstLineChars="200"/>
        <w:jc w:val="left"/>
        <w:textAlignment w:val="auto"/>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cs="仿宋"/>
          <w:i w:val="0"/>
          <w:iCs w:val="0"/>
          <w:caps w:val="0"/>
          <w:color w:val="auto"/>
          <w:spacing w:val="0"/>
          <w:sz w:val="32"/>
          <w:szCs w:val="32"/>
          <w:highlight w:val="none"/>
          <w:shd w:val="clear" w:color="auto" w:fill="FFFFFF"/>
        </w:rPr>
        <w:t>公务用车购置费及运行维护费支出决算为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万元，其中：公务用车购置费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辆。公务用车运行维护费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万元，截止202</w:t>
      </w:r>
      <w:r>
        <w:rPr>
          <w:rFonts w:hint="eastAsia" w:ascii="仿宋" w:hAnsi="仿宋" w:eastAsia="仿宋" w:cs="仿宋"/>
          <w:i w:val="0"/>
          <w:iCs w:val="0"/>
          <w:caps w:val="0"/>
          <w:color w:val="auto"/>
          <w:spacing w:val="0"/>
          <w:sz w:val="32"/>
          <w:szCs w:val="32"/>
          <w:highlight w:val="none"/>
          <w:shd w:val="clear" w:color="auto" w:fill="FFFFFF"/>
          <w:lang w:val="en-US" w:eastAsia="zh-CN"/>
        </w:rPr>
        <w:t>1</w:t>
      </w:r>
      <w:r>
        <w:rPr>
          <w:rFonts w:hint="eastAsia" w:ascii="仿宋" w:hAnsi="仿宋" w:eastAsia="仿宋" w:cs="仿宋"/>
          <w:i w:val="0"/>
          <w:iCs w:val="0"/>
          <w:caps w:val="0"/>
          <w:color w:val="auto"/>
          <w:spacing w:val="0"/>
          <w:sz w:val="32"/>
          <w:szCs w:val="32"/>
          <w:highlight w:val="none"/>
          <w:shd w:val="clear" w:color="auto" w:fill="FFFFFF"/>
        </w:rPr>
        <w:t>年12月31日，我单位开支财政拨款的公务用车保有量为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i w:val="0"/>
          <w:iCs w:val="0"/>
          <w:caps w:val="0"/>
          <w:color w:val="auto"/>
          <w:spacing w:val="0"/>
          <w:sz w:val="32"/>
          <w:szCs w:val="32"/>
          <w:highlight w:val="none"/>
          <w:shd w:val="clear" w:color="auto" w:fill="FFFFFF"/>
          <w:lang w:eastAsia="zh-CN"/>
        </w:rPr>
        <w:t>。</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八、政府性基金预算收入支出决算情况</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本单位无政府性基金预算</w:t>
      </w:r>
      <w:r>
        <w:rPr>
          <w:rFonts w:hint="eastAsia" w:ascii="仿宋" w:hAnsi="仿宋" w:eastAsia="仿宋"/>
          <w:sz w:val="32"/>
          <w:szCs w:val="32"/>
          <w:highlight w:val="none"/>
          <w:lang w:eastAsia="zh-CN"/>
        </w:rPr>
        <w:t>收入支出</w:t>
      </w:r>
      <w:r>
        <w:rPr>
          <w:rFonts w:hint="eastAsia" w:ascii="仿宋" w:hAnsi="仿宋" w:eastAsia="仿宋"/>
          <w:sz w:val="32"/>
          <w:szCs w:val="32"/>
          <w:highlight w:val="none"/>
        </w:rPr>
        <w:t>。</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九、国有资本经营预算</w:t>
      </w:r>
      <w:r>
        <w:rPr>
          <w:rFonts w:hint="eastAsia" w:ascii="黑体" w:hAnsi="黑体" w:eastAsia="黑体"/>
          <w:sz w:val="32"/>
          <w:szCs w:val="32"/>
          <w:highlight w:val="none"/>
          <w:lang w:eastAsia="zh-CN"/>
        </w:rPr>
        <w:t>收入支出</w:t>
      </w:r>
      <w:r>
        <w:rPr>
          <w:rFonts w:hint="eastAsia" w:ascii="黑体" w:hAnsi="黑体" w:eastAsia="黑体"/>
          <w:sz w:val="32"/>
          <w:szCs w:val="32"/>
          <w:highlight w:val="none"/>
        </w:rPr>
        <w:t>决算情况说明</w:t>
      </w:r>
    </w:p>
    <w:p>
      <w:pPr>
        <w:spacing w:line="60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本单位无国有资本经营预算</w:t>
      </w:r>
      <w:r>
        <w:rPr>
          <w:rFonts w:hint="eastAsia" w:ascii="仿宋" w:hAnsi="仿宋" w:eastAsia="仿宋"/>
          <w:sz w:val="32"/>
          <w:szCs w:val="32"/>
          <w:highlight w:val="none"/>
          <w:lang w:eastAsia="zh-CN"/>
        </w:rPr>
        <w:t>收入支出。</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十、机关运行经费支出说明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本单位为事业单位，无机关运行经费支出。</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十一、一般性支出情况说明</w:t>
      </w:r>
    </w:p>
    <w:p>
      <w:pPr>
        <w:spacing w:line="600" w:lineRule="exact"/>
        <w:ind w:firstLine="640" w:firstLineChars="200"/>
        <w:rPr>
          <w:rFonts w:hint="eastAsia" w:ascii="仿宋" w:hAnsi="仿宋" w:eastAsia="仿宋"/>
          <w:sz w:val="32"/>
          <w:szCs w:val="32"/>
          <w:highlight w:val="none"/>
        </w:rPr>
      </w:pPr>
      <w:r>
        <w:rPr>
          <w:rFonts w:ascii="仿宋" w:hAnsi="仿宋" w:eastAsia="仿宋"/>
          <w:sz w:val="32"/>
          <w:szCs w:val="32"/>
          <w:highlight w:val="none"/>
        </w:rPr>
        <w:t>2021年本部门开支会议费0万元，本部门202</w:t>
      </w:r>
      <w:r>
        <w:rPr>
          <w:rFonts w:hint="eastAsia" w:ascii="仿宋" w:hAnsi="仿宋" w:eastAsia="仿宋"/>
          <w:sz w:val="32"/>
          <w:szCs w:val="32"/>
          <w:highlight w:val="none"/>
          <w:lang w:val="en-US" w:eastAsia="zh-CN"/>
        </w:rPr>
        <w:t>1</w:t>
      </w:r>
      <w:r>
        <w:rPr>
          <w:rFonts w:ascii="仿宋" w:hAnsi="仿宋" w:eastAsia="仿宋"/>
          <w:sz w:val="32"/>
          <w:szCs w:val="32"/>
          <w:highlight w:val="none"/>
        </w:rPr>
        <w:t>年未召开会议</w:t>
      </w:r>
      <w:r>
        <w:rPr>
          <w:rFonts w:hint="eastAsia" w:ascii="仿宋" w:hAnsi="仿宋" w:eastAsia="仿宋"/>
          <w:sz w:val="32"/>
          <w:szCs w:val="32"/>
          <w:highlight w:val="none"/>
        </w:rPr>
        <w:t>；培训费0万元，本部门2</w:t>
      </w:r>
      <w:r>
        <w:rPr>
          <w:rFonts w:ascii="仿宋" w:hAnsi="仿宋" w:eastAsia="仿宋"/>
          <w:sz w:val="32"/>
          <w:szCs w:val="32"/>
          <w:highlight w:val="none"/>
        </w:rPr>
        <w:t>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未展开培训；2</w:t>
      </w:r>
      <w:r>
        <w:rPr>
          <w:rFonts w:ascii="仿宋" w:hAnsi="仿宋" w:eastAsia="仿宋"/>
          <w:sz w:val="32"/>
          <w:szCs w:val="32"/>
          <w:highlight w:val="none"/>
        </w:rPr>
        <w:t>021</w:t>
      </w:r>
      <w:r>
        <w:rPr>
          <w:rFonts w:hint="eastAsia" w:ascii="仿宋" w:hAnsi="仿宋" w:eastAsia="仿宋"/>
          <w:sz w:val="32"/>
          <w:szCs w:val="32"/>
          <w:highlight w:val="none"/>
        </w:rPr>
        <w:t>年未举办</w:t>
      </w:r>
      <w:r>
        <w:rPr>
          <w:rFonts w:hint="eastAsia" w:ascii="仿宋" w:hAnsi="仿宋" w:eastAsia="仿宋" w:cs="仿宋"/>
          <w:kern w:val="0"/>
          <w:sz w:val="32"/>
          <w:szCs w:val="32"/>
          <w:highlight w:val="none"/>
        </w:rPr>
        <w:t>节庆、晚会、论坛、赛事等活动</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十二、政府采购支出说明</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十三、国有资产占用情况说明</w:t>
      </w:r>
    </w:p>
    <w:p>
      <w:pPr>
        <w:spacing w:line="600" w:lineRule="exact"/>
        <w:ind w:firstLine="640" w:firstLineChars="200"/>
        <w:rPr>
          <w:rFonts w:ascii="仿宋" w:hAnsi="仿宋" w:eastAsia="仿宋"/>
          <w:color w:val="000000"/>
          <w:sz w:val="32"/>
          <w:szCs w:val="32"/>
          <w:highlight w:val="none"/>
        </w:rPr>
      </w:pPr>
      <w:r>
        <w:rPr>
          <w:rFonts w:hint="eastAsia" w:ascii="仿宋" w:hAnsi="仿宋" w:eastAsia="仿宋"/>
          <w:color w:val="000000"/>
          <w:sz w:val="32"/>
          <w:szCs w:val="32"/>
          <w:highlight w:val="none"/>
        </w:rPr>
        <w:t>截至2021年12月31日，本单位共有车辆0辆，其中，主要领导干部用车0辆，机要通信用车0辆、应急保障用车0辆、执法执勤用车0辆、特种专业技术用车0辆、其他用车2辆，其他用车主要是后扶维稳工作；单位价值50万元以上通用设备0台（套）；单位价值100万元以上专用设备0台（套）。</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十四、</w:t>
      </w:r>
      <w:r>
        <w:rPr>
          <w:rFonts w:ascii="黑体" w:hAnsi="黑体" w:eastAsia="黑体"/>
          <w:sz w:val="32"/>
          <w:szCs w:val="32"/>
          <w:highlight w:val="none"/>
        </w:rPr>
        <w:t>2021年度预算绩效情况说明</w:t>
      </w:r>
    </w:p>
    <w:p>
      <w:pPr>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highlight w:val="none"/>
        </w:rPr>
        <w:t>（</w:t>
      </w:r>
      <w:r>
        <w:rPr>
          <w:rFonts w:ascii="仿宋" w:hAnsi="仿宋" w:eastAsia="仿宋"/>
          <w:b/>
          <w:bCs/>
          <w:sz w:val="32"/>
          <w:szCs w:val="32"/>
          <w:highlight w:val="none"/>
        </w:rPr>
        <w:t>1）绩效管理评价工作开展情况。</w:t>
      </w:r>
    </w:p>
    <w:p>
      <w:pPr>
        <w:spacing w:line="60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根据预算绩效管理要求，我部门组织对</w:t>
      </w:r>
      <w:r>
        <w:rPr>
          <w:rFonts w:ascii="仿宋" w:hAnsi="仿宋" w:eastAsia="仿宋"/>
          <w:sz w:val="32"/>
          <w:szCs w:val="32"/>
          <w:highlight w:val="none"/>
        </w:rPr>
        <w:t>2021年度一般公共预算项目支出全面开展绩效自评</w:t>
      </w:r>
      <w:r>
        <w:rPr>
          <w:rFonts w:hint="eastAsia" w:ascii="仿宋" w:hAnsi="仿宋" w:eastAsia="仿宋"/>
          <w:sz w:val="32"/>
          <w:szCs w:val="32"/>
          <w:highlight w:val="none"/>
          <w:lang w:eastAsia="zh-CN"/>
        </w:rPr>
        <w:t>（自评报告附后）。</w:t>
      </w:r>
    </w:p>
    <w:p>
      <w:pPr>
        <w:spacing w:line="600" w:lineRule="exact"/>
        <w:ind w:firstLine="640" w:firstLineChars="200"/>
        <w:rPr>
          <w:rFonts w:ascii="仿宋" w:hAnsi="仿宋" w:eastAsia="仿宋"/>
          <w:sz w:val="32"/>
          <w:szCs w:val="32"/>
          <w:highlight w:val="none"/>
        </w:rPr>
      </w:pPr>
      <w:r>
        <w:rPr>
          <w:rFonts w:hint="eastAsia" w:ascii="仿宋" w:hAnsi="仿宋" w:eastAsia="仿宋"/>
          <w:b/>
          <w:bCs/>
          <w:sz w:val="32"/>
          <w:szCs w:val="32"/>
          <w:highlight w:val="none"/>
        </w:rPr>
        <w:t>（</w:t>
      </w:r>
      <w:r>
        <w:rPr>
          <w:rFonts w:ascii="仿宋" w:hAnsi="仿宋" w:eastAsia="仿宋"/>
          <w:b/>
          <w:bCs/>
          <w:sz w:val="32"/>
          <w:szCs w:val="32"/>
          <w:highlight w:val="none"/>
        </w:rPr>
        <w:t>2）部门决算中项目绩效自评结果。</w:t>
      </w:r>
    </w:p>
    <w:p>
      <w:pPr>
        <w:spacing w:line="600" w:lineRule="exact"/>
        <w:ind w:firstLine="640" w:firstLineChars="200"/>
        <w:rPr>
          <w:rFonts w:ascii="仿宋" w:hAnsi="仿宋" w:eastAsia="仿宋"/>
          <w:b/>
          <w:bCs/>
          <w:sz w:val="32"/>
          <w:szCs w:val="32"/>
          <w:highlight w:val="none"/>
        </w:rPr>
      </w:pPr>
      <w:r>
        <w:rPr>
          <w:rFonts w:ascii="仿宋" w:hAnsi="仿宋" w:eastAsia="仿宋"/>
          <w:sz w:val="32"/>
          <w:szCs w:val="32"/>
          <w:highlight w:val="none"/>
        </w:rPr>
        <w:t>2021年</w:t>
      </w:r>
      <w:r>
        <w:rPr>
          <w:rFonts w:hint="eastAsia" w:ascii="仿宋" w:hAnsi="仿宋" w:eastAsia="仿宋"/>
          <w:sz w:val="32"/>
          <w:szCs w:val="32"/>
          <w:highlight w:val="none"/>
        </w:rPr>
        <w:t>本</w:t>
      </w:r>
      <w:r>
        <w:rPr>
          <w:rFonts w:hint="eastAsia" w:ascii="仿宋" w:hAnsi="仿宋" w:eastAsia="仿宋"/>
          <w:sz w:val="32"/>
          <w:szCs w:val="32"/>
          <w:highlight w:val="none"/>
          <w:lang w:val="en-US" w:eastAsia="zh-CN"/>
        </w:rPr>
        <w:t>部门</w:t>
      </w:r>
      <w:r>
        <w:rPr>
          <w:rFonts w:hint="eastAsia" w:ascii="仿宋" w:hAnsi="仿宋" w:eastAsia="仿宋"/>
          <w:sz w:val="32"/>
          <w:szCs w:val="32"/>
          <w:highlight w:val="none"/>
        </w:rPr>
        <w:t>无重点项目，因此无重点项目绩效报告。</w:t>
      </w:r>
    </w:p>
    <w:p>
      <w:pPr>
        <w:spacing w:line="600" w:lineRule="exact"/>
        <w:ind w:firstLine="640" w:firstLineChars="200"/>
        <w:rPr>
          <w:rFonts w:ascii="仿宋" w:hAnsi="仿宋" w:eastAsia="仿宋"/>
          <w:sz w:val="32"/>
          <w:szCs w:val="32"/>
          <w:highlight w:val="none"/>
        </w:rPr>
      </w:pPr>
      <w:r>
        <w:rPr>
          <w:rFonts w:ascii="仿宋" w:hAnsi="仿宋" w:eastAsia="仿宋"/>
          <w:sz w:val="32"/>
          <w:szCs w:val="32"/>
          <w:highlight w:val="none"/>
        </w:rPr>
        <w:t> </w:t>
      </w:r>
    </w:p>
    <w:p>
      <w:pPr>
        <w:spacing w:line="600" w:lineRule="exact"/>
        <w:ind w:firstLine="2560" w:firstLineChars="800"/>
        <w:rPr>
          <w:rFonts w:ascii="黑体" w:hAnsi="黑体" w:eastAsia="黑体"/>
          <w:sz w:val="32"/>
          <w:szCs w:val="32"/>
          <w:highlight w:val="none"/>
        </w:rPr>
      </w:pPr>
      <w:r>
        <w:rPr>
          <w:rFonts w:hint="eastAsia" w:ascii="黑体" w:hAnsi="黑体" w:eastAsia="黑体"/>
          <w:sz w:val="32"/>
          <w:szCs w:val="32"/>
          <w:highlight w:val="none"/>
        </w:rPr>
        <w:t>第四部分名词解释</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一、机关运行经费：为保障行政单位（包括参照公务员法管理的事业单位）运行，用一般公共预算拨款安排，用于购买货物和服务的各项资金，包括办公费、印刷费、邮电费、差旅费、会议费、福利费、日常维修费、办公用房水电费、办公用房取暖费、办公用房物业管理费、公务用车运行维护费、车补以及其他费用，即为行政单位和参照公务员法管理事业单位一般公共预算财政拨款基本支出中的公用经费支出。</w:t>
      </w:r>
    </w:p>
    <w:p>
      <w:pPr>
        <w:spacing w:line="6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40" w:firstLineChars="200"/>
        <w:rPr>
          <w:rFonts w:ascii="仿宋" w:hAnsi="仿宋" w:eastAsia="仿宋"/>
          <w:sz w:val="32"/>
          <w:szCs w:val="32"/>
          <w:highlight w:val="none"/>
        </w:rPr>
      </w:pPr>
    </w:p>
    <w:p>
      <w:pPr>
        <w:spacing w:line="600" w:lineRule="exact"/>
        <w:ind w:firstLine="883" w:firstLineChars="200"/>
        <w:jc w:val="center"/>
        <w:rPr>
          <w:rFonts w:ascii="黑体" w:hAnsi="黑体" w:eastAsia="黑体"/>
          <w:b/>
          <w:bCs/>
          <w:sz w:val="44"/>
          <w:szCs w:val="44"/>
          <w:highlight w:val="none"/>
        </w:rPr>
      </w:pPr>
      <w:r>
        <w:rPr>
          <w:rFonts w:hint="eastAsia" w:ascii="黑体" w:hAnsi="黑体" w:eastAsia="黑体"/>
          <w:b/>
          <w:bCs/>
          <w:sz w:val="44"/>
          <w:szCs w:val="44"/>
          <w:highlight w:val="none"/>
        </w:rPr>
        <w:t>第五部分</w:t>
      </w:r>
      <w:r>
        <w:rPr>
          <w:rFonts w:ascii="黑体" w:hAnsi="黑体" w:eastAsia="黑体"/>
          <w:b/>
          <w:bCs/>
          <w:sz w:val="44"/>
          <w:szCs w:val="44"/>
          <w:highlight w:val="none"/>
        </w:rPr>
        <w:t>附件</w:t>
      </w:r>
    </w:p>
    <w:p>
      <w:pPr>
        <w:spacing w:line="600" w:lineRule="exact"/>
        <w:ind w:firstLine="883" w:firstLineChars="200"/>
        <w:jc w:val="center"/>
        <w:rPr>
          <w:rFonts w:ascii="黑体" w:hAnsi="黑体" w:eastAsia="黑体"/>
          <w:b/>
          <w:bCs/>
          <w:sz w:val="44"/>
          <w:szCs w:val="44"/>
          <w:highlight w:val="none"/>
        </w:rPr>
      </w:pPr>
    </w:p>
    <w:p>
      <w:pPr>
        <w:widowControl/>
        <w:ind w:firstLine="640" w:firstLineChars="200"/>
        <w:jc w:val="both"/>
        <w:rPr>
          <w:rFonts w:cs="黑体" w:asciiTheme="minorEastAsia" w:hAnsiTheme="minorEastAsia"/>
          <w:b/>
          <w:color w:val="000000"/>
          <w:kern w:val="0"/>
          <w:sz w:val="44"/>
          <w:szCs w:val="44"/>
        </w:rPr>
      </w:pPr>
      <w:bookmarkStart w:id="0" w:name="_GoBack"/>
      <w:bookmarkEnd w:id="0"/>
      <w:r>
        <w:rPr>
          <w:rFonts w:ascii="仿宋" w:hAnsi="仿宋" w:eastAsia="仿宋"/>
          <w:sz w:val="32"/>
          <w:szCs w:val="32"/>
          <w:highlight w:val="none"/>
        </w:rPr>
        <w:t> </w:t>
      </w:r>
      <w:r>
        <w:rPr>
          <w:rFonts w:hint="eastAsia" w:cs="黑体" w:asciiTheme="minorEastAsia" w:hAnsiTheme="minorEastAsia"/>
          <w:b/>
          <w:color w:val="000000"/>
          <w:kern w:val="0"/>
          <w:sz w:val="44"/>
          <w:szCs w:val="44"/>
        </w:rPr>
        <w:t>2021年度部门整体支出绩效评价报告</w:t>
      </w:r>
    </w:p>
    <w:p>
      <w:pPr>
        <w:ind w:firstLine="420" w:firstLineChars="200"/>
        <w:rPr>
          <w:rFonts w:hint="eastAsia"/>
        </w:rPr>
      </w:pP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一、部门概况</w:t>
      </w:r>
    </w:p>
    <w:p>
      <w:pPr>
        <w:widowControl/>
        <w:shd w:val="clear" w:color="auto" w:fill="FFFFFF"/>
        <w:spacing w:line="360" w:lineRule="auto"/>
        <w:ind w:firstLine="640"/>
        <w:rPr>
          <w:rFonts w:hint="eastAsia" w:ascii="仿宋" w:hAnsi="仿宋" w:eastAsia="仿宋"/>
          <w:spacing w:val="-2"/>
          <w:sz w:val="32"/>
          <w:szCs w:val="32"/>
        </w:rPr>
      </w:pPr>
      <w:r>
        <w:rPr>
          <w:rFonts w:ascii="仿宋" w:hAnsi="仿宋" w:eastAsia="仿宋"/>
          <w:spacing w:val="-2"/>
          <w:sz w:val="32"/>
          <w:szCs w:val="32"/>
        </w:rPr>
        <w:t>（一）部门基本情况</w:t>
      </w:r>
    </w:p>
    <w:p>
      <w:pPr>
        <w:widowControl/>
        <w:spacing w:line="437" w:lineRule="atLeast"/>
        <w:ind w:firstLine="627"/>
        <w:jc w:val="left"/>
        <w:rPr>
          <w:rFonts w:hint="eastAsia" w:ascii="仿宋" w:hAnsi="仿宋" w:eastAsia="仿宋"/>
          <w:color w:val="3D3D3D"/>
          <w:kern w:val="0"/>
          <w:sz w:val="32"/>
          <w:szCs w:val="32"/>
        </w:rPr>
      </w:pPr>
      <w:r>
        <w:rPr>
          <w:rFonts w:hint="eastAsia" w:ascii="仿宋" w:hAnsi="仿宋" w:eastAsia="仿宋"/>
          <w:color w:val="3D3D3D"/>
          <w:kern w:val="0"/>
          <w:sz w:val="32"/>
          <w:szCs w:val="32"/>
        </w:rPr>
        <w:t>部门职责主要是负责原华中水泥厂离退休、内养人员和下岗职工社会化服务管理工作及企业改制后有关遗留问题的处理。</w:t>
      </w:r>
    </w:p>
    <w:p>
      <w:pPr>
        <w:widowControl/>
        <w:spacing w:line="437" w:lineRule="atLeast"/>
        <w:ind w:firstLine="627"/>
        <w:jc w:val="left"/>
        <w:rPr>
          <w:rFonts w:eastAsia="微软雅黑"/>
          <w:color w:val="3D3D3D"/>
          <w:kern w:val="0"/>
          <w:szCs w:val="21"/>
        </w:rPr>
      </w:pPr>
      <w:r>
        <w:rPr>
          <w:rFonts w:hint="eastAsia" w:ascii="仿宋" w:hAnsi="仿宋" w:eastAsia="仿宋"/>
          <w:color w:val="3D3D3D"/>
          <w:kern w:val="0"/>
          <w:sz w:val="32"/>
          <w:szCs w:val="32"/>
        </w:rPr>
        <w:t>怀化市华中劳动保障站作为怀化市人力资源和社会保障局单位的二级部门预算单位，因人员减少未设科室。</w:t>
      </w:r>
    </w:p>
    <w:p>
      <w:pPr>
        <w:widowControl/>
        <w:shd w:val="clear" w:color="auto" w:fill="FFFFFF"/>
        <w:spacing w:line="360" w:lineRule="auto"/>
        <w:ind w:firstLine="640"/>
        <w:rPr>
          <w:rFonts w:hint="eastAsia" w:ascii="仿宋" w:hAnsi="仿宋" w:eastAsia="仿宋"/>
          <w:spacing w:val="-2"/>
          <w:sz w:val="32"/>
          <w:szCs w:val="32"/>
        </w:rPr>
      </w:pPr>
      <w:r>
        <w:rPr>
          <w:rFonts w:hint="eastAsia" w:ascii="仿宋" w:hAnsi="仿宋" w:eastAsia="仿宋"/>
          <w:color w:val="3D3D3D"/>
          <w:sz w:val="32"/>
          <w:szCs w:val="32"/>
          <w:shd w:val="clear" w:color="auto" w:fill="FFFFFF"/>
        </w:rPr>
        <w:t>截止2021年末，怀化市华中劳动保障站共有编制2人，在职人员2人。</w:t>
      </w:r>
    </w:p>
    <w:p>
      <w:pPr>
        <w:widowControl/>
        <w:shd w:val="clear" w:color="auto" w:fill="FFFFFF"/>
        <w:spacing w:line="360" w:lineRule="auto"/>
        <w:ind w:firstLine="640"/>
        <w:rPr>
          <w:rFonts w:hint="eastAsia" w:ascii="仿宋" w:hAnsi="仿宋" w:eastAsia="仿宋"/>
          <w:spacing w:val="-2"/>
          <w:sz w:val="32"/>
          <w:szCs w:val="32"/>
        </w:rPr>
      </w:pPr>
      <w:r>
        <w:rPr>
          <w:rFonts w:ascii="仿宋" w:hAnsi="仿宋" w:eastAsia="仿宋"/>
          <w:spacing w:val="-2"/>
          <w:sz w:val="32"/>
          <w:szCs w:val="32"/>
        </w:rPr>
        <w:t>（二）部门整体支出规模、使用方向和主要内容、涉及范围等。</w:t>
      </w:r>
    </w:p>
    <w:p>
      <w:pPr>
        <w:pStyle w:val="2"/>
        <w:shd w:val="clear" w:color="auto" w:fill="FFFFFF"/>
        <w:spacing w:before="0" w:beforeAutospacing="0" w:after="0" w:afterAutospacing="0" w:line="360" w:lineRule="auto"/>
        <w:ind w:firstLine="707" w:firstLineChars="224"/>
        <w:rPr>
          <w:rFonts w:ascii="仿宋" w:hAnsi="仿宋" w:eastAsia="仿宋" w:cs="Times New Roman"/>
          <w:spacing w:val="-2"/>
          <w:kern w:val="2"/>
          <w:sz w:val="32"/>
          <w:szCs w:val="32"/>
        </w:rPr>
      </w:pPr>
      <w:r>
        <w:rPr>
          <w:rFonts w:hint="eastAsia" w:ascii="仿宋" w:hAnsi="仿宋" w:eastAsia="仿宋" w:cs="Times New Roman"/>
          <w:spacing w:val="-2"/>
          <w:kern w:val="2"/>
          <w:sz w:val="32"/>
          <w:szCs w:val="32"/>
        </w:rPr>
        <w:t>2021年</w:t>
      </w:r>
      <w:r>
        <w:rPr>
          <w:rFonts w:hint="eastAsia" w:ascii="仿宋" w:hAnsi="仿宋" w:eastAsia="仿宋"/>
          <w:sz w:val="32"/>
          <w:szCs w:val="32"/>
        </w:rPr>
        <w:t>年初预算数19.80</w:t>
      </w:r>
      <w:r>
        <w:rPr>
          <w:rFonts w:hint="eastAsia" w:ascii="仿宋" w:hAnsi="仿宋" w:eastAsia="仿宋" w:cs="Times New Roman"/>
          <w:spacing w:val="-2"/>
          <w:kern w:val="2"/>
          <w:sz w:val="32"/>
          <w:szCs w:val="32"/>
        </w:rPr>
        <w:t>万元,其中一般公共预算拨款收入为19.80万元，具体安排情况如下：</w:t>
      </w:r>
    </w:p>
    <w:p>
      <w:pPr>
        <w:pStyle w:val="2"/>
        <w:shd w:val="clear" w:color="auto" w:fill="FFFFFF"/>
        <w:spacing w:before="0" w:beforeAutospacing="0" w:after="0" w:afterAutospacing="0" w:line="360" w:lineRule="auto"/>
        <w:ind w:firstLine="707" w:firstLineChars="224"/>
        <w:rPr>
          <w:rFonts w:ascii="仿宋" w:hAnsi="仿宋" w:eastAsia="仿宋" w:cs="Times New Roman"/>
          <w:spacing w:val="-2"/>
          <w:kern w:val="2"/>
          <w:sz w:val="32"/>
          <w:szCs w:val="32"/>
        </w:rPr>
      </w:pPr>
      <w:r>
        <w:rPr>
          <w:rFonts w:hint="eastAsia" w:ascii="仿宋" w:hAnsi="仿宋" w:eastAsia="仿宋" w:cs="Times New Roman"/>
          <w:spacing w:val="-2"/>
          <w:kern w:val="2"/>
          <w:sz w:val="32"/>
          <w:szCs w:val="32"/>
        </w:rPr>
        <w:t>1、基本支出：2021年年初预算数为</w:t>
      </w:r>
      <w:r>
        <w:rPr>
          <w:rFonts w:hint="eastAsia" w:ascii="仿宋" w:hAnsi="仿宋" w:eastAsia="仿宋"/>
          <w:sz w:val="32"/>
          <w:szCs w:val="32"/>
        </w:rPr>
        <w:t>19.80</w:t>
      </w:r>
      <w:r>
        <w:rPr>
          <w:rFonts w:hint="eastAsia" w:ascii="仿宋" w:hAnsi="仿宋" w:eastAsia="仿宋" w:cs="Times New Roman"/>
          <w:spacing w:val="-2"/>
          <w:kern w:val="2"/>
          <w:sz w:val="32"/>
          <w:szCs w:val="32"/>
        </w:rPr>
        <w:t>万元，是指为保障单位机构正常运转、完成日常工作任务而发生的各项支出，包括用于主要是基本工资10.69万元；津补贴0.04万元；绩效工资5.81万元；公用支出2.4万元；工会经费0.33万元；职工福利费0.53万元等；</w:t>
      </w:r>
    </w:p>
    <w:p>
      <w:pPr>
        <w:pStyle w:val="2"/>
        <w:shd w:val="clear" w:color="auto" w:fill="FFFFFF"/>
        <w:spacing w:before="0" w:beforeAutospacing="0" w:after="0" w:afterAutospacing="0" w:line="360" w:lineRule="auto"/>
        <w:ind w:firstLine="707" w:firstLineChars="224"/>
        <w:rPr>
          <w:rFonts w:hint="eastAsia" w:ascii="仿宋" w:hAnsi="仿宋" w:eastAsia="仿宋" w:cs="Times New Roman"/>
          <w:spacing w:val="-2"/>
          <w:kern w:val="2"/>
          <w:sz w:val="32"/>
          <w:szCs w:val="32"/>
        </w:rPr>
      </w:pPr>
      <w:r>
        <w:rPr>
          <w:rFonts w:hint="eastAsia" w:ascii="仿宋" w:hAnsi="仿宋" w:eastAsia="仿宋" w:cs="Times New Roman"/>
          <w:spacing w:val="-2"/>
          <w:kern w:val="2"/>
          <w:sz w:val="32"/>
          <w:szCs w:val="32"/>
        </w:rPr>
        <w:t>2、项目支出：2021年无项目资金安排。</w:t>
      </w:r>
    </w:p>
    <w:p>
      <w:pPr>
        <w:pStyle w:val="2"/>
        <w:shd w:val="clear" w:color="auto" w:fill="FFFFFF"/>
        <w:spacing w:before="0" w:beforeAutospacing="0" w:after="0" w:afterAutospacing="0" w:line="360" w:lineRule="auto"/>
        <w:ind w:firstLine="711" w:firstLineChars="224"/>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360" w:lineRule="auto"/>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line="360" w:lineRule="auto"/>
        <w:ind w:firstLine="643"/>
        <w:rPr>
          <w:rFonts w:hint="eastAsia" w:ascii="仿宋" w:hAnsi="仿宋" w:eastAsia="仿宋"/>
          <w:spacing w:val="-2"/>
          <w:sz w:val="32"/>
          <w:szCs w:val="32"/>
        </w:rPr>
      </w:pPr>
      <w:r>
        <w:rPr>
          <w:rFonts w:hint="eastAsia" w:ascii="仿宋" w:hAnsi="仿宋" w:eastAsia="仿宋"/>
          <w:color w:val="3D3D3D"/>
          <w:sz w:val="32"/>
          <w:szCs w:val="32"/>
          <w:shd w:val="clear" w:color="auto" w:fill="FFFFFF"/>
        </w:rPr>
        <w:t>怀化市华中劳动保障站</w:t>
      </w:r>
      <w:r>
        <w:rPr>
          <w:rFonts w:hint="eastAsia" w:ascii="仿宋" w:hAnsi="仿宋" w:eastAsia="仿宋"/>
          <w:sz w:val="32"/>
          <w:szCs w:val="32"/>
        </w:rPr>
        <w:t>基本支出为用于保障机构正常运转和完成日常工作任务而产生的支出，包括用于基本工资、津贴补贴、退休费等人员经费以及办公费、印刷费、水电费、办公设备购置、公务用车运行维护等日常公用经费。2021年</w:t>
      </w:r>
      <w:r>
        <w:rPr>
          <w:rFonts w:hint="eastAsia" w:ascii="仿宋" w:hAnsi="仿宋" w:eastAsia="仿宋"/>
          <w:color w:val="3D3D3D"/>
          <w:sz w:val="32"/>
          <w:szCs w:val="32"/>
          <w:shd w:val="clear" w:color="auto" w:fill="FFFFFF"/>
        </w:rPr>
        <w:t>怀化市华中劳动保障站</w:t>
      </w:r>
      <w:r>
        <w:rPr>
          <w:rFonts w:hint="eastAsia" w:ascii="仿宋" w:hAnsi="仿宋" w:eastAsia="仿宋"/>
          <w:sz w:val="32"/>
          <w:szCs w:val="32"/>
        </w:rPr>
        <w:t>共产生基本支出46.43万元，其中人员经费29.08万元，公用经费14.16万元，其中“三公”经费0.60万元。</w:t>
      </w:r>
    </w:p>
    <w:p>
      <w:pPr>
        <w:widowControl/>
        <w:shd w:val="clear" w:color="auto" w:fill="FFFFFF"/>
        <w:spacing w:line="360" w:lineRule="auto"/>
        <w:ind w:firstLine="643"/>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360" w:lineRule="auto"/>
        <w:ind w:firstLine="640"/>
        <w:rPr>
          <w:rFonts w:hint="eastAsia" w:ascii="仿宋" w:hAnsi="仿宋" w:eastAsia="仿宋"/>
          <w:spacing w:val="-2"/>
          <w:sz w:val="32"/>
          <w:szCs w:val="32"/>
        </w:rPr>
      </w:pPr>
      <w:r>
        <w:rPr>
          <w:rFonts w:hint="eastAsia" w:ascii="仿宋" w:hAnsi="仿宋" w:eastAsia="仿宋"/>
          <w:spacing w:val="-2"/>
          <w:sz w:val="32"/>
          <w:szCs w:val="32"/>
        </w:rPr>
        <w:t>2021年无项目资金安排。</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360" w:lineRule="auto"/>
        <w:ind w:firstLine="640"/>
        <w:rPr>
          <w:rFonts w:hint="eastAsia" w:ascii="仿宋" w:eastAsia="仿宋"/>
          <w:sz w:val="32"/>
          <w:szCs w:val="32"/>
        </w:rPr>
      </w:pPr>
      <w:r>
        <w:rPr>
          <w:rFonts w:hint="eastAsia" w:ascii="仿宋" w:hAnsi="仿宋" w:eastAsia="仿宋"/>
          <w:spacing w:val="-2"/>
          <w:sz w:val="32"/>
          <w:szCs w:val="32"/>
        </w:rPr>
        <w:t>2021年无项目资金安排。</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360" w:lineRule="auto"/>
        <w:ind w:firstLine="640"/>
        <w:rPr>
          <w:rFonts w:hint="eastAsia" w:ascii="仿宋" w:hAnsi="仿宋" w:eastAsia="仿宋"/>
          <w:spacing w:val="-2"/>
          <w:sz w:val="32"/>
          <w:szCs w:val="32"/>
        </w:rPr>
      </w:pPr>
      <w:r>
        <w:rPr>
          <w:rFonts w:hint="eastAsia" w:ascii="仿宋" w:hAnsi="仿宋" w:eastAsia="仿宋"/>
          <w:spacing w:val="-2"/>
          <w:sz w:val="32"/>
          <w:szCs w:val="32"/>
        </w:rPr>
        <w:t>2021年</w:t>
      </w:r>
      <w:r>
        <w:rPr>
          <w:rFonts w:hint="eastAsia" w:ascii="仿宋" w:hAnsi="仿宋" w:eastAsia="仿宋"/>
          <w:color w:val="3D3D3D"/>
          <w:sz w:val="32"/>
          <w:szCs w:val="32"/>
          <w:shd w:val="clear" w:color="auto" w:fill="FFFFFF"/>
        </w:rPr>
        <w:t>怀化市华中劳动保障站</w:t>
      </w:r>
      <w:r>
        <w:rPr>
          <w:rFonts w:hint="eastAsia" w:ascii="仿宋" w:hAnsi="仿宋" w:eastAsia="仿宋"/>
          <w:spacing w:val="-2"/>
          <w:sz w:val="32"/>
          <w:szCs w:val="32"/>
        </w:rPr>
        <w:t>制定了详细的内部管理制度，所有资产统一采购、专人管理、定期盘点、集中处置、严格追责，有效防止了国有资产流失。对报废固定资产按规定程序进行处理，新增固定资产建立了固定资产卡片和台账，责任到人，从而确保资产账账相符、账实相符。</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ind w:firstLine="850" w:firstLineChars="269"/>
        <w:rPr>
          <w:rFonts w:hint="eastAsia" w:ascii="仿宋" w:hAnsi="仿宋" w:eastAsia="仿宋"/>
          <w:spacing w:val="-2"/>
          <w:sz w:val="32"/>
          <w:szCs w:val="32"/>
        </w:rPr>
      </w:pPr>
      <w:r>
        <w:rPr>
          <w:rFonts w:hint="eastAsia" w:ascii="仿宋" w:hAnsi="仿宋" w:eastAsia="仿宋"/>
          <w:spacing w:val="-2"/>
          <w:sz w:val="32"/>
          <w:szCs w:val="32"/>
        </w:rPr>
        <w:t>(一)我站认真做好了社会保险各类台帐的建立工作，为辖区内退休人员及80周岁以上企业离退休人员分别建立了管理台账，并及时更新，从而准确及时地掌握了退休人员的基本情况。</w:t>
      </w:r>
    </w:p>
    <w:p>
      <w:pPr>
        <w:ind w:firstLine="850" w:firstLineChars="269"/>
        <w:rPr>
          <w:rFonts w:hint="eastAsia" w:ascii="仿宋" w:hAnsi="仿宋" w:eastAsia="仿宋"/>
          <w:spacing w:val="-2"/>
          <w:sz w:val="32"/>
          <w:szCs w:val="32"/>
        </w:rPr>
      </w:pPr>
      <w:r>
        <w:rPr>
          <w:rFonts w:hint="eastAsia" w:ascii="仿宋" w:hAnsi="仿宋" w:eastAsia="仿宋"/>
          <w:spacing w:val="-2"/>
          <w:sz w:val="32"/>
          <w:szCs w:val="32"/>
        </w:rPr>
        <w:t>(二)我站认真做好劳动保障的各项政策信息宣传，成立了宣传贯彻领导小组；其次是《关于进一步解决未参保集体企业退休人员基本养老保障等遗留问题的意见》的政策宣传，把各种政策信息宣传到户，让居民正确的理解政策，用好政策，使他们切实的享受到优惠政策。</w:t>
      </w:r>
    </w:p>
    <w:p>
      <w:pPr>
        <w:ind w:firstLine="850" w:firstLineChars="269"/>
        <w:rPr>
          <w:rFonts w:hint="eastAsia" w:ascii="仿宋" w:hAnsi="仿宋" w:eastAsia="仿宋"/>
          <w:spacing w:val="-2"/>
          <w:sz w:val="32"/>
          <w:szCs w:val="32"/>
        </w:rPr>
      </w:pPr>
      <w:r>
        <w:rPr>
          <w:rFonts w:hint="eastAsia" w:ascii="仿宋" w:hAnsi="仿宋" w:eastAsia="仿宋"/>
          <w:spacing w:val="-2"/>
          <w:sz w:val="32"/>
          <w:szCs w:val="32"/>
        </w:rPr>
        <w:t>(三)积极做好社保征收、核算工作，建立了各类台账，并将相关资料归档。</w:t>
      </w:r>
    </w:p>
    <w:p>
      <w:pPr>
        <w:ind w:firstLine="850" w:firstLineChars="269"/>
        <w:rPr>
          <w:rFonts w:hint="eastAsia" w:ascii="仿宋" w:hAnsi="仿宋" w:eastAsia="仿宋"/>
          <w:spacing w:val="-2"/>
          <w:sz w:val="32"/>
          <w:szCs w:val="32"/>
        </w:rPr>
      </w:pPr>
      <w:r>
        <w:rPr>
          <w:rFonts w:hint="eastAsia" w:ascii="仿宋" w:hAnsi="仿宋" w:eastAsia="仿宋"/>
          <w:spacing w:val="-2"/>
          <w:sz w:val="32"/>
          <w:szCs w:val="32"/>
        </w:rPr>
        <w:t>(四)我站结合退休人员年检工作着力宣传退休人员社会化管理服务，为退休人员提供社会保险咨询服务，做好了稳定工作。同时与老年协会联系，组织退休人员的参加各项文体活动，丰富文娱生活，让退休职工老有所养，老有所乐，真心实意为退休人员服好务。</w:t>
      </w:r>
    </w:p>
    <w:p>
      <w:pPr>
        <w:ind w:firstLine="850" w:firstLineChars="269"/>
        <w:rPr>
          <w:rFonts w:hint="eastAsia" w:ascii="仿宋" w:hAnsi="仿宋" w:eastAsia="仿宋"/>
          <w:spacing w:val="-2"/>
          <w:sz w:val="32"/>
          <w:szCs w:val="32"/>
        </w:rPr>
      </w:pPr>
      <w:r>
        <w:rPr>
          <w:rFonts w:hint="eastAsia" w:ascii="仿宋" w:hAnsi="仿宋" w:eastAsia="仿宋"/>
          <w:spacing w:val="-2"/>
          <w:sz w:val="32"/>
          <w:szCs w:val="32"/>
        </w:rPr>
        <w:t>(五)在社会保险各项政策的宣传工作中，更是下了大力气，努力扩大社会保险覆盖面。</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六、存在的主要问题</w:t>
      </w:r>
    </w:p>
    <w:p>
      <w:pPr>
        <w:ind w:firstLine="565" w:firstLineChars="179"/>
        <w:rPr>
          <w:rFonts w:hint="eastAsia" w:ascii="仿宋" w:hAnsi="仿宋" w:eastAsia="仿宋"/>
          <w:spacing w:val="-2"/>
          <w:sz w:val="32"/>
          <w:szCs w:val="32"/>
        </w:rPr>
      </w:pPr>
      <w:r>
        <w:rPr>
          <w:rFonts w:ascii="仿宋" w:hAnsi="仿宋" w:eastAsia="仿宋"/>
          <w:spacing w:val="-2"/>
          <w:sz w:val="32"/>
          <w:szCs w:val="32"/>
        </w:rPr>
        <w:t>2021年的工作在</w:t>
      </w:r>
      <w:r>
        <w:rPr>
          <w:rFonts w:hint="eastAsia" w:ascii="仿宋" w:hAnsi="仿宋" w:eastAsia="仿宋"/>
          <w:spacing w:val="-2"/>
          <w:sz w:val="32"/>
          <w:szCs w:val="32"/>
        </w:rPr>
        <w:t>全体干部</w:t>
      </w:r>
      <w:r>
        <w:rPr>
          <w:rFonts w:ascii="仿宋" w:hAnsi="仿宋" w:eastAsia="仿宋"/>
          <w:spacing w:val="-2"/>
          <w:sz w:val="32"/>
          <w:szCs w:val="32"/>
        </w:rPr>
        <w:t>职工的共同努力下，虽然取得一定成绩，但是仍然存在一些问题。</w:t>
      </w:r>
      <w:r>
        <w:rPr>
          <w:rFonts w:hint="eastAsia" w:ascii="仿宋" w:hAnsi="仿宋" w:eastAsia="仿宋"/>
          <w:spacing w:val="-2"/>
          <w:sz w:val="32"/>
          <w:szCs w:val="32"/>
        </w:rPr>
        <w:t>一是由于工作人员少，工作业务量大，很多工作难以开展。二是用人单位劳动保障法律意识不够强，存在不依法签订劳动合同和参加社会保险。</w:t>
      </w:r>
    </w:p>
    <w:p>
      <w:pPr>
        <w:widowControl/>
        <w:shd w:val="clear" w:color="auto" w:fill="FFFFFF"/>
        <w:spacing w:line="360" w:lineRule="auto"/>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ind w:firstLine="707" w:firstLineChars="224"/>
        <w:rPr>
          <w:rFonts w:hint="eastAsia" w:ascii="仿宋" w:hAnsi="仿宋" w:eastAsia="仿宋"/>
          <w:spacing w:val="-2"/>
          <w:sz w:val="32"/>
          <w:szCs w:val="32"/>
        </w:rPr>
      </w:pPr>
      <w:r>
        <w:rPr>
          <w:rFonts w:hint="eastAsia" w:ascii="仿宋" w:hAnsi="仿宋" w:eastAsia="仿宋"/>
          <w:spacing w:val="-2"/>
          <w:sz w:val="32"/>
          <w:szCs w:val="32"/>
        </w:rPr>
        <w:t>1、认真做好社保、医保政策的宣传工作，以及新参保和续保工作。</w:t>
      </w:r>
    </w:p>
    <w:p>
      <w:pPr>
        <w:ind w:firstLine="707" w:firstLineChars="224"/>
        <w:rPr>
          <w:rFonts w:hint="eastAsia" w:ascii="仿宋" w:hAnsi="仿宋" w:eastAsia="仿宋"/>
          <w:spacing w:val="-2"/>
          <w:sz w:val="32"/>
          <w:szCs w:val="32"/>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、做好《劳动合同法》和《保障法》等法律法规的宣传工作。</w:t>
      </w:r>
    </w:p>
    <w:p>
      <w:pPr>
        <w:ind w:firstLine="632" w:firstLineChars="200"/>
        <w:jc w:val="left"/>
        <w:rPr>
          <w:rFonts w:hint="eastAsia" w:eastAsia="仿宋" w:cs="黑体" w:asciiTheme="minorEastAsia" w:hAnsiTheme="minorEastAsia"/>
          <w:color w:val="000000"/>
          <w:kern w:val="0"/>
          <w:sz w:val="32"/>
          <w:szCs w:val="32"/>
          <w:lang w:val="en-US" w:eastAsia="zh-CN"/>
        </w:rPr>
      </w:pPr>
      <w:r>
        <w:rPr>
          <w:rFonts w:hint="eastAsia" w:ascii="仿宋" w:hAnsi="仿宋" w:eastAsia="仿宋"/>
          <w:spacing w:val="-2"/>
          <w:sz w:val="32"/>
          <w:szCs w:val="32"/>
          <w:lang w:val="en-US" w:eastAsia="zh-CN"/>
        </w:rPr>
        <w:t>3</w:t>
      </w:r>
      <w:r>
        <w:rPr>
          <w:rFonts w:hint="eastAsia" w:ascii="仿宋" w:hAnsi="仿宋" w:eastAsia="仿宋"/>
          <w:spacing w:val="-2"/>
          <w:sz w:val="32"/>
          <w:szCs w:val="32"/>
        </w:rPr>
        <w:t>、认真做好新型农村和城镇居民社会养老保险</w:t>
      </w:r>
      <w:r>
        <w:rPr>
          <w:rFonts w:hint="eastAsia" w:ascii="仿宋" w:hAnsi="仿宋" w:eastAsia="仿宋"/>
          <w:spacing w:val="-2"/>
          <w:sz w:val="32"/>
          <w:szCs w:val="32"/>
          <w:lang w:eastAsia="zh-CN"/>
        </w:rPr>
        <w:t>。</w:t>
      </w:r>
    </w:p>
    <w:p>
      <w:pPr>
        <w:spacing w:line="600" w:lineRule="exact"/>
        <w:ind w:firstLine="640" w:firstLineChars="200"/>
        <w:rPr>
          <w:rFonts w:ascii="仿宋" w:hAnsi="仿宋" w:eastAsia="仿宋"/>
          <w:sz w:val="32"/>
          <w:szCs w:val="32"/>
          <w:highlight w:val="none"/>
        </w:rPr>
      </w:pPr>
    </w:p>
    <w:p>
      <w:pPr>
        <w:rPr>
          <w:rFonts w:ascii="仿宋" w:hAnsi="仿宋" w:eastAsia="仿宋"/>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81339D"/>
    <w:rsid w:val="003E3A68"/>
    <w:rsid w:val="0069046D"/>
    <w:rsid w:val="0081339D"/>
    <w:rsid w:val="00BB296C"/>
    <w:rsid w:val="00CE16FB"/>
    <w:rsid w:val="00EF71BC"/>
    <w:rsid w:val="2D153CAE"/>
    <w:rsid w:val="3C1E6D07"/>
    <w:rsid w:val="62DD4993"/>
    <w:rsid w:val="67F3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655</Words>
  <Characters>3740</Characters>
  <Lines>31</Lines>
  <Paragraphs>8</Paragraphs>
  <TotalTime>0</TotalTime>
  <ScaleCrop>false</ScaleCrop>
  <LinksUpToDate>false</LinksUpToDate>
  <CharactersWithSpaces>4387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2023-09-06T02:26:00Z</dcterms:created>
  <dc:creator>汪 梦引</dc:creator>
  <cp:lastModifiedBy>Administrator</cp:lastModifiedBy>
  <dcterms:modified xsi:type="dcterms:W3CDTF">2023-10-12T03:33:42Z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8B11F2578EE74226862E5B22F471EE43_12</vt:lpwstr>
  </property>
</Properties>
</file>