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hint="eastAsia" w:ascii="仿宋" w:hAnsi="仿宋" w:eastAsia="仿宋" w:cs="仿宋"/>
          <w:b/>
          <w:bCs/>
          <w:sz w:val="48"/>
          <w:szCs w:val="48"/>
        </w:rPr>
      </w:pPr>
      <w:r>
        <w:rPr>
          <w:rFonts w:hint="eastAsia" w:ascii="仿宋" w:hAnsi="仿宋" w:eastAsia="仿宋" w:cs="仿宋"/>
          <w:b/>
          <w:bCs/>
          <w:sz w:val="48"/>
          <w:szCs w:val="48"/>
        </w:rPr>
        <w:t>怀化市人力资源和社会保障局（本级）</w:t>
      </w:r>
    </w:p>
    <w:p>
      <w:pPr>
        <w:pStyle w:val="11"/>
        <w:jc w:val="center"/>
        <w:rPr>
          <w:b/>
          <w:sz w:val="36"/>
          <w:szCs w:val="28"/>
        </w:rPr>
      </w:pPr>
      <w:r>
        <w:rPr>
          <w:rFonts w:hint="eastAsia" w:ascii="仿宋" w:hAnsi="仿宋" w:eastAsia="仿宋" w:cs="仿宋"/>
          <w:b/>
          <w:bCs/>
          <w:sz w:val="48"/>
          <w:szCs w:val="48"/>
        </w:rPr>
        <w:t>2021年度决算</w:t>
      </w:r>
    </w:p>
    <w:p>
      <w:pPr>
        <w:pStyle w:val="11"/>
        <w:spacing w:line="500" w:lineRule="exact"/>
        <w:jc w:val="center"/>
        <w:rPr>
          <w:b/>
          <w:sz w:val="36"/>
          <w:szCs w:val="28"/>
        </w:rPr>
      </w:pPr>
      <w:r>
        <w:rPr>
          <w:rFonts w:hint="eastAsia"/>
          <w:b/>
          <w:sz w:val="36"/>
          <w:szCs w:val="28"/>
        </w:rPr>
        <w:t>目</w:t>
      </w:r>
      <w:r>
        <w:rPr>
          <w:rFonts w:hint="eastAsia"/>
          <w:b/>
          <w:sz w:val="36"/>
          <w:szCs w:val="28"/>
          <w:lang w:val="en-US" w:eastAsia="zh-CN"/>
        </w:rPr>
        <w:t xml:space="preserve"> </w:t>
      </w:r>
      <w:r>
        <w:rPr>
          <w:rFonts w:hint="eastAsia"/>
          <w:b/>
          <w:sz w:val="36"/>
          <w:szCs w:val="28"/>
        </w:rPr>
        <w:t>录</w:t>
      </w:r>
    </w:p>
    <w:p>
      <w:pPr>
        <w:pStyle w:val="11"/>
        <w:keepNext w:val="0"/>
        <w:keepLines w:val="0"/>
        <w:pageBreakBefore w:val="0"/>
        <w:widowControl w:val="0"/>
        <w:kinsoku/>
        <w:wordWrap/>
        <w:overflowPunct/>
        <w:topLinePunct w:val="0"/>
        <w:bidi w:val="0"/>
        <w:snapToGrid/>
        <w:spacing w:line="600" w:lineRule="exact"/>
        <w:ind w:firstLine="0" w:firstLineChars="0"/>
        <w:textAlignment w:val="auto"/>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 xml:space="preserve"> </w:t>
      </w:r>
      <w:r>
        <w:rPr>
          <w:rFonts w:hint="eastAsia"/>
          <w:b/>
          <w:sz w:val="28"/>
          <w:szCs w:val="28"/>
        </w:rPr>
        <w:t>人力资源和社会保障局单位概况</w:t>
      </w:r>
    </w:p>
    <w:p>
      <w:pPr>
        <w:pStyle w:val="11"/>
        <w:keepNext w:val="0"/>
        <w:keepLines w:val="0"/>
        <w:pageBreakBefore w:val="0"/>
        <w:widowControl w:val="0"/>
        <w:kinsoku/>
        <w:wordWrap/>
        <w:overflowPunct/>
        <w:topLinePunct w:val="0"/>
        <w:bidi w:val="0"/>
        <w:snapToGrid/>
        <w:spacing w:line="600" w:lineRule="exact"/>
        <w:ind w:firstLine="0" w:firstLineChars="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keepNext w:val="0"/>
        <w:keepLines w:val="0"/>
        <w:pageBreakBefore w:val="0"/>
        <w:widowControl w:val="0"/>
        <w:kinsoku/>
        <w:wordWrap/>
        <w:overflowPunct/>
        <w:topLinePunct w:val="0"/>
        <w:bidi w:val="0"/>
        <w:snapToGrid/>
        <w:spacing w:line="600" w:lineRule="exact"/>
        <w:ind w:firstLine="0" w:firstLineChars="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1"/>
        <w:keepNext w:val="0"/>
        <w:keepLines w:val="0"/>
        <w:pageBreakBefore w:val="0"/>
        <w:widowControl w:val="0"/>
        <w:kinsoku/>
        <w:wordWrap/>
        <w:overflowPunct/>
        <w:topLinePunct w:val="0"/>
        <w:bidi w:val="0"/>
        <w:snapToGrid/>
        <w:spacing w:line="600" w:lineRule="exact"/>
        <w:ind w:firstLine="0" w:firstLineChars="0"/>
        <w:textAlignment w:val="auto"/>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21年度部门决算表</w:t>
      </w:r>
    </w:p>
    <w:p>
      <w:pPr>
        <w:pStyle w:val="11"/>
        <w:keepNext w:val="0"/>
        <w:keepLines w:val="0"/>
        <w:pageBreakBefore w:val="0"/>
        <w:widowControl w:val="0"/>
        <w:kinsoku/>
        <w:wordWrap/>
        <w:overflowPunct/>
        <w:topLinePunct w:val="0"/>
        <w:bidi w:val="0"/>
        <w:snapToGrid/>
        <w:spacing w:line="600" w:lineRule="exact"/>
        <w:ind w:firstLine="0" w:firstLineChars="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keepNext w:val="0"/>
        <w:keepLines w:val="0"/>
        <w:pageBreakBefore w:val="0"/>
        <w:widowControl w:val="0"/>
        <w:kinsoku/>
        <w:wordWrap/>
        <w:overflowPunct/>
        <w:topLinePunct w:val="0"/>
        <w:bidi w:val="0"/>
        <w:snapToGrid/>
        <w:spacing w:line="600" w:lineRule="exact"/>
        <w:ind w:firstLine="0" w:firstLineChars="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keepNext w:val="0"/>
        <w:keepLines w:val="0"/>
        <w:pageBreakBefore w:val="0"/>
        <w:widowControl w:val="0"/>
        <w:kinsoku/>
        <w:wordWrap/>
        <w:overflowPunct/>
        <w:topLinePunct w:val="0"/>
        <w:bidi w:val="0"/>
        <w:snapToGrid/>
        <w:spacing w:line="600" w:lineRule="exact"/>
        <w:ind w:firstLine="0" w:firstLineChars="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keepNext w:val="0"/>
        <w:keepLines w:val="0"/>
        <w:pageBreakBefore w:val="0"/>
        <w:widowControl w:val="0"/>
        <w:kinsoku/>
        <w:wordWrap/>
        <w:overflowPunct/>
        <w:topLinePunct w:val="0"/>
        <w:bidi w:val="0"/>
        <w:snapToGrid/>
        <w:spacing w:line="600" w:lineRule="exact"/>
        <w:ind w:firstLine="0" w:firstLineChars="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keepNext w:val="0"/>
        <w:keepLines w:val="0"/>
        <w:pageBreakBefore w:val="0"/>
        <w:widowControl w:val="0"/>
        <w:kinsoku/>
        <w:wordWrap/>
        <w:overflowPunct/>
        <w:topLinePunct w:val="0"/>
        <w:bidi w:val="0"/>
        <w:snapToGrid/>
        <w:spacing w:line="600" w:lineRule="exact"/>
        <w:ind w:firstLine="0" w:firstLineChars="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keepNext w:val="0"/>
        <w:keepLines w:val="0"/>
        <w:pageBreakBefore w:val="0"/>
        <w:widowControl w:val="0"/>
        <w:kinsoku/>
        <w:wordWrap/>
        <w:overflowPunct/>
        <w:topLinePunct w:val="0"/>
        <w:bidi w:val="0"/>
        <w:snapToGrid/>
        <w:spacing w:line="600" w:lineRule="exact"/>
        <w:ind w:firstLine="0" w:firstLineChars="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1"/>
        <w:keepNext w:val="0"/>
        <w:keepLines w:val="0"/>
        <w:pageBreakBefore w:val="0"/>
        <w:widowControl w:val="0"/>
        <w:kinsoku/>
        <w:wordWrap/>
        <w:overflowPunct/>
        <w:topLinePunct w:val="0"/>
        <w:bidi w:val="0"/>
        <w:snapToGrid/>
        <w:spacing w:line="600" w:lineRule="exact"/>
        <w:ind w:firstLine="0" w:firstLineChars="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keepNext w:val="0"/>
        <w:keepLines w:val="0"/>
        <w:pageBreakBefore w:val="0"/>
        <w:widowControl w:val="0"/>
        <w:kinsoku/>
        <w:wordWrap/>
        <w:overflowPunct/>
        <w:topLinePunct w:val="0"/>
        <w:bidi w:val="0"/>
        <w:snapToGrid/>
        <w:spacing w:line="600" w:lineRule="exact"/>
        <w:ind w:firstLine="0" w:firstLineChars="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keepNext w:val="0"/>
        <w:keepLines w:val="0"/>
        <w:pageBreakBefore w:val="0"/>
        <w:widowControl w:val="0"/>
        <w:kinsoku/>
        <w:wordWrap/>
        <w:overflowPunct/>
        <w:topLinePunct w:val="0"/>
        <w:bidi w:val="0"/>
        <w:snapToGrid/>
        <w:spacing w:line="600" w:lineRule="exact"/>
        <w:ind w:firstLine="0" w:firstLineChars="0"/>
        <w:textAlignment w:val="auto"/>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1"/>
        <w:keepNext w:val="0"/>
        <w:keepLines w:val="0"/>
        <w:pageBreakBefore w:val="0"/>
        <w:widowControl w:val="0"/>
        <w:kinsoku/>
        <w:wordWrap/>
        <w:overflowPunct/>
        <w:topLinePunct w:val="0"/>
        <w:bidi w:val="0"/>
        <w:snapToGrid/>
        <w:spacing w:line="600" w:lineRule="exact"/>
        <w:ind w:firstLine="0" w:firstLineChars="0"/>
        <w:textAlignment w:val="auto"/>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21年度部门决算情况说明</w:t>
      </w:r>
    </w:p>
    <w:p>
      <w:pPr>
        <w:pStyle w:val="11"/>
        <w:keepNext w:val="0"/>
        <w:keepLines w:val="0"/>
        <w:pageBreakBefore w:val="0"/>
        <w:widowControl w:val="0"/>
        <w:kinsoku/>
        <w:wordWrap/>
        <w:overflowPunct/>
        <w:topLinePunct w:val="0"/>
        <w:bidi w:val="0"/>
        <w:snapToGrid/>
        <w:spacing w:line="600" w:lineRule="exact"/>
        <w:ind w:firstLine="0" w:firstLineChars="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keepNext w:val="0"/>
        <w:keepLines w:val="0"/>
        <w:pageBreakBefore w:val="0"/>
        <w:widowControl w:val="0"/>
        <w:kinsoku/>
        <w:wordWrap/>
        <w:overflowPunct/>
        <w:topLinePunct w:val="0"/>
        <w:bidi w:val="0"/>
        <w:snapToGrid/>
        <w:spacing w:line="600" w:lineRule="exact"/>
        <w:ind w:firstLine="0" w:firstLineChars="0"/>
        <w:jc w:val="left"/>
        <w:textAlignment w:val="auto"/>
        <w:rPr>
          <w:rFonts w:ascii="仿宋_GB2312" w:hAnsi="仿宋_GB2312" w:cs="仿宋_GB2312"/>
          <w:sz w:val="28"/>
          <w:szCs w:val="28"/>
        </w:rPr>
      </w:pPr>
      <w:r>
        <w:rPr>
          <w:rFonts w:ascii="仿宋_GB2312" w:hAnsi="仿宋_GB2312" w:cs="仿宋_GB2312"/>
          <w:sz w:val="28"/>
          <w:szCs w:val="28"/>
        </w:rPr>
        <w:t>二、收入决算情况说明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九、国有资本经营预算财政拨款支出决算情况说明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十二、政府采购支出说明</w:t>
      </w:r>
    </w:p>
    <w:p>
      <w:pPr>
        <w:pStyle w:val="11"/>
        <w:keepNext w:val="0"/>
        <w:keepLines w:val="0"/>
        <w:pageBreakBefore w:val="0"/>
        <w:widowControl w:val="0"/>
        <w:kinsoku/>
        <w:wordWrap/>
        <w:overflowPunct/>
        <w:topLinePunct w:val="0"/>
        <w:bidi w:val="0"/>
        <w:snapToGrid/>
        <w:spacing w:line="600" w:lineRule="exact"/>
        <w:ind w:firstLine="0" w:firstLineChars="0"/>
        <w:textAlignment w:val="auto"/>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十三、国有资产占用情况说明</w:t>
      </w:r>
    </w:p>
    <w:p>
      <w:pPr>
        <w:pStyle w:val="11"/>
        <w:keepNext w:val="0"/>
        <w:keepLines w:val="0"/>
        <w:pageBreakBefore w:val="0"/>
        <w:widowControl w:val="0"/>
        <w:kinsoku/>
        <w:wordWrap/>
        <w:overflowPunct/>
        <w:topLinePunct w:val="0"/>
        <w:bidi w:val="0"/>
        <w:snapToGrid/>
        <w:spacing w:line="600" w:lineRule="exact"/>
        <w:ind w:firstLine="0" w:firstLineChars="0"/>
        <w:textAlignment w:val="auto"/>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十四、</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jc w:val="left"/>
        <w:textAlignment w:val="auto"/>
        <w:rPr>
          <w:rFonts w:ascii="黑体" w:hAnsi="黑体" w:eastAsia="黑体" w:cs="黑体"/>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lang w:val="en-US" w:eastAsia="zh-CN"/>
        </w:rPr>
        <w:t xml:space="preserve"> </w:t>
      </w:r>
      <w:r>
        <w:rPr>
          <w:rFonts w:ascii="黑体" w:hAnsi="黑体" w:eastAsia="黑体" w:cs="黑体"/>
          <w:b/>
          <w:color w:val="000000"/>
          <w:kern w:val="0"/>
          <w:sz w:val="28"/>
          <w:szCs w:val="28"/>
        </w:rPr>
        <w:t>名词解释</w:t>
      </w: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jc w:val="left"/>
        <w:textAlignment w:val="auto"/>
        <w:rPr>
          <w:sz w:val="48"/>
          <w:szCs w:val="48"/>
        </w:rPr>
      </w:pPr>
      <w:r>
        <w:rPr>
          <w:rFonts w:hint="eastAsia" w:ascii="黑体" w:hAnsi="黑体" w:eastAsia="黑体" w:cs="黑体"/>
          <w:b/>
          <w:color w:val="000000"/>
          <w:kern w:val="0"/>
          <w:sz w:val="28"/>
          <w:szCs w:val="28"/>
        </w:rPr>
        <w:t>第五部分</w:t>
      </w:r>
      <w:r>
        <w:rPr>
          <w:rFonts w:hint="eastAsia" w:ascii="黑体" w:hAnsi="黑体" w:eastAsia="黑体" w:cs="黑体"/>
          <w:b/>
          <w:color w:val="000000"/>
          <w:kern w:val="0"/>
          <w:sz w:val="28"/>
          <w:szCs w:val="28"/>
          <w:lang w:val="en-US" w:eastAsia="zh-CN"/>
        </w:rPr>
        <w:t xml:space="preserve"> </w:t>
      </w:r>
      <w:r>
        <w:rPr>
          <w:rFonts w:hint="eastAsia" w:ascii="黑体" w:hAnsi="黑体" w:eastAsia="黑体" w:cs="黑体"/>
          <w:b/>
          <w:color w:val="000000"/>
          <w:kern w:val="0"/>
          <w:sz w:val="28"/>
          <w:szCs w:val="28"/>
        </w:rPr>
        <w:t>附件</w:t>
      </w:r>
    </w:p>
    <w:p>
      <w:pPr>
        <w:pStyle w:val="11"/>
        <w:ind w:firstLine="6720" w:firstLineChars="1400"/>
        <w:jc w:val="both"/>
        <w:rPr>
          <w:sz w:val="48"/>
          <w:szCs w:val="48"/>
        </w:rPr>
      </w:pPr>
      <w:r>
        <w:rPr>
          <w:rFonts w:hint="eastAsia"/>
          <w:sz w:val="48"/>
          <w:szCs w:val="48"/>
        </w:rPr>
        <w:t>第一部分</w:t>
      </w:r>
      <w:r>
        <w:rPr>
          <w:sz w:val="48"/>
          <w:szCs w:val="48"/>
        </w:rPr>
        <w:t xml:space="preserve"> </w:t>
      </w:r>
      <w:r>
        <w:rPr>
          <w:rFonts w:hint="eastAsia"/>
          <w:sz w:val="48"/>
          <w:szCs w:val="48"/>
        </w:rPr>
        <w:t>单位概况</w:t>
      </w:r>
    </w:p>
    <w:p>
      <w:pPr>
        <w:pStyle w:val="12"/>
        <w:numPr>
          <w:ilvl w:val="0"/>
          <w:numId w:val="1"/>
        </w:numPr>
        <w:ind w:firstLine="640"/>
        <w:jc w:val="left"/>
        <w:rPr>
          <w:rFonts w:ascii="黑体" w:hAnsi="黑体" w:eastAsia="黑体"/>
          <w:sz w:val="32"/>
          <w:szCs w:val="32"/>
        </w:rPr>
      </w:pPr>
      <w:r>
        <w:rPr>
          <w:rFonts w:ascii="黑体" w:hAnsi="黑体" w:eastAsia="黑体"/>
          <w:sz w:val="32"/>
          <w:szCs w:val="32"/>
        </w:rPr>
        <w:t>部门职责</w:t>
      </w:r>
    </w:p>
    <w:p>
      <w:pPr>
        <w:ind w:firstLine="640" w:firstLineChars="200"/>
        <w:rPr>
          <w:rFonts w:ascii="宋体" w:hAnsi="宋体" w:eastAsia="宋体" w:cs="宋体"/>
          <w:bCs/>
          <w:color w:val="333333"/>
          <w:sz w:val="32"/>
          <w:szCs w:val="32"/>
        </w:rPr>
      </w:pPr>
      <w:r>
        <w:rPr>
          <w:rFonts w:hint="eastAsia" w:ascii="宋体" w:hAnsi="宋体" w:eastAsia="宋体" w:cs="宋体"/>
          <w:bCs/>
          <w:color w:val="333333"/>
          <w:sz w:val="32"/>
          <w:szCs w:val="32"/>
        </w:rPr>
        <w:t>（一）贯彻执行国家、省人力资源和社会保障方针政策和法律法规；拟订全市人力资源和社会保障事业发展规划及实施办法；对全市人力资源和社会保障工作进行综合管理、监督指导、协调服务。</w:t>
      </w:r>
    </w:p>
    <w:p>
      <w:pPr>
        <w:ind w:firstLine="640" w:firstLineChars="200"/>
        <w:rPr>
          <w:rFonts w:ascii="宋体" w:hAnsi="宋体" w:eastAsia="宋体" w:cs="宋体"/>
          <w:bCs/>
          <w:color w:val="333333"/>
          <w:sz w:val="32"/>
          <w:szCs w:val="32"/>
        </w:rPr>
      </w:pPr>
      <w:r>
        <w:rPr>
          <w:rFonts w:hint="eastAsia" w:ascii="宋体" w:hAnsi="宋体" w:eastAsia="宋体" w:cs="宋体"/>
          <w:bCs/>
          <w:color w:val="333333"/>
          <w:sz w:val="32"/>
          <w:szCs w:val="32"/>
        </w:rPr>
        <w:t>（二）会同有关部门拟订全市人力资源市场发展规划，推动全市人力资源流动政策落实；会同办理负责市直机关、企事业单位有关工作人员的流动调配工作；指导全市建立统一规范的人力资源市场，促进人力资源合理流动、有效配置。</w:t>
      </w:r>
    </w:p>
    <w:p>
      <w:pPr>
        <w:ind w:firstLine="640" w:firstLineChars="200"/>
        <w:rPr>
          <w:rFonts w:ascii="宋体" w:hAnsi="宋体" w:eastAsia="宋体" w:cs="宋体"/>
          <w:bCs/>
          <w:color w:val="333333"/>
          <w:sz w:val="32"/>
          <w:szCs w:val="32"/>
        </w:rPr>
      </w:pPr>
      <w:r>
        <w:rPr>
          <w:rFonts w:hint="eastAsia" w:ascii="宋体" w:hAnsi="宋体" w:eastAsia="宋体" w:cs="宋体"/>
          <w:bCs/>
          <w:color w:val="333333"/>
          <w:sz w:val="32"/>
          <w:szCs w:val="32"/>
        </w:rPr>
        <w:t>（三）负责促进就业工作，拟订和落实全市统筹城乡就业发展规划和实施办法，完善就业创业公共服务体系；拟订和组织落实全市就业援助制度，统筹建立面向城乡劳动者的职业培训制度，牵头落实高校毕业生就业政策，会同有关部门拟订高技能人才培养和激励措施。</w:t>
      </w:r>
    </w:p>
    <w:p>
      <w:pPr>
        <w:ind w:firstLine="640" w:firstLineChars="200"/>
        <w:rPr>
          <w:rFonts w:ascii="宋体" w:hAnsi="宋体" w:eastAsia="宋体" w:cs="宋体"/>
          <w:bCs/>
          <w:color w:val="333333"/>
          <w:sz w:val="32"/>
          <w:szCs w:val="32"/>
        </w:rPr>
      </w:pPr>
      <w:r>
        <w:rPr>
          <w:rFonts w:hint="eastAsia" w:ascii="宋体" w:hAnsi="宋体" w:eastAsia="宋体" w:cs="宋体"/>
          <w:bCs/>
          <w:color w:val="333333"/>
          <w:sz w:val="32"/>
          <w:szCs w:val="32"/>
        </w:rPr>
        <w:t>（四）统筹建立覆盖全市城乡社会保障体系，贯彻执行城乡社会保险及其补充保险政策和标准；组织落实机关企事业单位基本养老保险政策；会同有关部门拟订社会保险及其补充保险基金管理和监督办法并实施监管；编制全市社会保险基金预决算草案，参与制定全市社会保障基金投资管理办法；会同有关部门实施全民参保计划并建立全市统一的社会保险公共服务平台。</w:t>
      </w:r>
    </w:p>
    <w:p>
      <w:pPr>
        <w:ind w:firstLine="640" w:firstLineChars="200"/>
        <w:rPr>
          <w:rFonts w:ascii="宋体" w:hAnsi="宋体" w:eastAsia="宋体" w:cs="宋体"/>
          <w:bCs/>
          <w:color w:val="333333"/>
          <w:sz w:val="32"/>
          <w:szCs w:val="32"/>
        </w:rPr>
      </w:pPr>
      <w:r>
        <w:rPr>
          <w:rFonts w:hint="eastAsia" w:ascii="宋体" w:hAnsi="宋体" w:eastAsia="宋体" w:cs="宋体"/>
          <w:bCs/>
          <w:color w:val="333333"/>
          <w:sz w:val="32"/>
          <w:szCs w:val="32"/>
        </w:rPr>
        <w:t>（五）负责全市就业、失业、社会保险基金预测预警和信息引导，拟订应对预案，实施预防、调节和控制，保持就业形势稳定和社会保险基金总体收支平衡。</w:t>
      </w:r>
    </w:p>
    <w:p>
      <w:pPr>
        <w:ind w:firstLine="640" w:firstLineChars="200"/>
        <w:rPr>
          <w:rFonts w:ascii="宋体" w:hAnsi="宋体" w:eastAsia="宋体" w:cs="宋体"/>
          <w:bCs/>
          <w:color w:val="333333"/>
          <w:sz w:val="32"/>
          <w:szCs w:val="32"/>
        </w:rPr>
      </w:pPr>
      <w:r>
        <w:rPr>
          <w:rFonts w:hint="eastAsia" w:ascii="宋体" w:hAnsi="宋体" w:eastAsia="宋体" w:cs="宋体"/>
          <w:bCs/>
          <w:color w:val="333333"/>
          <w:sz w:val="32"/>
          <w:szCs w:val="32"/>
        </w:rPr>
        <w:t>（六）负责全市事业单位工资收入和福利分配综合管理，贯彻执行国家工资和上级福利政策；会同有关部门拟订全市企事业单位人员和离退休人员福利办法并组织实施；建立企事业单位人员工资正常增长和支付保障机制；监督国有企业经营者收入分配政策执行情况和全市工资发放政策的执行情况；按照管理权限承办全市事业单位工作人员及机关工勤人员工资审批工作，负责市直事业单位工作人员因工(公)伤致残鉴定及应享受待遇的审批工作。</w:t>
      </w:r>
    </w:p>
    <w:p>
      <w:pPr>
        <w:ind w:firstLine="640" w:firstLineChars="200"/>
        <w:rPr>
          <w:rFonts w:ascii="宋体" w:hAnsi="宋体" w:eastAsia="宋体" w:cs="宋体"/>
          <w:bCs/>
          <w:color w:val="333333"/>
          <w:sz w:val="32"/>
          <w:szCs w:val="32"/>
        </w:rPr>
      </w:pPr>
      <w:r>
        <w:rPr>
          <w:rFonts w:hint="eastAsia" w:ascii="宋体" w:hAnsi="宋体" w:eastAsia="宋体" w:cs="宋体"/>
          <w:bCs/>
          <w:color w:val="333333"/>
          <w:sz w:val="32"/>
          <w:szCs w:val="32"/>
        </w:rPr>
        <w:t>（七）会同有关部门指导事业单位人事制度改革；监督落实事业单位人员和机关工勤人员管理政策；参与人才管理工作；综合管理全市专业技术人员和专业技术队伍建设工作，综合管理全市专业技术人员和机关事业单位工勤人员的培训和继续教育工作。</w:t>
      </w:r>
    </w:p>
    <w:p>
      <w:pPr>
        <w:ind w:firstLine="640" w:firstLineChars="200"/>
        <w:rPr>
          <w:rFonts w:ascii="宋体" w:hAnsi="宋体" w:eastAsia="宋体" w:cs="宋体"/>
          <w:bCs/>
          <w:color w:val="333333"/>
          <w:sz w:val="32"/>
          <w:szCs w:val="32"/>
        </w:rPr>
      </w:pPr>
      <w:r>
        <w:rPr>
          <w:rFonts w:hint="eastAsia" w:ascii="宋体" w:hAnsi="宋体" w:eastAsia="宋体" w:cs="宋体"/>
          <w:bCs/>
          <w:color w:val="333333"/>
          <w:sz w:val="32"/>
          <w:szCs w:val="32"/>
        </w:rPr>
        <w:t>（八）牵头推进深化职称制度改革，完善专业技术人员职业资格和博士后管理制度，负责高层次专业技术人才选拔、培养和引进工作，组织有突出贡献专家、享受政府特殊津贴专家的选拔工作；会同有关部门拟定吸引留学人员来怀（回国）工作、定居和国（境）外机构在市内招聘专业技术骨干人才管理政策。</w:t>
      </w:r>
    </w:p>
    <w:p>
      <w:pPr>
        <w:ind w:firstLine="640" w:firstLineChars="200"/>
        <w:rPr>
          <w:rFonts w:ascii="宋体" w:hAnsi="宋体" w:eastAsia="宋体" w:cs="宋体"/>
          <w:bCs/>
          <w:color w:val="333333"/>
          <w:sz w:val="32"/>
          <w:szCs w:val="32"/>
        </w:rPr>
      </w:pPr>
      <w:r>
        <w:rPr>
          <w:rFonts w:hint="eastAsia" w:ascii="宋体" w:hAnsi="宋体" w:eastAsia="宋体" w:cs="宋体"/>
          <w:bCs/>
          <w:color w:val="333333"/>
          <w:sz w:val="32"/>
          <w:szCs w:val="32"/>
        </w:rPr>
        <w:t>（九）统筹实施劳动、人事争议调解仲裁制度。牵头落实劳动关系政策，完善劳动关系协调机制，监督实施职工工作时间、休息休假和假期制度，监督落实消除非法使用童工政策和女工、未成年工的特殊劳动保护政策；组织实施劳动监察，协调劳动者维权工作，依法查处重大案件。</w:t>
      </w:r>
    </w:p>
    <w:p>
      <w:pPr>
        <w:ind w:firstLine="640" w:firstLineChars="200"/>
        <w:rPr>
          <w:rFonts w:ascii="宋体" w:hAnsi="宋体" w:eastAsia="宋体" w:cs="宋体"/>
          <w:bCs/>
          <w:color w:val="333333"/>
          <w:sz w:val="32"/>
          <w:szCs w:val="32"/>
        </w:rPr>
      </w:pPr>
      <w:r>
        <w:rPr>
          <w:rFonts w:hint="eastAsia" w:ascii="宋体" w:hAnsi="宋体" w:eastAsia="宋体" w:cs="宋体"/>
          <w:bCs/>
          <w:color w:val="333333"/>
          <w:sz w:val="32"/>
          <w:szCs w:val="32"/>
        </w:rPr>
        <w:t>（十）会同有关部门推动农民工相关政策的落实，拟定全市农民工工作规划，协调解决重点难点问题，维护农民工合法权益。</w:t>
      </w:r>
    </w:p>
    <w:p>
      <w:pPr>
        <w:ind w:firstLine="640" w:firstLineChars="200"/>
        <w:rPr>
          <w:rFonts w:ascii="宋体" w:hAnsi="宋体" w:eastAsia="宋体" w:cs="宋体"/>
          <w:bCs/>
          <w:color w:val="333333"/>
          <w:sz w:val="32"/>
          <w:szCs w:val="32"/>
        </w:rPr>
      </w:pPr>
      <w:r>
        <w:rPr>
          <w:rFonts w:hint="eastAsia" w:ascii="宋体" w:hAnsi="宋体" w:eastAsia="宋体" w:cs="宋体"/>
          <w:bCs/>
          <w:color w:val="333333"/>
          <w:sz w:val="32"/>
          <w:szCs w:val="32"/>
        </w:rPr>
        <w:t>（十一）承担市绩效评估与为民办实事考核办公室日常工作，具体组织实施市直和中央、省在怀有关单位绩效评估和全市重点民生实事考核；会同有关部门组织实施国家、省级荣誉制度和政府表彰奖励制度，承担审核上报国家、省人民政府表彰奖励相关工作，指导和协调全市政府奖励工作，审核以市人民政府名义实施的奖励项目。</w:t>
      </w:r>
    </w:p>
    <w:p>
      <w:pPr>
        <w:ind w:firstLine="640" w:firstLineChars="200"/>
        <w:rPr>
          <w:rFonts w:ascii="宋体" w:hAnsi="宋体" w:eastAsia="宋体" w:cs="宋体"/>
          <w:bCs/>
          <w:color w:val="333333"/>
          <w:sz w:val="32"/>
          <w:szCs w:val="32"/>
        </w:rPr>
      </w:pPr>
      <w:r>
        <w:rPr>
          <w:rFonts w:hint="eastAsia" w:ascii="宋体" w:hAnsi="宋体" w:eastAsia="宋体" w:cs="宋体"/>
          <w:bCs/>
          <w:color w:val="333333"/>
          <w:sz w:val="32"/>
          <w:szCs w:val="32"/>
        </w:rPr>
        <w:t>（十二）完成市委、市政府交办的其他任务。</w:t>
      </w:r>
    </w:p>
    <w:p>
      <w:pPr>
        <w:widowControl/>
        <w:spacing w:line="600" w:lineRule="exact"/>
        <w:ind w:firstLine="320" w:firstLineChars="100"/>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ind w:firstLine="960" w:firstLineChars="300"/>
        <w:rPr>
          <w:rFonts w:ascii="宋体" w:hAnsi="宋体" w:eastAsia="宋体" w:cs="宋体"/>
          <w:kern w:val="0"/>
          <w:sz w:val="32"/>
          <w:szCs w:val="32"/>
        </w:rPr>
      </w:pPr>
      <w:r>
        <w:rPr>
          <w:rFonts w:hint="eastAsia" w:ascii="宋体" w:hAnsi="宋体" w:eastAsia="宋体" w:cs="宋体"/>
          <w:kern w:val="0"/>
          <w:sz w:val="32"/>
          <w:szCs w:val="32"/>
        </w:rPr>
        <w:t>我部门为一级部门预算单位。</w:t>
      </w:r>
    </w:p>
    <w:p>
      <w:pPr>
        <w:ind w:firstLine="640"/>
        <w:rPr>
          <w:rFonts w:ascii="宋体" w:hAnsi="宋体" w:eastAsia="宋体" w:cs="宋体"/>
          <w:color w:val="333333"/>
          <w:sz w:val="32"/>
          <w:szCs w:val="32"/>
        </w:rPr>
      </w:pPr>
      <w:r>
        <w:rPr>
          <w:rFonts w:hint="eastAsia" w:ascii="宋体" w:hAnsi="宋体" w:eastAsia="宋体" w:cs="宋体"/>
          <w:bCs/>
          <w:kern w:val="0"/>
          <w:sz w:val="32"/>
          <w:szCs w:val="32"/>
        </w:rPr>
        <w:t>（一）内设机构设置。</w:t>
      </w:r>
      <w:r>
        <w:rPr>
          <w:rFonts w:hint="eastAsia" w:ascii="宋体" w:hAnsi="宋体" w:eastAsia="宋体" w:cs="宋体"/>
          <w:color w:val="333333"/>
          <w:sz w:val="32"/>
          <w:szCs w:val="32"/>
        </w:rPr>
        <w:t>内设机构包括：办公室、法规科（行政审批服务科）、规划财务科、就业促进与失业保险科、人力资源流动管理科、职业能力建设科、专业技术人员管理科、事业单位人事管理科、农民工工作科、劳动关系科、工资福利科、职工养老保险科、城乡居民养老保险科、工伤保险科、社会保险基金监管科、绩效考核和表彰奖励科、人事科、机关党委。</w:t>
      </w:r>
    </w:p>
    <w:p>
      <w:pPr>
        <w:widowControl/>
        <w:spacing w:line="600" w:lineRule="exact"/>
        <w:ind w:firstLine="640" w:firstLineChars="200"/>
        <w:rPr>
          <w:rFonts w:ascii="黑体" w:hAnsi="黑体" w:eastAsia="黑体" w:cs="黑体"/>
          <w:sz w:val="48"/>
          <w:szCs w:val="48"/>
        </w:rPr>
      </w:pPr>
      <w:r>
        <w:rPr>
          <w:rFonts w:hint="eastAsia" w:ascii="宋体" w:hAnsi="宋体" w:eastAsia="宋体" w:cs="宋体"/>
          <w:bCs/>
          <w:kern w:val="0"/>
          <w:sz w:val="32"/>
          <w:szCs w:val="32"/>
        </w:rPr>
        <w:t>（二）决算单位构成。2021年部门决算汇总公开单位构成包括</w:t>
      </w:r>
      <w:r>
        <w:rPr>
          <w:rFonts w:hint="eastAsia" w:ascii="宋体" w:hAnsi="宋体" w:eastAsia="宋体" w:cs="宋体"/>
          <w:sz w:val="32"/>
          <w:szCs w:val="32"/>
        </w:rPr>
        <w:t>：局机关本级、信息管理中心、考试指导服务中心。</w:t>
      </w:r>
    </w:p>
    <w:p>
      <w:pPr>
        <w:jc w:val="center"/>
        <w:rPr>
          <w:sz w:val="30"/>
          <w:szCs w:val="30"/>
        </w:rPr>
      </w:pPr>
      <w:r>
        <w:rPr>
          <w:rFonts w:hint="eastAsia" w:ascii="黑体" w:hAnsi="黑体" w:eastAsia="黑体" w:cs="黑体"/>
          <w:sz w:val="48"/>
          <w:szCs w:val="48"/>
        </w:rPr>
        <w:t>第二部分</w:t>
      </w:r>
      <w:r>
        <w:rPr>
          <w:rFonts w:hint="eastAsia" w:ascii="黑体" w:hAnsi="黑体" w:eastAsia="黑体" w:cs="黑体"/>
          <w:sz w:val="48"/>
          <w:szCs w:val="48"/>
          <w:lang w:val="en-US" w:eastAsia="zh-CN"/>
        </w:rPr>
        <w:t xml:space="preserve"> </w:t>
      </w:r>
      <w:r>
        <w:rPr>
          <w:rFonts w:hint="eastAsia" w:ascii="黑体" w:hAnsi="黑体" w:eastAsia="黑体" w:cs="黑体"/>
          <w:sz w:val="48"/>
          <w:szCs w:val="48"/>
        </w:rPr>
        <w:t>部门决算表</w:t>
      </w:r>
    </w:p>
    <w:p>
      <w:pPr>
        <w:jc w:val="center"/>
        <w:rPr>
          <w:sz w:val="72"/>
          <w:szCs w:val="72"/>
        </w:rPr>
        <w:sectPr>
          <w:pgSz w:w="16838" w:h="11906" w:orient="landscape"/>
          <w:pgMar w:top="720" w:right="720" w:bottom="720" w:left="720" w:header="851" w:footer="992" w:gutter="0"/>
          <w:cols w:space="425" w:num="1"/>
          <w:docGrid w:type="lines" w:linePitch="312" w:charSpace="0"/>
        </w:sectPr>
      </w:pPr>
      <w:r>
        <w:rPr>
          <w:rFonts w:hint="eastAsia"/>
          <w:sz w:val="30"/>
          <w:szCs w:val="30"/>
          <w:lang w:val="en-US" w:eastAsia="zh-CN"/>
        </w:rPr>
        <w:t>详</w:t>
      </w:r>
      <w:r>
        <w:rPr>
          <w:rFonts w:hint="eastAsia"/>
          <w:sz w:val="30"/>
          <w:szCs w:val="30"/>
        </w:rPr>
        <w:t>见附件</w:t>
      </w:r>
      <w:bookmarkStart w:id="0" w:name="RANGE!A1:I22"/>
      <w:bookmarkEnd w:id="0"/>
    </w:p>
    <w:p>
      <w:pPr>
        <w:pStyle w:val="11"/>
        <w:jc w:val="center"/>
        <w:rPr>
          <w:sz w:val="36"/>
          <w:szCs w:val="36"/>
        </w:rPr>
      </w:pPr>
      <w:r>
        <w:rPr>
          <w:rFonts w:hint="eastAsia"/>
          <w:sz w:val="48"/>
          <w:szCs w:val="48"/>
        </w:rPr>
        <w:t>第三部分</w:t>
      </w:r>
      <w:r>
        <w:rPr>
          <w:sz w:val="48"/>
          <w:szCs w:val="48"/>
        </w:rPr>
        <w:t>20</w:t>
      </w:r>
      <w:r>
        <w:rPr>
          <w:rFonts w:hint="eastAsia"/>
          <w:sz w:val="48"/>
          <w:szCs w:val="48"/>
        </w:rPr>
        <w:t>21年度部门决算情况说明</w:t>
      </w:r>
    </w:p>
    <w:p>
      <w:pPr>
        <w:widowControl/>
        <w:ind w:firstLine="640" w:firstLineChars="200"/>
        <w:jc w:val="left"/>
        <w:rPr>
          <w:rFonts w:hAnsi="黑体"/>
          <w:b/>
          <w:sz w:val="32"/>
          <w:szCs w:val="32"/>
        </w:rPr>
      </w:pPr>
      <w:r>
        <w:rPr>
          <w:rFonts w:hint="eastAsia" w:hAnsi="黑体"/>
          <w:b/>
          <w:sz w:val="32"/>
          <w:szCs w:val="32"/>
        </w:rPr>
        <w:t>一、收入支出决算总体情况说明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2021年度收、支</w:t>
      </w:r>
      <w:r>
        <w:rPr>
          <w:rFonts w:hint="eastAsia" w:asciiTheme="minorEastAsia" w:hAnsiTheme="minorEastAsia" w:eastAsiaTheme="minorEastAsia"/>
          <w:color w:val="auto"/>
          <w:sz w:val="32"/>
          <w:szCs w:val="32"/>
        </w:rPr>
        <w:t>总计各1812.26万元。与上年相比，减少123.91万元，增减少6.4%，主要是因为</w:t>
      </w:r>
      <w:r>
        <w:rPr>
          <w:rFonts w:hint="eastAsia" w:asciiTheme="minorEastAsia" w:hAnsiTheme="minorEastAsia" w:eastAsiaTheme="minorEastAsia"/>
          <w:sz w:val="32"/>
          <w:szCs w:val="32"/>
        </w:rPr>
        <w:t>财政压减了工作经费。</w:t>
      </w:r>
    </w:p>
    <w:p>
      <w:pPr>
        <w:pStyle w:val="11"/>
        <w:ind w:firstLine="640" w:firstLineChars="200"/>
        <w:rPr>
          <w:rFonts w:hAnsi="黑体"/>
          <w:b/>
          <w:sz w:val="32"/>
          <w:szCs w:val="32"/>
        </w:rPr>
      </w:pPr>
      <w:r>
        <w:rPr>
          <w:rFonts w:hint="eastAsia" w:hAnsi="黑体"/>
          <w:b/>
          <w:sz w:val="32"/>
          <w:szCs w:val="32"/>
        </w:rPr>
        <w:t>二、收入决算情况说明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2021年度收入合计1662.57万元，其中：财政拨款收入1561.97万元，占93.95%；上级补助收入0万元，占0%；事业收入0万元，占0%；经营收入0万元，占0%；附属单位上缴收入0万元，占0%；其他收入100.6万元，占6.05%。</w:t>
      </w:r>
    </w:p>
    <w:p>
      <w:pPr>
        <w:pStyle w:val="11"/>
        <w:ind w:firstLine="640" w:firstLineChars="200"/>
        <w:rPr>
          <w:rFonts w:hAnsi="黑体"/>
          <w:b/>
          <w:sz w:val="32"/>
          <w:szCs w:val="32"/>
        </w:rPr>
      </w:pPr>
      <w:r>
        <w:rPr>
          <w:rFonts w:hint="eastAsia" w:hAnsi="黑体"/>
          <w:b/>
          <w:sz w:val="32"/>
          <w:szCs w:val="32"/>
        </w:rPr>
        <w:t>三、支出决算情况说明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2021年度支出合计1812.26万元，其中：基本支出1812.26万元，占100%；项目支出0万元，占0%；上缴上级支出0万元，占0%；经营支出0万元，占0%；对附属单位补助支出0万元，占0%。</w:t>
      </w:r>
    </w:p>
    <w:p>
      <w:pPr>
        <w:pStyle w:val="11"/>
        <w:ind w:firstLine="640" w:firstLineChars="200"/>
        <w:rPr>
          <w:rFonts w:hAnsi="黑体"/>
          <w:b/>
          <w:sz w:val="32"/>
          <w:szCs w:val="32"/>
        </w:rPr>
      </w:pPr>
      <w:r>
        <w:rPr>
          <w:rFonts w:hint="eastAsia" w:hAnsi="黑体"/>
          <w:b/>
          <w:sz w:val="32"/>
          <w:szCs w:val="32"/>
        </w:rPr>
        <w:t>四、财政拨款收入支出决算总体情况说明</w:t>
      </w:r>
    </w:p>
    <w:p>
      <w:pPr>
        <w:pStyle w:val="11"/>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2021年度财政拨款收、支总计1711.65万元，与上年相比，减少115.97万元,减少6.35%，主要是因为财政压减了工作经费。</w:t>
      </w:r>
    </w:p>
    <w:p>
      <w:pPr>
        <w:pStyle w:val="11"/>
        <w:ind w:firstLine="640" w:firstLineChars="200"/>
        <w:rPr>
          <w:rFonts w:hAnsi="黑体"/>
          <w:b/>
          <w:sz w:val="32"/>
          <w:szCs w:val="32"/>
        </w:rPr>
      </w:pPr>
      <w:r>
        <w:rPr>
          <w:rFonts w:hint="eastAsia" w:hAnsi="黑体"/>
          <w:b/>
          <w:sz w:val="32"/>
          <w:szCs w:val="32"/>
        </w:rPr>
        <w:t>五、一般公共预算财政拨款支出决算情况说明</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2021年度财政拨款支出1711.65万元，占本年支出合计的94.45%，与上年相比，财政拨款支出减少115.97万元，减少6.35%，主要是因为财政压减了工作经费。</w:t>
      </w:r>
    </w:p>
    <w:p>
      <w:pPr>
        <w:pStyle w:val="11"/>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2021年度财政拨款支出1711.65万元，主要用于以下方面：社会保障和就业（类）支出1639.92万元，占95.81%；卫生健康（类）支出71.73万元，占4.19%。</w:t>
      </w:r>
    </w:p>
    <w:p>
      <w:pPr>
        <w:pStyle w:val="11"/>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1"/>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2021年度财政拨款支出年初预算数为1022.17万元，支出决算数为1711.65万元，完成年初预算的167.45%，其中：</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1、社会保障和就业支出（类）人力资源和社会保障管理事务（款）行政运行（项）。</w:t>
      </w:r>
    </w:p>
    <w:p>
      <w:pPr>
        <w:pStyle w:val="11"/>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年初预算为646.46万元，支出决算为969.31万元，完成年初预算的149.94%，决算数大于年初预算数的主要原因是：</w:t>
      </w:r>
      <w:r>
        <w:rPr>
          <w:rFonts w:hint="eastAsia" w:asciiTheme="minorEastAsia" w:hAnsiTheme="minorEastAsia" w:eastAsiaTheme="minorEastAsia" w:cstheme="minorEastAsia"/>
          <w:sz w:val="32"/>
          <w:szCs w:val="32"/>
        </w:rPr>
        <w:t>决算数包含上年结转数、</w:t>
      </w:r>
      <w:r>
        <w:rPr>
          <w:rFonts w:hint="eastAsia" w:asciiTheme="minorEastAsia" w:hAnsiTheme="minorEastAsia" w:eastAsiaTheme="minorEastAsia"/>
          <w:sz w:val="32"/>
          <w:szCs w:val="32"/>
        </w:rPr>
        <w:t>部分非税收入返还从其他科目调整到该科目、在职人员2020年绩效。</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2、社会保障和就业支出（类）人力资源和社会保障管理事务（款）一般行政管理事务（项）。</w:t>
      </w:r>
    </w:p>
    <w:p>
      <w:pPr>
        <w:pStyle w:val="11"/>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215.8万元，支出决算为300.82万元，完成年初预算的139.40%，决算数大于年初预算数的主要原因是：追加了人力资源市场院落安全隐患消除经费、社保基金管理防风险堵漏洞专项整治和养老保险待遇核实“回头看”工作经费。</w:t>
      </w:r>
    </w:p>
    <w:p>
      <w:pPr>
        <w:pStyle w:val="11"/>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3、社会保障和就业支出（类）人力资源和社会保障管理事务（款）机关服务（项）。</w:t>
      </w:r>
    </w:p>
    <w:p>
      <w:pPr>
        <w:pStyle w:val="11"/>
        <w:ind w:firstLine="640"/>
        <w:jc w:val="both"/>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年初预算为0万元，支出决算为2.07万元，决算数大于年初预算数的主要原因是：非税收入返还。</w:t>
      </w:r>
    </w:p>
    <w:p>
      <w:pPr>
        <w:pStyle w:val="11"/>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4、社会保障和就业支出（类）人力资源和社会保障管理事务（款）其他人力资源和社会保障管理事务支出（项）</w:t>
      </w:r>
    </w:p>
    <w:p>
      <w:pPr>
        <w:pStyle w:val="11"/>
        <w:ind w:left="525" w:leftChars="250"/>
        <w:jc w:val="both"/>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年初预算为43.82万元，支出决算为21.32万元，完成年初预算的48.65%，</w:t>
      </w:r>
    </w:p>
    <w:p>
      <w:pPr>
        <w:pStyle w:val="11"/>
        <w:jc w:val="both"/>
        <w:rPr>
          <w:rFonts w:asciiTheme="minorEastAsia" w:hAnsiTheme="minorEastAsia" w:eastAsiaTheme="minorEastAsia"/>
          <w:sz w:val="32"/>
          <w:szCs w:val="32"/>
        </w:rPr>
      </w:pPr>
      <w:r>
        <w:rPr>
          <w:rFonts w:hint="eastAsia" w:asciiTheme="minorEastAsia" w:hAnsiTheme="minorEastAsia" w:eastAsiaTheme="minorEastAsia"/>
          <w:sz w:val="32"/>
          <w:szCs w:val="32"/>
        </w:rPr>
        <w:t>决算数小于年初预算数的主要原因是：部分非税收入返还调整到其他科目。</w:t>
      </w:r>
    </w:p>
    <w:p>
      <w:pPr>
        <w:pStyle w:val="11"/>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5、社会保障和就业支出（类）行政事业单位养老支出（款）行政单位离退休（项）。</w:t>
      </w:r>
    </w:p>
    <w:p>
      <w:pPr>
        <w:pStyle w:val="11"/>
        <w:ind w:left="525" w:leftChars="250"/>
        <w:jc w:val="both"/>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年初预算为116.09万元，支出决算为128.98万元，完成年初预算的</w:t>
      </w:r>
    </w:p>
    <w:p>
      <w:pPr>
        <w:pStyle w:val="11"/>
        <w:jc w:val="both"/>
        <w:rPr>
          <w:rFonts w:ascii="宋体" w:hAnsi="宋体" w:eastAsia="宋体" w:cs="宋体"/>
          <w:sz w:val="30"/>
          <w:szCs w:val="30"/>
        </w:rPr>
      </w:pPr>
      <w:r>
        <w:rPr>
          <w:rFonts w:hint="eastAsia" w:asciiTheme="minorEastAsia" w:hAnsiTheme="minorEastAsia" w:eastAsiaTheme="minorEastAsia"/>
          <w:sz w:val="32"/>
          <w:szCs w:val="32"/>
        </w:rPr>
        <w:t>111.10%，决算数大于年初预算数的主要原因是：</w:t>
      </w:r>
      <w:r>
        <w:rPr>
          <w:rFonts w:hint="eastAsia" w:ascii="宋体" w:hAnsi="宋体" w:eastAsia="宋体" w:cs="宋体"/>
          <w:sz w:val="32"/>
          <w:szCs w:val="32"/>
        </w:rPr>
        <w:t>决算数包含上年结转数</w:t>
      </w:r>
      <w:r>
        <w:rPr>
          <w:rFonts w:hint="eastAsia" w:ascii="宋体" w:hAnsi="宋体" w:eastAsia="宋体" w:cs="宋体"/>
          <w:sz w:val="30"/>
          <w:szCs w:val="30"/>
        </w:rPr>
        <w:t>。</w:t>
      </w:r>
    </w:p>
    <w:p>
      <w:pPr>
        <w:pStyle w:val="11"/>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6、社会保障和就业支出（类）行政事业单位养老支出（款）机关事业单位基本养老保险缴费支出（项）。</w:t>
      </w:r>
    </w:p>
    <w:p>
      <w:pPr>
        <w:pStyle w:val="11"/>
        <w:ind w:left="525" w:leftChars="250"/>
        <w:jc w:val="both"/>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年初预算为0万元，支出决算为85.7万元，决算数大于年初预算数的主</w:t>
      </w:r>
    </w:p>
    <w:p>
      <w:pPr>
        <w:pStyle w:val="11"/>
        <w:jc w:val="both"/>
        <w:rPr>
          <w:rFonts w:ascii="宋体" w:hAnsi="宋体" w:eastAsia="宋体" w:cs="宋体"/>
          <w:sz w:val="32"/>
          <w:szCs w:val="32"/>
        </w:rPr>
      </w:pPr>
      <w:r>
        <w:rPr>
          <w:rFonts w:hint="eastAsia" w:asciiTheme="minorEastAsia" w:hAnsiTheme="minorEastAsia" w:eastAsiaTheme="minorEastAsia"/>
          <w:sz w:val="32"/>
          <w:szCs w:val="32"/>
        </w:rPr>
        <w:t>要原因是：</w:t>
      </w:r>
      <w:r>
        <w:rPr>
          <w:rFonts w:hint="eastAsia" w:ascii="宋体" w:hAnsi="宋体" w:eastAsia="宋体" w:cs="宋体"/>
          <w:sz w:val="32"/>
          <w:szCs w:val="32"/>
        </w:rPr>
        <w:t>决算数包含上年结转数以及其他科目调整到该科目。</w:t>
      </w:r>
    </w:p>
    <w:p>
      <w:pPr>
        <w:pStyle w:val="11"/>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7、社会保障和就业支出（类）行政事业单位养老支出（款）其他行政事业单位养老支出（项）。</w:t>
      </w:r>
    </w:p>
    <w:p>
      <w:pPr>
        <w:pStyle w:val="11"/>
        <w:ind w:left="525" w:leftChars="250"/>
        <w:jc w:val="both"/>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年初预算为0万元，支出决算为99.62万元，决算数大于年初预算数的主</w:t>
      </w:r>
    </w:p>
    <w:p>
      <w:pPr>
        <w:pStyle w:val="11"/>
        <w:jc w:val="both"/>
        <w:rPr>
          <w:rFonts w:asciiTheme="minorEastAsia" w:hAnsiTheme="minorEastAsia" w:eastAsiaTheme="minorEastAsia"/>
          <w:sz w:val="32"/>
          <w:szCs w:val="32"/>
        </w:rPr>
      </w:pPr>
      <w:r>
        <w:rPr>
          <w:rFonts w:hint="eastAsia" w:asciiTheme="minorEastAsia" w:hAnsiTheme="minorEastAsia" w:eastAsiaTheme="minorEastAsia"/>
          <w:sz w:val="32"/>
          <w:szCs w:val="32"/>
        </w:rPr>
        <w:t>要原因是：追加了离退休人员春节一次性生活补助。</w:t>
      </w:r>
    </w:p>
    <w:p>
      <w:pPr>
        <w:pStyle w:val="11"/>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8、社会保障和就业支出（类）就业补助（款）公益性岗位补贴（项）。</w:t>
      </w:r>
    </w:p>
    <w:p>
      <w:pPr>
        <w:pStyle w:val="11"/>
        <w:ind w:left="525" w:leftChars="250"/>
        <w:jc w:val="both"/>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年初预算为0万元，支出决算为18.09万元，决算数大于年初预算数的主</w:t>
      </w:r>
    </w:p>
    <w:p>
      <w:pPr>
        <w:pStyle w:val="11"/>
        <w:jc w:val="both"/>
        <w:rPr>
          <w:rFonts w:asciiTheme="minorEastAsia" w:hAnsiTheme="minorEastAsia" w:eastAsiaTheme="minorEastAsia"/>
          <w:sz w:val="32"/>
          <w:szCs w:val="32"/>
        </w:rPr>
      </w:pPr>
      <w:r>
        <w:rPr>
          <w:rFonts w:hint="eastAsia" w:asciiTheme="minorEastAsia" w:hAnsiTheme="minorEastAsia" w:eastAsiaTheme="minorEastAsia"/>
          <w:sz w:val="32"/>
          <w:szCs w:val="32"/>
        </w:rPr>
        <w:t>要原因是：财政拨付公益性岗位工资及社保补贴。</w:t>
      </w:r>
    </w:p>
    <w:p>
      <w:pPr>
        <w:pStyle w:val="11"/>
        <w:ind w:left="525" w:leftChars="250"/>
        <w:jc w:val="both"/>
        <w:rPr>
          <w:rFonts w:asciiTheme="minorEastAsia" w:hAnsiTheme="minorEastAsia" w:eastAsiaTheme="minorEastAsia"/>
          <w:sz w:val="32"/>
          <w:szCs w:val="32"/>
        </w:rPr>
      </w:pPr>
      <w:r>
        <w:rPr>
          <w:rFonts w:hint="eastAsia" w:asciiTheme="minorEastAsia" w:hAnsiTheme="minorEastAsia" w:eastAsiaTheme="minorEastAsia"/>
          <w:sz w:val="32"/>
          <w:szCs w:val="32"/>
        </w:rPr>
        <w:t>9、社会保障和就业支出（类）就业补助（款）其他就业补助支出（项）。</w:t>
      </w:r>
    </w:p>
    <w:p>
      <w:pPr>
        <w:pStyle w:val="11"/>
        <w:ind w:left="525" w:leftChars="250"/>
        <w:jc w:val="both"/>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年初预算为0万元，支出决算为14万元，决算数大于年初预算数的主要原</w:t>
      </w:r>
    </w:p>
    <w:p>
      <w:pPr>
        <w:pStyle w:val="11"/>
        <w:jc w:val="both"/>
        <w:rPr>
          <w:rFonts w:asciiTheme="minorEastAsia" w:hAnsiTheme="minorEastAsia" w:eastAsiaTheme="minorEastAsia"/>
          <w:sz w:val="32"/>
          <w:szCs w:val="32"/>
        </w:rPr>
      </w:pPr>
      <w:r>
        <w:rPr>
          <w:rFonts w:hint="eastAsia" w:asciiTheme="minorEastAsia" w:hAnsiTheme="minorEastAsia" w:eastAsiaTheme="minorEastAsia"/>
          <w:sz w:val="32"/>
          <w:szCs w:val="32"/>
        </w:rPr>
        <w:t>因是：省厅下达2021年省补助劳动关系和谐同行及农民工权益监测项目经费。</w:t>
      </w:r>
    </w:p>
    <w:p>
      <w:pPr>
        <w:pStyle w:val="11"/>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10、卫生健康支出（类）行政事业单位医疗（款）行政单位医疗（项）。</w:t>
      </w:r>
    </w:p>
    <w:p>
      <w:pPr>
        <w:pStyle w:val="11"/>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年初预算为0万元，支出决算为66.79万元，决算数大于年初预算数的主</w:t>
      </w:r>
    </w:p>
    <w:p>
      <w:pPr>
        <w:pStyle w:val="11"/>
        <w:jc w:val="both"/>
        <w:rPr>
          <w:rFonts w:ascii="宋体" w:hAnsi="宋体" w:eastAsia="宋体" w:cs="宋体"/>
          <w:sz w:val="32"/>
          <w:szCs w:val="32"/>
        </w:rPr>
      </w:pPr>
      <w:r>
        <w:rPr>
          <w:rFonts w:hint="eastAsia" w:asciiTheme="minorEastAsia" w:hAnsiTheme="minorEastAsia" w:eastAsiaTheme="minorEastAsia"/>
          <w:sz w:val="32"/>
          <w:szCs w:val="32"/>
        </w:rPr>
        <w:t>要原因是：</w:t>
      </w:r>
      <w:r>
        <w:rPr>
          <w:rFonts w:hint="eastAsia" w:ascii="宋体" w:hAnsi="宋体" w:eastAsia="宋体" w:cs="宋体"/>
          <w:sz w:val="32"/>
          <w:szCs w:val="32"/>
        </w:rPr>
        <w:t>决算数包含上年结转数以及</w:t>
      </w:r>
      <w:r>
        <w:rPr>
          <w:rFonts w:hint="eastAsia" w:asciiTheme="minorEastAsia" w:hAnsiTheme="minorEastAsia" w:eastAsiaTheme="minorEastAsia"/>
          <w:sz w:val="32"/>
          <w:szCs w:val="32"/>
        </w:rPr>
        <w:t>财政拨付的职工基本医疗保险缴费</w:t>
      </w:r>
      <w:r>
        <w:rPr>
          <w:rFonts w:hint="eastAsia" w:ascii="宋体" w:hAnsi="宋体" w:eastAsia="宋体" w:cs="宋体"/>
          <w:sz w:val="32"/>
          <w:szCs w:val="32"/>
        </w:rPr>
        <w:t>。</w:t>
      </w:r>
    </w:p>
    <w:p>
      <w:pPr>
        <w:pStyle w:val="11"/>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11、卫生健康支出（类）行政事业单位医疗（款）其他行政事业单位医疗支出（项）。</w:t>
      </w:r>
    </w:p>
    <w:p>
      <w:pPr>
        <w:pStyle w:val="11"/>
        <w:ind w:left="525" w:leftChars="250"/>
        <w:jc w:val="both"/>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年初预算为0万元，支出决算为2.94万元，决算数大于年初预算数的主</w:t>
      </w:r>
    </w:p>
    <w:p>
      <w:pPr>
        <w:pStyle w:val="11"/>
        <w:jc w:val="both"/>
        <w:rPr>
          <w:rFonts w:asciiTheme="minorEastAsia" w:hAnsiTheme="minorEastAsia" w:eastAsiaTheme="minorEastAsia"/>
          <w:sz w:val="32"/>
          <w:szCs w:val="32"/>
        </w:rPr>
      </w:pPr>
      <w:r>
        <w:rPr>
          <w:rFonts w:hint="eastAsia" w:asciiTheme="minorEastAsia" w:hAnsiTheme="minorEastAsia" w:eastAsiaTheme="minorEastAsia"/>
          <w:sz w:val="32"/>
          <w:szCs w:val="32"/>
        </w:rPr>
        <w:t>要原因是：财政拨付的职工基本医疗保险缴费。</w:t>
      </w:r>
    </w:p>
    <w:p>
      <w:pPr>
        <w:pStyle w:val="11"/>
        <w:numPr>
          <w:ilvl w:val="0"/>
          <w:numId w:val="2"/>
        </w:numPr>
        <w:jc w:val="both"/>
        <w:rPr>
          <w:rFonts w:asciiTheme="minorEastAsia" w:hAnsiTheme="minorEastAsia" w:eastAsiaTheme="minorEastAsia"/>
          <w:sz w:val="32"/>
          <w:szCs w:val="32"/>
        </w:rPr>
      </w:pPr>
      <w:r>
        <w:rPr>
          <w:rFonts w:hint="eastAsia" w:asciiTheme="minorEastAsia" w:hAnsiTheme="minorEastAsia" w:eastAsiaTheme="minorEastAsia"/>
          <w:sz w:val="32"/>
          <w:szCs w:val="32"/>
        </w:rPr>
        <w:t>卫生健康支出（类）行政事业单位医疗（款）城乡医疗救助（项）。</w:t>
      </w:r>
    </w:p>
    <w:p>
      <w:pPr>
        <w:pStyle w:val="11"/>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年初预算为0万元，支出决算为2万元，决算数大于年初预算数的主要原因是：拨王述军医疗救助补助。</w:t>
      </w:r>
    </w:p>
    <w:p>
      <w:pPr>
        <w:pStyle w:val="11"/>
        <w:ind w:firstLine="640" w:firstLineChars="200"/>
        <w:rPr>
          <w:rFonts w:hAnsi="黑体"/>
          <w:b/>
          <w:sz w:val="32"/>
          <w:szCs w:val="32"/>
        </w:rPr>
      </w:pPr>
      <w:r>
        <w:rPr>
          <w:rFonts w:hint="eastAsia" w:hAnsi="黑体"/>
          <w:b/>
          <w:sz w:val="32"/>
          <w:szCs w:val="32"/>
        </w:rPr>
        <w:t>六、一般公共预算财政拨款基本支出决算情况说明</w:t>
      </w:r>
    </w:p>
    <w:p>
      <w:pPr>
        <w:pStyle w:val="11"/>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1711.65万元，其中：人员经费1183.32万元，占基本支出的69.13%,主要包括基本工资、津贴补贴、奖金、伙食补助费机关事业单位基本养老保险缴费、离休费、退休费等；公用经费528.33万元，占基本支出的30.87%，主要包括办公费、印刷费、水费、电费、差旅费、维修（护）费、物业管理费、公务员接待费、公务员用车运行维护费等。</w:t>
      </w:r>
    </w:p>
    <w:p>
      <w:pPr>
        <w:pStyle w:val="11"/>
        <w:ind w:firstLine="640" w:firstLineChars="200"/>
        <w:rPr>
          <w:rFonts w:hAnsi="黑体"/>
          <w:b/>
          <w:sz w:val="32"/>
          <w:szCs w:val="32"/>
        </w:rPr>
      </w:pPr>
      <w:r>
        <w:rPr>
          <w:rFonts w:hint="eastAsia" w:hAnsi="黑体"/>
          <w:b/>
          <w:sz w:val="32"/>
          <w:szCs w:val="32"/>
        </w:rPr>
        <w:t>七、一般公共预算财政拨款“三公”经费支出决算情况说明</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2021年度“三公”经费财政拨款支出预算为57.9万元，支出决算为20.69万元，完成预算的35.73%，其中：</w:t>
      </w:r>
    </w:p>
    <w:p>
      <w:pPr>
        <w:pStyle w:val="11"/>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sz w:val="32"/>
          <w:szCs w:val="32"/>
        </w:rPr>
        <w:t>因公出国（境）费支出预算为0万元，支出决</w:t>
      </w:r>
      <w:r>
        <w:rPr>
          <w:rFonts w:hint="eastAsia" w:asciiTheme="minorEastAsia" w:hAnsiTheme="minorEastAsia" w:eastAsiaTheme="minorEastAsia"/>
          <w:color w:val="auto"/>
          <w:sz w:val="32"/>
          <w:szCs w:val="32"/>
        </w:rPr>
        <w:t>算为0万元，决算数与年初预算数持平，主要原因按预算执行，与上年数持平，主要原因本年度未安排因公出国（境）。</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公务接待费支出预算为30万元，支出决算为4.6万元，完成预算的15.33%，决算数小于预算数的主要原因是</w:t>
      </w:r>
      <w:r>
        <w:rPr>
          <w:rFonts w:hint="eastAsia" w:asciiTheme="minorEastAsia" w:hAnsiTheme="minorEastAsia" w:eastAsiaTheme="minorEastAsia" w:cstheme="minorEastAsia"/>
          <w:sz w:val="32"/>
          <w:szCs w:val="32"/>
        </w:rPr>
        <w:t>认真落实中央八项规定和厉行节约的各项要求，进一步从严控制“三公”经费开支</w:t>
      </w:r>
      <w:r>
        <w:rPr>
          <w:rFonts w:hint="eastAsia" w:asciiTheme="minorEastAsia" w:hAnsiTheme="minorEastAsia" w:eastAsiaTheme="minorEastAsia"/>
          <w:sz w:val="32"/>
          <w:szCs w:val="32"/>
        </w:rPr>
        <w:t>，与上年相比减少0.6万元，减少11.54%,减少的主要原因是</w:t>
      </w:r>
      <w:r>
        <w:rPr>
          <w:rFonts w:hint="eastAsia" w:asciiTheme="minorEastAsia" w:hAnsiTheme="minorEastAsia" w:eastAsiaTheme="minorEastAsia" w:cstheme="minorEastAsia"/>
          <w:sz w:val="32"/>
          <w:szCs w:val="32"/>
        </w:rPr>
        <w:t>从严控制“三公”经费开支</w:t>
      </w:r>
      <w:r>
        <w:rPr>
          <w:rFonts w:hint="eastAsia" w:asciiTheme="minorEastAsia" w:hAnsiTheme="minorEastAsia" w:eastAsiaTheme="minorEastAsia"/>
          <w:sz w:val="32"/>
          <w:szCs w:val="32"/>
        </w:rPr>
        <w:t>。</w:t>
      </w:r>
    </w:p>
    <w:p>
      <w:pPr>
        <w:pStyle w:val="6"/>
        <w:widowControl/>
        <w:spacing w:before="30" w:beforeAutospacing="0" w:after="30" w:afterAutospacing="0" w:line="600" w:lineRule="exact"/>
        <w:ind w:firstLine="640" w:firstLineChars="200"/>
        <w:jc w:val="left"/>
        <w:rPr>
          <w:rFonts w:asciiTheme="minorEastAsia" w:hAnsiTheme="minorEastAsia"/>
          <w:color w:val="auto"/>
          <w:sz w:val="32"/>
          <w:szCs w:val="32"/>
        </w:rPr>
      </w:pPr>
      <w:r>
        <w:rPr>
          <w:rFonts w:hint="eastAsia" w:asciiTheme="minorEastAsia" w:hAnsiTheme="minorEastAsia"/>
          <w:sz w:val="32"/>
          <w:szCs w:val="32"/>
        </w:rPr>
        <w:t>公务用车购置费支出预算为0万元，支出决算</w:t>
      </w:r>
      <w:r>
        <w:rPr>
          <w:rFonts w:hint="eastAsia" w:asciiTheme="minorEastAsia" w:hAnsiTheme="minorEastAsia"/>
          <w:color w:val="auto"/>
          <w:sz w:val="32"/>
          <w:szCs w:val="32"/>
        </w:rPr>
        <w:t>为0万元，决算数与年初预算数持平主要原因按预算执行，与上年数持平，主要原因是厉行节约，减少开支。</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公务用车运行维护费支出预算为27.9万元，支出决算为16.09万元，完成预算的57.67%，决算数小于预算数的主要原因是</w:t>
      </w:r>
      <w:r>
        <w:rPr>
          <w:rFonts w:hint="eastAsia" w:asciiTheme="minorEastAsia" w:hAnsiTheme="minorEastAsia" w:eastAsiaTheme="minorEastAsia" w:cstheme="minorEastAsia"/>
          <w:sz w:val="32"/>
          <w:szCs w:val="32"/>
        </w:rPr>
        <w:t>认真落实中央八项规定和厉行节约的各项要求，进一步从严控制“三公”经费开支</w:t>
      </w:r>
      <w:r>
        <w:rPr>
          <w:rFonts w:hint="eastAsia" w:asciiTheme="minorEastAsia" w:hAnsiTheme="minorEastAsia" w:eastAsiaTheme="minorEastAsia"/>
          <w:sz w:val="32"/>
          <w:szCs w:val="32"/>
        </w:rPr>
        <w:t>，与上年相比减少3.9万元，减少19.51%,减少的主要原因是</w:t>
      </w:r>
      <w:r>
        <w:rPr>
          <w:rFonts w:hint="eastAsia" w:asciiTheme="minorEastAsia" w:hAnsiTheme="minorEastAsia" w:eastAsiaTheme="minorEastAsia" w:cstheme="minorEastAsia"/>
          <w:sz w:val="32"/>
          <w:szCs w:val="32"/>
        </w:rPr>
        <w:t>从严控制“三公”经费开支</w:t>
      </w:r>
      <w:r>
        <w:rPr>
          <w:rFonts w:hint="eastAsia" w:asciiTheme="minorEastAsia" w:hAnsiTheme="minorEastAsia" w:eastAsiaTheme="minorEastAsia"/>
          <w:sz w:val="32"/>
          <w:szCs w:val="32"/>
        </w:rPr>
        <w:t>。</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2021年度“三公”经费财政拨款支出决算中，公务接待费支出决算4.6万元，占22.23%,因公出国（境）费支出决算0万元，占0%,公务用车购置费及运行维护费支出决算16.09万元，占77.77%。其中：</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sz w:val="32"/>
          <w:szCs w:val="32"/>
        </w:rPr>
        <w:t>1、因公出国（境）费支出决算为0万元，全年安排因公出国（境）团组0个，累计0人次。</w:t>
      </w:r>
    </w:p>
    <w:p>
      <w:pPr>
        <w:widowControl/>
        <w:spacing w:line="600" w:lineRule="exact"/>
        <w:ind w:firstLine="640" w:firstLineChars="200"/>
        <w:rPr>
          <w:rFonts w:asciiTheme="minorEastAsia" w:hAnsiTheme="minorEastAsia" w:cstheme="minorEastAsia"/>
          <w:sz w:val="32"/>
          <w:szCs w:val="32"/>
        </w:rPr>
      </w:pPr>
      <w:r>
        <w:rPr>
          <w:rFonts w:hint="eastAsia" w:asciiTheme="minorEastAsia" w:hAnsiTheme="minorEastAsia"/>
          <w:sz w:val="32"/>
          <w:szCs w:val="32"/>
        </w:rPr>
        <w:t>2、公务接待费支出决算为4.6万元，全年共接待来访团组46个、来宾340人次，主要是</w:t>
      </w:r>
      <w:r>
        <w:rPr>
          <w:rFonts w:hint="eastAsia" w:asciiTheme="minorEastAsia" w:hAnsiTheme="minorEastAsia" w:cstheme="minorEastAsia"/>
          <w:kern w:val="0"/>
          <w:sz w:val="32"/>
          <w:szCs w:val="32"/>
        </w:rPr>
        <w:t>与相关单位交流工作情况、以及与市州县市区工作往来发生的接待支出。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w:t>
      </w:r>
      <w:r>
        <w:rPr>
          <w:rFonts w:hint="eastAsia" w:asciiTheme="minorEastAsia" w:hAnsiTheme="minorEastAsia"/>
          <w:color w:val="auto"/>
          <w:sz w:val="32"/>
          <w:szCs w:val="32"/>
        </w:rPr>
        <w:t>支出决算为</w:t>
      </w:r>
      <w:r>
        <w:rPr>
          <w:rFonts w:asciiTheme="minorEastAsia" w:hAnsiTheme="minorEastAsia"/>
          <w:color w:val="auto"/>
          <w:sz w:val="32"/>
          <w:szCs w:val="32"/>
        </w:rPr>
        <w:t>16</w:t>
      </w:r>
      <w:r>
        <w:rPr>
          <w:rFonts w:hint="eastAsia" w:asciiTheme="minorEastAsia" w:hAnsiTheme="minorEastAsia"/>
          <w:color w:val="auto"/>
          <w:sz w:val="32"/>
          <w:szCs w:val="32"/>
        </w:rPr>
        <w:t>.</w:t>
      </w:r>
      <w:r>
        <w:rPr>
          <w:rFonts w:asciiTheme="minorEastAsia" w:hAnsiTheme="minorEastAsia"/>
          <w:color w:val="auto"/>
          <w:sz w:val="32"/>
          <w:szCs w:val="32"/>
        </w:rPr>
        <w:t>09</w:t>
      </w:r>
      <w:r>
        <w:rPr>
          <w:rFonts w:hint="eastAsia" w:asciiTheme="minorEastAsia" w:hAnsiTheme="minorEastAsia"/>
          <w:color w:val="auto"/>
          <w:sz w:val="32"/>
          <w:szCs w:val="32"/>
        </w:rPr>
        <w:t>万元，其中：公务用车购置费0万元</w:t>
      </w:r>
      <w:r>
        <w:rPr>
          <w:rFonts w:hint="eastAsia" w:asciiTheme="minorEastAsia" w:hAnsiTheme="minorEastAsia"/>
          <w:color w:val="auto"/>
          <w:sz w:val="32"/>
          <w:szCs w:val="32"/>
          <w:lang w:eastAsia="zh-CN"/>
        </w:rPr>
        <w:t>，</w:t>
      </w:r>
      <w:r>
        <w:rPr>
          <w:rFonts w:hint="eastAsia" w:asciiTheme="minorEastAsia" w:hAnsiTheme="minorEastAsia"/>
          <w:color w:val="auto"/>
          <w:sz w:val="32"/>
          <w:szCs w:val="32"/>
          <w:lang w:val="en-US" w:eastAsia="zh-CN"/>
        </w:rPr>
        <w:t>更新公务用车0辆</w:t>
      </w:r>
      <w:bookmarkStart w:id="1" w:name="_GoBack"/>
      <w:bookmarkEnd w:id="1"/>
      <w:r>
        <w:rPr>
          <w:rFonts w:hint="eastAsia" w:asciiTheme="minorEastAsia" w:hAnsiTheme="minorEastAsia"/>
          <w:color w:val="auto"/>
          <w:sz w:val="32"/>
          <w:szCs w:val="32"/>
        </w:rPr>
        <w:t>。公务用车运行维护费</w:t>
      </w:r>
      <w:r>
        <w:rPr>
          <w:rFonts w:asciiTheme="minorEastAsia" w:hAnsiTheme="minorEastAsia"/>
          <w:color w:val="auto"/>
          <w:sz w:val="32"/>
          <w:szCs w:val="32"/>
        </w:rPr>
        <w:t>16</w:t>
      </w:r>
      <w:r>
        <w:rPr>
          <w:rFonts w:hint="eastAsia" w:asciiTheme="minorEastAsia" w:hAnsiTheme="minorEastAsia"/>
          <w:color w:val="auto"/>
          <w:sz w:val="32"/>
          <w:szCs w:val="32"/>
        </w:rPr>
        <w:t>.</w:t>
      </w:r>
      <w:r>
        <w:rPr>
          <w:rFonts w:asciiTheme="minorEastAsia" w:hAnsiTheme="minorEastAsia"/>
          <w:color w:val="auto"/>
          <w:sz w:val="32"/>
          <w:szCs w:val="32"/>
        </w:rPr>
        <w:t>09</w:t>
      </w:r>
      <w:r>
        <w:rPr>
          <w:rFonts w:hint="eastAsia" w:asciiTheme="minorEastAsia" w:hAnsiTheme="minorEastAsia"/>
          <w:color w:val="auto"/>
          <w:sz w:val="32"/>
          <w:szCs w:val="32"/>
        </w:rPr>
        <w:t>万</w:t>
      </w:r>
      <w:r>
        <w:rPr>
          <w:rFonts w:hint="eastAsia" w:asciiTheme="minorEastAsia" w:hAnsiTheme="minorEastAsia"/>
          <w:sz w:val="32"/>
          <w:szCs w:val="32"/>
        </w:rPr>
        <w:t>元，主要是车辆维修费、保险费、过路过桥等支出，截止2021年12月31日，我单位开支财政拨款的公务用车保有量为5辆。</w:t>
      </w:r>
    </w:p>
    <w:p>
      <w:pPr>
        <w:pStyle w:val="11"/>
        <w:ind w:firstLine="640" w:firstLineChars="200"/>
        <w:rPr>
          <w:rFonts w:hAnsi="黑体"/>
          <w:b/>
          <w:sz w:val="32"/>
          <w:szCs w:val="32"/>
        </w:rPr>
      </w:pPr>
      <w:r>
        <w:rPr>
          <w:rFonts w:hint="eastAsia" w:hAnsi="黑体"/>
          <w:b/>
          <w:sz w:val="32"/>
          <w:szCs w:val="32"/>
        </w:rPr>
        <w:t>八、政府性基金预算收入支出决算情况</w:t>
      </w:r>
    </w:p>
    <w:p>
      <w:pPr>
        <w:pStyle w:val="11"/>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本单位无政府性基金预算收入支出。</w:t>
      </w:r>
    </w:p>
    <w:p>
      <w:pPr>
        <w:pStyle w:val="11"/>
        <w:ind w:firstLine="640" w:firstLineChars="200"/>
        <w:rPr>
          <w:rFonts w:hAnsi="黑体"/>
          <w:b/>
          <w:bCs/>
          <w:sz w:val="32"/>
          <w:szCs w:val="32"/>
        </w:rPr>
      </w:pPr>
      <w:r>
        <w:rPr>
          <w:rFonts w:hint="eastAsia" w:hAnsi="黑体"/>
          <w:b/>
          <w:bCs/>
          <w:sz w:val="32"/>
          <w:szCs w:val="32"/>
        </w:rPr>
        <w:t>九、国有资本经营预算财政拨款支出决算情况说明</w:t>
      </w:r>
    </w:p>
    <w:p>
      <w:pPr>
        <w:pStyle w:val="11"/>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本单位无国有资本经营预算财政拨款支出</w:t>
      </w:r>
    </w:p>
    <w:p>
      <w:pPr>
        <w:pStyle w:val="11"/>
        <w:ind w:firstLine="640" w:firstLineChars="200"/>
        <w:rPr>
          <w:rFonts w:hAnsi="黑体"/>
          <w:b/>
          <w:sz w:val="32"/>
          <w:szCs w:val="32"/>
        </w:rPr>
      </w:pPr>
      <w:r>
        <w:rPr>
          <w:rFonts w:hint="eastAsia" w:hAnsi="黑体"/>
          <w:b/>
          <w:sz w:val="32"/>
          <w:szCs w:val="32"/>
        </w:rPr>
        <w:t>十、机关运行经费支出说明</w:t>
      </w:r>
    </w:p>
    <w:p>
      <w:pPr>
        <w:pStyle w:val="11"/>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本部门2021年度机关运行经费支出528.33万元，比上年决算数减少85万元，降低13.86%。主要原因是：财政进一步压减工作经费，我单位机关运行成本整体紧缩。</w:t>
      </w:r>
    </w:p>
    <w:p>
      <w:pPr>
        <w:pStyle w:val="11"/>
        <w:ind w:firstLine="640" w:firstLineChars="200"/>
        <w:rPr>
          <w:rFonts w:hAnsi="黑体"/>
          <w:b/>
          <w:sz w:val="32"/>
          <w:szCs w:val="32"/>
        </w:rPr>
      </w:pPr>
      <w:r>
        <w:rPr>
          <w:rFonts w:hint="eastAsia" w:hAnsi="黑体"/>
          <w:b/>
          <w:sz w:val="32"/>
          <w:szCs w:val="32"/>
        </w:rPr>
        <w:t>十一、一般性支出情况说明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6.18万元，用于：1、召开全市社保卡服务平台视频会议，人数24人，内容为社保卡服务平台相关工作，2、召开全市人社工作会议，人数66人，内容为安排部署2021年全市人社工作，3、召开工伤保险省级统筹视频会议，人数50人，内容为部署安排工伤保险省级统筹相关工作，4、召开2021年稳就业保就业工作会议，人数50人，内容为稳就业保就业相关工作，5、召开社保基金监管视频会议，人数48人，内容为通报2020年全省社保基金运行及管理风险并安排相关工作，6、召开充分就业电视电话会，人数12人，内容为动员部署全省开展充分就业社区（村）创建相关工作，7、召开重点企业招工服务会，人数31人，内容为重点企业在怀招工服务相关工作，8、全省就业资金、职业能力提升行动专账资金及失业保险基金风险防控工作会议，人数60人，内容为部署全省就业资金、职业能力提升行动专账资金及失业保险基金风险防控相关工作，9、社保基金管理推磨式交叉检查工作会，人数50人，内容为社保基金管理交叉检查相关工作；开支培训费1.03万元，用于：1、开展人力资源服务大赛选拔赛以及选手赛前培训，人数45人，内容为人力资源服务大赛选手赛前培训，2、参加人社部组织的新闻宣传业务培训，人数1人，内容为提高通讯员业务能力；我单位无节庆、晚会、论坛、赛事活动开支。</w:t>
      </w:r>
    </w:p>
    <w:p>
      <w:pPr>
        <w:pStyle w:val="11"/>
        <w:ind w:firstLine="640" w:firstLineChars="200"/>
        <w:rPr>
          <w:rFonts w:hAnsi="黑体"/>
          <w:b/>
          <w:sz w:val="32"/>
          <w:szCs w:val="32"/>
        </w:rPr>
      </w:pPr>
      <w:r>
        <w:rPr>
          <w:rFonts w:hint="eastAsia" w:hAnsi="黑体"/>
          <w:b/>
          <w:sz w:val="32"/>
          <w:szCs w:val="32"/>
        </w:rPr>
        <w:t>十二、政府采购支出说明</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本部门2021年度政府采购支出总额9.55万元，其中：政府采购货物支出9.55万元、政府采购工程支出0万元、政府采购服务支出0万元。授予中小企业合同金额9.55万元，占政府采购支出总额的100%，其中：授予小微企业合同金额9.55万元，占授予中小企业合同金额的100%</w:t>
      </w:r>
      <w:r>
        <w:rPr>
          <w:rFonts w:hint="eastAsia" w:asciiTheme="minorEastAsia" w:hAnsiTheme="minorEastAsia" w:eastAsiaTheme="minorEastAsia"/>
          <w:sz w:val="32"/>
          <w:szCs w:val="32"/>
          <w:lang w:eastAsia="zh-CN"/>
        </w:rPr>
        <w:t>。</w:t>
      </w:r>
    </w:p>
    <w:p>
      <w:pPr>
        <w:pStyle w:val="11"/>
        <w:ind w:firstLine="640" w:firstLineChars="200"/>
        <w:rPr>
          <w:rFonts w:hAnsi="黑体"/>
          <w:b/>
          <w:sz w:val="32"/>
          <w:szCs w:val="32"/>
        </w:rPr>
      </w:pPr>
      <w:r>
        <w:rPr>
          <w:rFonts w:hint="eastAsia" w:hAnsi="黑体"/>
          <w:b/>
          <w:sz w:val="32"/>
          <w:szCs w:val="32"/>
        </w:rPr>
        <w:t>十三、国有资产占用情况说明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本单位共有车辆5辆，均为一般公务用车，机要通信用车0辆、应急保障用车0辆、执法执勤用车0辆、特种专业技术用车0辆、其他用车0辆；单位价值50万元以上通用设备0台（套）；单位价值100万元以上专用设备0台（套）。</w:t>
      </w:r>
    </w:p>
    <w:p>
      <w:pPr>
        <w:pStyle w:val="11"/>
        <w:ind w:firstLine="640" w:firstLineChars="200"/>
        <w:rPr>
          <w:rFonts w:hAnsi="黑体"/>
          <w:b/>
          <w:sz w:val="32"/>
          <w:szCs w:val="32"/>
        </w:rPr>
      </w:pPr>
      <w:r>
        <w:rPr>
          <w:rFonts w:hint="eastAsia" w:hAnsi="黑体"/>
          <w:b/>
          <w:sz w:val="32"/>
          <w:szCs w:val="32"/>
        </w:rPr>
        <w:t>十四、2021年度预算绩效情况的说明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sz w:val="32"/>
          <w:szCs w:val="32"/>
        </w:rPr>
      </w:pPr>
      <w:r>
        <w:rPr>
          <w:sz w:val="32"/>
          <w:szCs w:val="32"/>
        </w:rPr>
        <w:t>根据预算绩效管理要求，我部门组织对2021年度一般公共预算项目支出全面开展绩效自评，其中，一级项目</w:t>
      </w:r>
      <w:r>
        <w:rPr>
          <w:rFonts w:hint="eastAsia"/>
          <w:sz w:val="32"/>
          <w:szCs w:val="32"/>
        </w:rPr>
        <w:t>0</w:t>
      </w:r>
      <w:r>
        <w:rPr>
          <w:sz w:val="32"/>
          <w:szCs w:val="32"/>
        </w:rPr>
        <w:t>个，二级项目</w:t>
      </w:r>
      <w:r>
        <w:rPr>
          <w:rFonts w:hint="eastAsia"/>
          <w:sz w:val="32"/>
          <w:szCs w:val="32"/>
        </w:rPr>
        <w:t>0</w:t>
      </w:r>
      <w:r>
        <w:rPr>
          <w:sz w:val="32"/>
          <w:szCs w:val="32"/>
        </w:rPr>
        <w:t>个，共涉及资金</w:t>
      </w:r>
      <w:r>
        <w:rPr>
          <w:rFonts w:hint="eastAsia"/>
          <w:sz w:val="32"/>
          <w:szCs w:val="32"/>
        </w:rPr>
        <w:t>0</w:t>
      </w:r>
      <w:r>
        <w:rPr>
          <w:sz w:val="32"/>
          <w:szCs w:val="32"/>
        </w:rPr>
        <w:t>万元，占一般公共预算项目支出总额的</w:t>
      </w:r>
      <w:r>
        <w:rPr>
          <w:rFonts w:hint="eastAsia"/>
          <w:sz w:val="32"/>
          <w:szCs w:val="32"/>
        </w:rPr>
        <w:t>0</w:t>
      </w:r>
      <w:r>
        <w:rPr>
          <w:sz w:val="32"/>
          <w:szCs w:val="32"/>
        </w:rPr>
        <w:t>%。组织对2021年度</w:t>
      </w:r>
      <w:r>
        <w:rPr>
          <w:rFonts w:hint="eastAsia"/>
          <w:sz w:val="32"/>
          <w:szCs w:val="32"/>
        </w:rPr>
        <w:t>0</w:t>
      </w:r>
      <w:r>
        <w:rPr>
          <w:sz w:val="32"/>
          <w:szCs w:val="32"/>
        </w:rPr>
        <w:t>个政府性基金预算项目支出开展绩效自评，共涉及资金</w:t>
      </w:r>
      <w:r>
        <w:rPr>
          <w:rFonts w:hint="eastAsia"/>
          <w:sz w:val="32"/>
          <w:szCs w:val="32"/>
        </w:rPr>
        <w:t>0</w:t>
      </w:r>
      <w:r>
        <w:rPr>
          <w:sz w:val="32"/>
          <w:szCs w:val="32"/>
        </w:rPr>
        <w:t>万元，占政府性基金预算项目支出总额的</w:t>
      </w:r>
      <w:r>
        <w:rPr>
          <w:rFonts w:hint="eastAsia"/>
          <w:sz w:val="32"/>
          <w:szCs w:val="32"/>
        </w:rPr>
        <w:t>0.00</w:t>
      </w:r>
      <w:r>
        <w:rPr>
          <w:sz w:val="32"/>
          <w:szCs w:val="32"/>
        </w:rPr>
        <w:t>%。组织对2021年度</w:t>
      </w:r>
      <w:r>
        <w:rPr>
          <w:rFonts w:hint="eastAsia"/>
          <w:sz w:val="32"/>
          <w:szCs w:val="32"/>
        </w:rPr>
        <w:t>0</w:t>
      </w:r>
      <w:r>
        <w:rPr>
          <w:sz w:val="32"/>
          <w:szCs w:val="32"/>
        </w:rPr>
        <w:t>个国有资本经营预算项目支出开展绩效自评，共涉及资金</w:t>
      </w:r>
      <w:r>
        <w:rPr>
          <w:rFonts w:hint="eastAsia"/>
          <w:sz w:val="32"/>
          <w:szCs w:val="32"/>
        </w:rPr>
        <w:t>0</w:t>
      </w:r>
      <w:r>
        <w:rPr>
          <w:sz w:val="32"/>
          <w:szCs w:val="32"/>
        </w:rPr>
        <w:t>万元，占国有资本经营预算项目支出总额的</w:t>
      </w:r>
      <w:r>
        <w:rPr>
          <w:rFonts w:hint="eastAsia"/>
          <w:sz w:val="32"/>
          <w:szCs w:val="32"/>
        </w:rPr>
        <w:t>0.00</w:t>
      </w:r>
      <w:r>
        <w:rPr>
          <w:sz w:val="32"/>
          <w:szCs w:val="32"/>
        </w:rPr>
        <w:t>%。</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sz w:val="32"/>
          <w:szCs w:val="32"/>
        </w:rPr>
      </w:pPr>
      <w:r>
        <w:rPr>
          <w:sz w:val="32"/>
          <w:szCs w:val="32"/>
        </w:rPr>
        <w:t>组织对</w:t>
      </w:r>
      <w:r>
        <w:rPr>
          <w:rFonts w:hint="eastAsia"/>
          <w:sz w:val="32"/>
          <w:szCs w:val="32"/>
        </w:rPr>
        <w:t>1</w:t>
      </w:r>
      <w:r>
        <w:rPr>
          <w:sz w:val="32"/>
          <w:szCs w:val="32"/>
        </w:rPr>
        <w:t>个单位开展整体支出绩效评价，涉及一般公共预算支出1711</w:t>
      </w:r>
      <w:r>
        <w:rPr>
          <w:rFonts w:hint="eastAsia"/>
          <w:sz w:val="32"/>
          <w:szCs w:val="32"/>
        </w:rPr>
        <w:t>.</w:t>
      </w:r>
      <w:r>
        <w:rPr>
          <w:sz w:val="32"/>
          <w:szCs w:val="32"/>
        </w:rPr>
        <w:t>65万元，政府性基金预算支出</w:t>
      </w:r>
      <w:r>
        <w:rPr>
          <w:rFonts w:hint="eastAsia"/>
          <w:sz w:val="32"/>
          <w:szCs w:val="32"/>
        </w:rPr>
        <w:t>0.00</w:t>
      </w:r>
      <w:r>
        <w:rPr>
          <w:sz w:val="32"/>
          <w:szCs w:val="32"/>
        </w:rPr>
        <w:t>万元。从评价情况来看，</w:t>
      </w:r>
      <w:r>
        <w:rPr>
          <w:rFonts w:hint="eastAsia"/>
          <w:sz w:val="32"/>
          <w:szCs w:val="32"/>
        </w:rPr>
        <w:t>2021年全市人社系统坚持以习近平新时代中国特色社会主义思想为指导，全面落实“三高四新”战略定位和使命任务，奋力建设“三城一区”，始终立足人社部门使命职责，扎实推动各项工作落实，圆满完成各项目标任务，在“十四五”开局之年实现了“开门红”“开门稳”，</w:t>
      </w:r>
      <w:r>
        <w:rPr>
          <w:sz w:val="32"/>
          <w:szCs w:val="32"/>
        </w:rPr>
        <w:t>整体支出绩效</w:t>
      </w:r>
      <w:r>
        <w:rPr>
          <w:rFonts w:hint="eastAsia"/>
          <w:sz w:val="32"/>
          <w:szCs w:val="32"/>
        </w:rPr>
        <w:t>得分97分。</w:t>
      </w:r>
    </w:p>
    <w:p>
      <w:pPr>
        <w:keepNext w:val="0"/>
        <w:keepLines w:val="0"/>
        <w:pageBreakBefore w:val="0"/>
        <w:widowControl w:val="0"/>
        <w:numPr>
          <w:ilvl w:val="0"/>
          <w:numId w:val="3"/>
        </w:numPr>
        <w:kinsoku/>
        <w:wordWrap/>
        <w:overflowPunct/>
        <w:topLinePunct w:val="0"/>
        <w:autoSpaceDE w:val="0"/>
        <w:autoSpaceDN w:val="0"/>
        <w:bidi w:val="0"/>
        <w:adjustRightInd w:val="0"/>
        <w:spacing w:line="600" w:lineRule="exact"/>
        <w:ind w:firstLine="640" w:firstLineChars="200"/>
        <w:jc w:val="left"/>
        <w:textAlignment w:val="auto"/>
        <w:rPr>
          <w:rFonts w:hint="eastAsia"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部门决算中项目绩效自评结果（如有）。</w:t>
      </w:r>
    </w:p>
    <w:p>
      <w:pPr>
        <w:keepNext w:val="0"/>
        <w:keepLines w:val="0"/>
        <w:pageBreakBefore w:val="0"/>
        <w:widowControl w:val="0"/>
        <w:numPr>
          <w:ilvl w:val="0"/>
          <w:numId w:val="0"/>
        </w:numPr>
        <w:kinsoku/>
        <w:wordWrap/>
        <w:overflowPunct/>
        <w:topLinePunct w:val="0"/>
        <w:autoSpaceDE w:val="0"/>
        <w:autoSpaceDN w:val="0"/>
        <w:bidi w:val="0"/>
        <w:adjustRightInd w:val="0"/>
        <w:spacing w:line="60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2021年无项目经费支出。</w:t>
      </w:r>
    </w:p>
    <w:p>
      <w:pPr>
        <w:keepNext w:val="0"/>
        <w:keepLines w:val="0"/>
        <w:pageBreakBefore w:val="0"/>
        <w:widowControl w:val="0"/>
        <w:numPr>
          <w:ilvl w:val="0"/>
          <w:numId w:val="0"/>
        </w:numPr>
        <w:kinsoku/>
        <w:wordWrap/>
        <w:overflowPunct/>
        <w:topLinePunct w:val="0"/>
        <w:autoSpaceDE w:val="0"/>
        <w:autoSpaceDN w:val="0"/>
        <w:bidi w:val="0"/>
        <w:adjustRightInd w:val="0"/>
        <w:spacing w:line="600" w:lineRule="exact"/>
        <w:ind w:firstLine="640" w:firstLineChars="200"/>
        <w:jc w:val="left"/>
        <w:textAlignment w:val="auto"/>
        <w:rPr>
          <w:rFonts w:hint="eastAsia" w:cs="黑体" w:asciiTheme="minorEastAsia" w:hAnsiTheme="minorEastAsia"/>
          <w:b/>
          <w:color w:val="000000"/>
          <w:kern w:val="0"/>
          <w:sz w:val="32"/>
          <w:szCs w:val="32"/>
        </w:rPr>
      </w:pPr>
      <w:r>
        <w:rPr>
          <w:rFonts w:hint="eastAsia" w:cs="黑体" w:asciiTheme="minorEastAsia" w:hAnsiTheme="minorEastAsia"/>
          <w:b/>
          <w:color w:val="000000"/>
          <w:kern w:val="0"/>
          <w:sz w:val="32"/>
          <w:szCs w:val="32"/>
          <w:lang w:eastAsia="zh-CN"/>
        </w:rPr>
        <w:t>（</w:t>
      </w:r>
      <w:r>
        <w:rPr>
          <w:rFonts w:hint="eastAsia" w:cs="黑体" w:asciiTheme="minorEastAsia" w:hAnsiTheme="minorEastAsia"/>
          <w:b/>
          <w:color w:val="000000"/>
          <w:kern w:val="0"/>
          <w:sz w:val="32"/>
          <w:szCs w:val="32"/>
          <w:lang w:val="en-US" w:eastAsia="zh-CN"/>
        </w:rPr>
        <w:t>3）</w:t>
      </w:r>
      <w:r>
        <w:rPr>
          <w:rFonts w:hint="eastAsia" w:cs="黑体" w:asciiTheme="minorEastAsia" w:hAnsiTheme="minorEastAsia"/>
          <w:b/>
          <w:color w:val="000000"/>
          <w:kern w:val="0"/>
          <w:sz w:val="32"/>
          <w:szCs w:val="32"/>
        </w:rPr>
        <w:t>部门评价项目绩效评价结果。</w:t>
      </w:r>
    </w:p>
    <w:p>
      <w:pPr>
        <w:keepNext w:val="0"/>
        <w:keepLines w:val="0"/>
        <w:pageBreakBefore w:val="0"/>
        <w:widowControl w:val="0"/>
        <w:numPr>
          <w:ilvl w:val="0"/>
          <w:numId w:val="0"/>
        </w:numPr>
        <w:kinsoku/>
        <w:wordWrap/>
        <w:overflowPunct/>
        <w:topLinePunct w:val="0"/>
        <w:autoSpaceDE w:val="0"/>
        <w:autoSpaceDN w:val="0"/>
        <w:bidi w:val="0"/>
        <w:adjustRightInd w:val="0"/>
        <w:spacing w:line="600" w:lineRule="exact"/>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rPr>
        <w:t>2021年度怀化市人力资源和社会保障局(本级)整体支出绩效自评报告   见附件</w:t>
      </w:r>
      <w:r>
        <w:rPr>
          <w:rFonts w:hint="eastAsia" w:ascii="宋体" w:hAnsi="宋体" w:eastAsia="宋体" w:cs="宋体"/>
          <w:sz w:val="32"/>
          <w:szCs w:val="32"/>
          <w:lang w:eastAsia="zh-CN"/>
        </w:rPr>
        <w:t>。本单位无重点项目，因此无重点项目绩效报告。</w:t>
      </w:r>
    </w:p>
    <w:p>
      <w:pPr>
        <w:pStyle w:val="11"/>
        <w:ind w:firstLine="2880" w:firstLineChars="800"/>
        <w:jc w:val="both"/>
        <w:rPr>
          <w:rFonts w:hAnsi="黑体"/>
          <w:sz w:val="36"/>
          <w:szCs w:val="36"/>
        </w:rPr>
      </w:pPr>
    </w:p>
    <w:p>
      <w:pPr>
        <w:pStyle w:val="11"/>
        <w:jc w:val="center"/>
        <w:rPr>
          <w:rFonts w:hAnsi="黑体"/>
          <w:sz w:val="48"/>
          <w:szCs w:val="48"/>
        </w:rPr>
      </w:pPr>
      <w:r>
        <w:rPr>
          <w:rFonts w:hint="eastAsia" w:hAnsi="黑体"/>
          <w:sz w:val="48"/>
          <w:szCs w:val="48"/>
        </w:rPr>
        <w:t>第四部分</w:t>
      </w:r>
      <w:r>
        <w:rPr>
          <w:rFonts w:hint="eastAsia" w:hAnsi="黑体"/>
          <w:sz w:val="48"/>
          <w:szCs w:val="48"/>
          <w:lang w:val="en-US" w:eastAsia="zh-CN"/>
        </w:rPr>
        <w:t xml:space="preserve"> </w:t>
      </w:r>
      <w:r>
        <w:rPr>
          <w:rFonts w:hint="eastAsia" w:hAnsi="黑体"/>
          <w:sz w:val="48"/>
          <w:szCs w:val="48"/>
        </w:rPr>
        <w:t>名词解释</w:t>
      </w:r>
    </w:p>
    <w:p>
      <w:pPr>
        <w:pStyle w:val="6"/>
        <w:shd w:val="clear" w:color="auto" w:fill="FFFFFF"/>
        <w:spacing w:before="0" w:beforeAutospacing="0" w:after="75" w:afterAutospacing="0" w:line="360" w:lineRule="auto"/>
        <w:ind w:firstLine="646" w:firstLineChars="202"/>
        <w:rPr>
          <w:rFonts w:ascii="宋体" w:hAnsi="宋体" w:eastAsia="宋体" w:cs="宋体"/>
          <w:sz w:val="32"/>
          <w:szCs w:val="32"/>
        </w:rPr>
      </w:pPr>
      <w:r>
        <w:rPr>
          <w:rFonts w:hint="eastAsia" w:ascii="宋体" w:hAnsi="宋体" w:eastAsia="宋体" w:cs="宋体"/>
          <w:sz w:val="32"/>
          <w:szCs w:val="32"/>
        </w:rPr>
        <w:t>1.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pPr>
        <w:pStyle w:val="6"/>
        <w:shd w:val="clear" w:color="auto" w:fill="FFFFFF"/>
        <w:spacing w:before="0" w:beforeAutospacing="0" w:after="75" w:afterAutospacing="0" w:line="360" w:lineRule="auto"/>
        <w:ind w:firstLine="646" w:firstLineChars="202"/>
        <w:rPr>
          <w:sz w:val="36"/>
          <w:szCs w:val="36"/>
        </w:rPr>
      </w:pPr>
      <w:r>
        <w:rPr>
          <w:rFonts w:hint="eastAsia" w:ascii="宋体" w:hAnsi="宋体" w:eastAsia="宋体" w:cs="宋体"/>
          <w:sz w:val="32"/>
          <w:szCs w:val="32"/>
        </w:rPr>
        <w:t>2.“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 </w:t>
      </w:r>
    </w:p>
    <w:p>
      <w:pPr>
        <w:pStyle w:val="11"/>
        <w:jc w:val="center"/>
        <w:rPr>
          <w:rFonts w:ascii="黑体" w:eastAsia="黑体" w:cs="黑体"/>
          <w:color w:val="000000"/>
          <w:kern w:val="0"/>
          <w:sz w:val="48"/>
          <w:szCs w:val="48"/>
        </w:rPr>
      </w:pPr>
      <w:r>
        <w:rPr>
          <w:rFonts w:hint="eastAsia"/>
          <w:sz w:val="48"/>
          <w:szCs w:val="48"/>
        </w:rPr>
        <w:t>第五部分</w:t>
      </w:r>
      <w:r>
        <w:rPr>
          <w:rFonts w:hint="eastAsia"/>
          <w:sz w:val="48"/>
          <w:szCs w:val="48"/>
          <w:lang w:val="en-US" w:eastAsia="zh-CN"/>
        </w:rPr>
        <w:t xml:space="preserve">  </w:t>
      </w:r>
      <w:r>
        <w:rPr>
          <w:rFonts w:hint="eastAsia" w:ascii="黑体" w:eastAsia="黑体" w:cs="黑体"/>
          <w:color w:val="000000"/>
          <w:kern w:val="0"/>
          <w:sz w:val="48"/>
          <w:szCs w:val="48"/>
        </w:rPr>
        <w:t>附件</w:t>
      </w:r>
    </w:p>
    <w:p>
      <w:pPr>
        <w:spacing w:line="360" w:lineRule="auto"/>
        <w:jc w:val="center"/>
        <w:rPr>
          <w:rFonts w:ascii="宋体" w:hAnsi="宋体" w:eastAsia="宋体" w:cs="宋体"/>
          <w:sz w:val="36"/>
          <w:szCs w:val="36"/>
        </w:rPr>
      </w:pPr>
      <w:r>
        <w:rPr>
          <w:rFonts w:hint="eastAsia" w:ascii="宋体" w:hAnsi="宋体" w:eastAsia="宋体" w:cs="宋体"/>
          <w:sz w:val="36"/>
          <w:szCs w:val="36"/>
        </w:rPr>
        <w:t>2021年度怀化市人力资源和社会保障局(本级)</w:t>
      </w:r>
    </w:p>
    <w:p>
      <w:pPr>
        <w:spacing w:line="360" w:lineRule="auto"/>
        <w:jc w:val="center"/>
        <w:rPr>
          <w:rFonts w:eastAsia="仿宋_GB2312"/>
          <w:b/>
          <w:spacing w:val="-2"/>
          <w:sz w:val="32"/>
          <w:szCs w:val="44"/>
        </w:rPr>
      </w:pPr>
      <w:r>
        <w:rPr>
          <w:rFonts w:hint="eastAsia" w:ascii="宋体" w:hAnsi="宋体" w:eastAsia="宋体" w:cs="宋体"/>
          <w:sz w:val="36"/>
          <w:szCs w:val="36"/>
        </w:rPr>
        <w:t>整体支出绩效自评报告</w:t>
      </w:r>
    </w:p>
    <w:p>
      <w:pPr>
        <w:widowControl/>
        <w:shd w:val="clear" w:color="auto" w:fill="FFFFFF"/>
        <w:spacing w:line="360" w:lineRule="auto"/>
        <w:ind w:firstLine="640"/>
        <w:rPr>
          <w:rFonts w:ascii="宋体" w:hAnsi="宋体" w:eastAsia="宋体" w:cs="宋体"/>
          <w:b/>
          <w:spacing w:val="-2"/>
          <w:sz w:val="32"/>
          <w:szCs w:val="21"/>
        </w:rPr>
      </w:pPr>
      <w:r>
        <w:rPr>
          <w:rFonts w:hint="eastAsia" w:ascii="宋体" w:hAnsi="宋体" w:eastAsia="宋体" w:cs="宋体"/>
          <w:b/>
          <w:spacing w:val="-2"/>
          <w:sz w:val="32"/>
          <w:szCs w:val="32"/>
        </w:rPr>
        <w:t>一、部门概况</w:t>
      </w:r>
    </w:p>
    <w:p>
      <w:pPr>
        <w:widowControl/>
        <w:shd w:val="clear" w:color="auto" w:fill="FFFFFF"/>
        <w:spacing w:line="360" w:lineRule="auto"/>
        <w:ind w:firstLine="640"/>
        <w:rPr>
          <w:rFonts w:ascii="宋体" w:hAnsi="宋体" w:eastAsia="宋体" w:cs="宋体"/>
          <w:spacing w:val="-2"/>
          <w:sz w:val="32"/>
          <w:szCs w:val="32"/>
        </w:rPr>
      </w:pPr>
      <w:r>
        <w:rPr>
          <w:rFonts w:hint="eastAsia" w:ascii="宋体" w:hAnsi="宋体" w:eastAsia="宋体" w:cs="宋体"/>
          <w:spacing w:val="-2"/>
          <w:sz w:val="32"/>
          <w:szCs w:val="32"/>
        </w:rPr>
        <w:t>（一）部门基本情况</w:t>
      </w:r>
    </w:p>
    <w:p>
      <w:pPr>
        <w:widowControl/>
        <w:shd w:val="clear" w:color="auto" w:fill="FFFFFF"/>
        <w:spacing w:line="360" w:lineRule="auto"/>
        <w:ind w:firstLine="640"/>
        <w:rPr>
          <w:rFonts w:ascii="宋体" w:hAnsi="宋体" w:eastAsia="宋体" w:cs="宋体"/>
          <w:sz w:val="32"/>
          <w:szCs w:val="32"/>
        </w:rPr>
      </w:pPr>
      <w:r>
        <w:rPr>
          <w:rFonts w:hint="eastAsia" w:ascii="宋体" w:hAnsi="宋体" w:eastAsia="宋体" w:cs="宋体"/>
          <w:color w:val="3D3D3D"/>
          <w:sz w:val="32"/>
          <w:szCs w:val="32"/>
          <w:shd w:val="clear" w:color="auto" w:fill="FFFFFF"/>
        </w:rPr>
        <w:t>怀化市人力资源和社会保障局(本级)</w:t>
      </w:r>
      <w:r>
        <w:rPr>
          <w:rFonts w:hint="eastAsia" w:ascii="宋体" w:hAnsi="宋体" w:eastAsia="宋体" w:cs="宋体"/>
          <w:sz w:val="32"/>
          <w:szCs w:val="32"/>
        </w:rPr>
        <w:t>作为一级部门预算单位，截止2021年末</w:t>
      </w:r>
      <w:r>
        <w:rPr>
          <w:rFonts w:hint="eastAsia" w:ascii="宋体" w:hAnsi="宋体" w:eastAsia="宋体" w:cs="宋体"/>
          <w:color w:val="3D3D3D"/>
          <w:sz w:val="32"/>
          <w:szCs w:val="32"/>
          <w:shd w:val="clear" w:color="auto" w:fill="FFFFFF"/>
        </w:rPr>
        <w:t>，共有在职人员59人，其中行政人员51人，事业人员8人。</w:t>
      </w:r>
      <w:r>
        <w:rPr>
          <w:rFonts w:hint="eastAsia" w:ascii="宋体" w:hAnsi="宋体" w:eastAsia="宋体" w:cs="宋体"/>
          <w:sz w:val="32"/>
          <w:szCs w:val="32"/>
        </w:rPr>
        <w:t>内设机构为：办公室、法规科（行政审批服务科）、规划财务科、就业促进与失业保险科、人力资源流动管理科、职业能力建设科、专业技术人员管理科、事业单位人事管理科、农民工工作科、劳动关系科、工资福利科、职工养老保险科、城乡居民养老保险科、工伤保险科、社会保险基金监督科、为民办实事和表彰奖励科、人事科、机关党委。</w:t>
      </w:r>
    </w:p>
    <w:p>
      <w:pPr>
        <w:widowControl/>
        <w:shd w:val="clear" w:color="auto" w:fill="FFFFFF"/>
        <w:spacing w:line="360" w:lineRule="auto"/>
        <w:ind w:firstLine="640"/>
        <w:rPr>
          <w:rFonts w:ascii="宋体" w:hAnsi="宋体" w:eastAsia="宋体" w:cs="宋体"/>
          <w:sz w:val="32"/>
          <w:szCs w:val="32"/>
        </w:rPr>
      </w:pPr>
      <w:r>
        <w:rPr>
          <w:rFonts w:hint="eastAsia" w:ascii="宋体" w:hAnsi="宋体" w:eastAsia="宋体" w:cs="宋体"/>
          <w:sz w:val="32"/>
          <w:szCs w:val="32"/>
        </w:rPr>
        <w:t>主要职责为：</w:t>
      </w:r>
    </w:p>
    <w:p>
      <w:pPr>
        <w:spacing w:line="520" w:lineRule="exact"/>
        <w:ind w:firstLine="713" w:firstLineChars="223"/>
        <w:rPr>
          <w:rFonts w:ascii="宋体" w:hAnsi="宋体" w:eastAsia="宋体" w:cs="宋体"/>
          <w:sz w:val="32"/>
          <w:szCs w:val="32"/>
        </w:rPr>
      </w:pPr>
      <w:r>
        <w:rPr>
          <w:rFonts w:hint="eastAsia" w:ascii="宋体" w:hAnsi="宋体" w:eastAsia="宋体" w:cs="宋体"/>
          <w:sz w:val="32"/>
          <w:szCs w:val="32"/>
        </w:rPr>
        <w:t>贯彻执行国家、省人力资源和社会保障方针政策和法律法规、拟订全市人力资源和社会保障事业发展规划及实施办法，负责全市公共就业服务；社会保险基金管理和发放、监督、稽查；人才引进和流动服务；事业单位岗位及人员管理；专业技术人员管理；离休退休人员管理；劳动关系协调；劳动监察及维护农民工利益；劳动人事仲裁等、对全市人力资源和社会保障工作进行综合管理、监督指导、协调服务。</w:t>
      </w:r>
    </w:p>
    <w:p>
      <w:pPr>
        <w:widowControl/>
        <w:shd w:val="clear" w:color="auto" w:fill="FFFFFF"/>
        <w:spacing w:line="360" w:lineRule="auto"/>
        <w:ind w:firstLine="640"/>
        <w:rPr>
          <w:rFonts w:ascii="宋体" w:hAnsi="宋体" w:eastAsia="宋体" w:cs="宋体"/>
          <w:spacing w:val="-2"/>
          <w:sz w:val="32"/>
          <w:szCs w:val="32"/>
        </w:rPr>
      </w:pPr>
      <w:r>
        <w:rPr>
          <w:rFonts w:hint="eastAsia" w:ascii="宋体" w:hAnsi="宋体" w:eastAsia="宋体" w:cs="宋体"/>
          <w:spacing w:val="-2"/>
          <w:sz w:val="32"/>
          <w:szCs w:val="32"/>
        </w:rPr>
        <w:t>（二）部门整体支出规模、使用方向和主要内容、涉及范围等。</w:t>
      </w:r>
    </w:p>
    <w:p>
      <w:pPr>
        <w:pStyle w:val="6"/>
        <w:shd w:val="clear" w:color="auto" w:fill="FFFFFF"/>
        <w:spacing w:before="0" w:beforeAutospacing="0" w:after="0" w:afterAutospacing="0" w:line="360" w:lineRule="auto"/>
        <w:ind w:firstLine="707" w:firstLineChars="224"/>
        <w:rPr>
          <w:rFonts w:ascii="宋体" w:hAnsi="宋体" w:eastAsia="宋体" w:cs="宋体"/>
          <w:spacing w:val="-2"/>
          <w:sz w:val="32"/>
          <w:szCs w:val="32"/>
        </w:rPr>
      </w:pPr>
      <w:r>
        <w:rPr>
          <w:rFonts w:hint="eastAsia" w:ascii="宋体" w:hAnsi="宋体" w:eastAsia="宋体" w:cs="宋体"/>
          <w:spacing w:val="-2"/>
          <w:sz w:val="32"/>
          <w:szCs w:val="32"/>
        </w:rPr>
        <w:t>2021年</w:t>
      </w:r>
      <w:r>
        <w:rPr>
          <w:rFonts w:hint="eastAsia" w:ascii="宋体" w:hAnsi="宋体" w:eastAsia="宋体" w:cs="宋体"/>
          <w:sz w:val="32"/>
          <w:szCs w:val="32"/>
        </w:rPr>
        <w:t>年初预算数1022.17万元,其中一般公共预算拨款收入为980.42万元，纳入一般公共预算管理的非税收入拨款41.75万元，具体安</w:t>
      </w:r>
      <w:r>
        <w:rPr>
          <w:rFonts w:hint="eastAsia" w:ascii="宋体" w:hAnsi="宋体" w:eastAsia="宋体" w:cs="宋体"/>
          <w:spacing w:val="-2"/>
          <w:sz w:val="32"/>
          <w:szCs w:val="32"/>
        </w:rPr>
        <w:t>排情况如下：</w:t>
      </w:r>
    </w:p>
    <w:p>
      <w:pPr>
        <w:pStyle w:val="6"/>
        <w:shd w:val="clear" w:color="auto" w:fill="FFFFFF"/>
        <w:spacing w:before="0" w:beforeAutospacing="0" w:after="0" w:afterAutospacing="0" w:line="360" w:lineRule="auto"/>
        <w:ind w:firstLine="707" w:firstLineChars="224"/>
        <w:rPr>
          <w:rFonts w:ascii="宋体" w:hAnsi="宋体" w:eastAsia="宋体" w:cs="宋体"/>
          <w:spacing w:val="-2"/>
          <w:sz w:val="32"/>
          <w:szCs w:val="32"/>
        </w:rPr>
      </w:pPr>
      <w:r>
        <w:rPr>
          <w:rFonts w:hint="eastAsia" w:ascii="宋体" w:hAnsi="宋体" w:eastAsia="宋体" w:cs="宋体"/>
          <w:spacing w:val="-2"/>
          <w:sz w:val="32"/>
          <w:szCs w:val="32"/>
        </w:rPr>
        <w:t>1、基本支出：2021年年初预算数为</w:t>
      </w:r>
      <w:r>
        <w:rPr>
          <w:rFonts w:hint="eastAsia" w:ascii="宋体" w:hAnsi="宋体" w:eastAsia="宋体" w:cs="宋体"/>
          <w:sz w:val="32"/>
          <w:szCs w:val="32"/>
        </w:rPr>
        <w:t>1022.17</w:t>
      </w:r>
      <w:r>
        <w:rPr>
          <w:rFonts w:hint="eastAsia" w:ascii="宋体" w:hAnsi="宋体" w:eastAsia="宋体" w:cs="宋体"/>
          <w:spacing w:val="-2"/>
          <w:sz w:val="32"/>
          <w:szCs w:val="32"/>
        </w:rPr>
        <w:t>万元，是指为保障单位机构正常运转、完成日常工作任务而发生的各项支出，包括用于工资福利支出437.38万元，商品和服务支出450.57万元，对个人和家庭的补助105.22万元，资本性支出29.00万元等；</w:t>
      </w:r>
    </w:p>
    <w:p>
      <w:pPr>
        <w:pStyle w:val="6"/>
        <w:shd w:val="clear" w:color="auto" w:fill="FFFFFF"/>
        <w:spacing w:before="0" w:beforeAutospacing="0" w:after="0" w:afterAutospacing="0" w:line="360" w:lineRule="auto"/>
        <w:ind w:firstLine="707" w:firstLineChars="224"/>
        <w:rPr>
          <w:rFonts w:ascii="宋体" w:hAnsi="宋体" w:eastAsia="宋体" w:cs="宋体"/>
          <w:spacing w:val="-2"/>
          <w:sz w:val="32"/>
          <w:szCs w:val="32"/>
        </w:rPr>
      </w:pPr>
      <w:r>
        <w:rPr>
          <w:rFonts w:hint="eastAsia" w:ascii="宋体" w:hAnsi="宋体" w:eastAsia="宋体" w:cs="宋体"/>
          <w:spacing w:val="-2"/>
          <w:sz w:val="32"/>
          <w:szCs w:val="32"/>
        </w:rPr>
        <w:t>2、项目支出：2021年无项目经费支出。</w:t>
      </w:r>
    </w:p>
    <w:p>
      <w:pPr>
        <w:pStyle w:val="6"/>
        <w:shd w:val="clear" w:color="auto" w:fill="FFFFFF"/>
        <w:spacing w:before="0" w:beforeAutospacing="0" w:after="0" w:afterAutospacing="0" w:line="360" w:lineRule="auto"/>
        <w:ind w:firstLine="707" w:firstLineChars="224"/>
        <w:rPr>
          <w:rFonts w:ascii="宋体" w:hAnsi="宋体" w:eastAsia="宋体" w:cs="宋体"/>
          <w:b/>
          <w:spacing w:val="-2"/>
          <w:sz w:val="32"/>
          <w:szCs w:val="21"/>
        </w:rPr>
      </w:pPr>
      <w:r>
        <w:rPr>
          <w:rFonts w:hint="eastAsia" w:ascii="宋体" w:hAnsi="宋体" w:eastAsia="宋体" w:cs="宋体"/>
          <w:b/>
          <w:spacing w:val="-2"/>
          <w:sz w:val="32"/>
          <w:szCs w:val="32"/>
        </w:rPr>
        <w:t>二、部门整体支出管理及使用情况</w:t>
      </w:r>
    </w:p>
    <w:p>
      <w:pPr>
        <w:widowControl/>
        <w:shd w:val="clear" w:color="auto" w:fill="FFFFFF"/>
        <w:spacing w:line="360" w:lineRule="auto"/>
        <w:ind w:firstLine="643"/>
        <w:rPr>
          <w:rFonts w:ascii="宋体" w:hAnsi="宋体" w:eastAsia="宋体" w:cs="宋体"/>
          <w:b/>
          <w:spacing w:val="-2"/>
          <w:sz w:val="32"/>
          <w:szCs w:val="21"/>
        </w:rPr>
      </w:pPr>
      <w:r>
        <w:rPr>
          <w:rFonts w:hint="eastAsia" w:ascii="宋体" w:hAnsi="宋体" w:eastAsia="宋体" w:cs="宋体"/>
          <w:b/>
          <w:spacing w:val="-2"/>
          <w:sz w:val="32"/>
          <w:szCs w:val="32"/>
        </w:rPr>
        <w:t>（一）基本支出</w:t>
      </w:r>
    </w:p>
    <w:p>
      <w:pPr>
        <w:widowControl/>
        <w:shd w:val="clear" w:color="auto" w:fill="FFFFFF"/>
        <w:spacing w:line="360" w:lineRule="auto"/>
        <w:ind w:firstLine="643"/>
        <w:rPr>
          <w:rFonts w:ascii="宋体" w:hAnsi="宋体" w:eastAsia="宋体" w:cs="宋体"/>
          <w:sz w:val="32"/>
          <w:szCs w:val="32"/>
        </w:rPr>
      </w:pPr>
      <w:r>
        <w:rPr>
          <w:rFonts w:hint="eastAsia" w:ascii="宋体" w:hAnsi="宋体" w:eastAsia="宋体" w:cs="宋体"/>
          <w:color w:val="3D3D3D"/>
          <w:sz w:val="32"/>
          <w:szCs w:val="32"/>
          <w:shd w:val="clear" w:color="auto" w:fill="FFFFFF"/>
        </w:rPr>
        <w:t>怀化市人力资源和社会保障局(本级)</w:t>
      </w:r>
      <w:r>
        <w:rPr>
          <w:rFonts w:hint="eastAsia" w:ascii="宋体" w:hAnsi="宋体" w:eastAsia="宋体" w:cs="宋体"/>
          <w:sz w:val="32"/>
          <w:szCs w:val="32"/>
        </w:rPr>
        <w:t>基本支出为用于保障机构正常运转和完成日常工作任务而产生的支出，包括用于基本工资、津贴补贴、退休费等人员经费以及办公费、印刷费、水电费、办公设备购置、公务用车运行维护等日常公用经费。2021年</w:t>
      </w:r>
      <w:r>
        <w:rPr>
          <w:rFonts w:hint="eastAsia" w:ascii="宋体" w:hAnsi="宋体" w:eastAsia="宋体" w:cs="宋体"/>
          <w:color w:val="3D3D3D"/>
          <w:sz w:val="32"/>
          <w:szCs w:val="32"/>
          <w:shd w:val="clear" w:color="auto" w:fill="FFFFFF"/>
        </w:rPr>
        <w:t>怀化市人力资源和社会保障局(本级)</w:t>
      </w:r>
      <w:r>
        <w:rPr>
          <w:rFonts w:hint="eastAsia" w:ascii="宋体" w:hAnsi="宋体" w:eastAsia="宋体" w:cs="宋体"/>
          <w:sz w:val="32"/>
          <w:szCs w:val="32"/>
        </w:rPr>
        <w:t>共产生基本支出1812.26万元，其中人员经费1183.32万元，公用经费619.39万元，资本性支出9.55万元，其中“三公”经费20.69万元。</w:t>
      </w:r>
    </w:p>
    <w:p>
      <w:pPr>
        <w:widowControl/>
        <w:shd w:val="clear" w:color="auto" w:fill="FFFFFF"/>
        <w:spacing w:line="360" w:lineRule="auto"/>
        <w:ind w:firstLine="643"/>
        <w:rPr>
          <w:rFonts w:ascii="宋体" w:hAnsi="宋体" w:eastAsia="宋体" w:cs="宋体"/>
          <w:b/>
          <w:spacing w:val="-2"/>
          <w:sz w:val="32"/>
          <w:szCs w:val="21"/>
        </w:rPr>
      </w:pPr>
      <w:r>
        <w:rPr>
          <w:rFonts w:hint="eastAsia" w:ascii="宋体" w:hAnsi="宋体" w:eastAsia="宋体" w:cs="宋体"/>
          <w:b/>
          <w:spacing w:val="-2"/>
          <w:sz w:val="32"/>
          <w:szCs w:val="32"/>
        </w:rPr>
        <w:t>（二）专项支出</w:t>
      </w:r>
    </w:p>
    <w:p>
      <w:pPr>
        <w:widowControl/>
        <w:shd w:val="clear" w:color="auto" w:fill="FFFFFF"/>
        <w:spacing w:line="360" w:lineRule="auto"/>
        <w:ind w:firstLine="640"/>
        <w:rPr>
          <w:rFonts w:ascii="宋体" w:hAnsi="宋体" w:eastAsia="宋体" w:cs="宋体"/>
          <w:spacing w:val="-2"/>
          <w:sz w:val="32"/>
          <w:szCs w:val="32"/>
        </w:rPr>
      </w:pPr>
      <w:r>
        <w:rPr>
          <w:rFonts w:hint="eastAsia" w:ascii="宋体" w:hAnsi="宋体" w:eastAsia="宋体" w:cs="宋体"/>
          <w:spacing w:val="-2"/>
          <w:sz w:val="32"/>
          <w:szCs w:val="32"/>
        </w:rPr>
        <w:t>2021年度无项目经费支出。</w:t>
      </w:r>
    </w:p>
    <w:p>
      <w:pPr>
        <w:widowControl/>
        <w:shd w:val="clear" w:color="auto" w:fill="FFFFFF"/>
        <w:spacing w:line="360" w:lineRule="auto"/>
        <w:ind w:firstLine="640"/>
        <w:rPr>
          <w:rFonts w:ascii="宋体" w:hAnsi="宋体" w:eastAsia="宋体" w:cs="宋体"/>
          <w:spacing w:val="-2"/>
          <w:sz w:val="32"/>
          <w:szCs w:val="32"/>
        </w:rPr>
      </w:pPr>
      <w:r>
        <w:rPr>
          <w:rFonts w:hint="eastAsia" w:ascii="宋体" w:hAnsi="宋体" w:eastAsia="宋体" w:cs="宋体"/>
          <w:spacing w:val="-2"/>
          <w:sz w:val="32"/>
          <w:szCs w:val="32"/>
        </w:rPr>
        <w:t>3、专项资金管理情况分析</w:t>
      </w:r>
    </w:p>
    <w:p>
      <w:pPr>
        <w:widowControl/>
        <w:shd w:val="clear" w:color="auto" w:fill="FFFFFF"/>
        <w:spacing w:line="360" w:lineRule="auto"/>
        <w:ind w:firstLine="640"/>
        <w:rPr>
          <w:rFonts w:ascii="宋体" w:hAnsi="宋体" w:eastAsia="宋体" w:cs="宋体"/>
          <w:spacing w:val="-2"/>
          <w:sz w:val="32"/>
          <w:szCs w:val="21"/>
        </w:rPr>
      </w:pPr>
      <w:r>
        <w:rPr>
          <w:rFonts w:hint="eastAsia" w:ascii="宋体" w:hAnsi="宋体" w:eastAsia="宋体" w:cs="宋体"/>
          <w:sz w:val="32"/>
          <w:szCs w:val="32"/>
        </w:rPr>
        <w:t>为规范专项资金管理，保证资金安全，高效运行，发挥资金使用效率，我局制订了《专项经费管理制度》，保证“专款专用，专帐核算”。</w:t>
      </w:r>
      <w:r>
        <w:rPr>
          <w:rFonts w:hint="eastAsia" w:ascii="宋体" w:hAnsi="宋体" w:eastAsia="宋体" w:cs="宋体"/>
          <w:color w:val="333333"/>
          <w:sz w:val="32"/>
          <w:szCs w:val="32"/>
        </w:rPr>
        <w:t>资金开支审批手续完整，各项资金全部实现国库授权支付、专款专用，不存在支出依据不合规、虚列项目支出、截留、挤占、挪用和超标准支出等现象。</w:t>
      </w:r>
    </w:p>
    <w:p>
      <w:pPr>
        <w:widowControl/>
        <w:shd w:val="clear" w:color="auto" w:fill="FFFFFF"/>
        <w:spacing w:line="360" w:lineRule="auto"/>
        <w:ind w:firstLine="640"/>
        <w:rPr>
          <w:rFonts w:ascii="宋体" w:hAnsi="宋体" w:eastAsia="宋体" w:cs="宋体"/>
          <w:b/>
          <w:spacing w:val="-2"/>
          <w:sz w:val="32"/>
          <w:szCs w:val="21"/>
        </w:rPr>
      </w:pPr>
      <w:r>
        <w:rPr>
          <w:rFonts w:hint="eastAsia" w:ascii="宋体" w:hAnsi="宋体" w:eastAsia="宋体" w:cs="宋体"/>
          <w:b/>
          <w:spacing w:val="-2"/>
          <w:sz w:val="32"/>
          <w:szCs w:val="32"/>
        </w:rPr>
        <w:t>三、部门专项组织实施情况</w:t>
      </w:r>
    </w:p>
    <w:p>
      <w:pPr>
        <w:widowControl/>
        <w:shd w:val="clear" w:color="auto" w:fill="FFFFFF"/>
        <w:spacing w:line="360" w:lineRule="auto"/>
        <w:ind w:firstLine="640"/>
        <w:rPr>
          <w:rFonts w:ascii="宋体" w:hAnsi="宋体" w:eastAsia="宋体" w:cs="宋体"/>
          <w:spacing w:val="-2"/>
          <w:sz w:val="32"/>
          <w:szCs w:val="32"/>
        </w:rPr>
      </w:pPr>
      <w:r>
        <w:rPr>
          <w:rFonts w:hint="eastAsia" w:ascii="宋体" w:hAnsi="宋体" w:eastAsia="宋体" w:cs="宋体"/>
          <w:spacing w:val="-2"/>
          <w:sz w:val="32"/>
          <w:szCs w:val="32"/>
        </w:rPr>
        <w:t>（一）专项组织情况分析，主要包括项目招投标、调整、竣工验收等情况。</w:t>
      </w:r>
    </w:p>
    <w:p>
      <w:pPr>
        <w:pStyle w:val="14"/>
        <w:spacing w:line="360" w:lineRule="auto"/>
        <w:ind w:firstLine="640" w:firstLineChars="200"/>
        <w:rPr>
          <w:rFonts w:ascii="宋体" w:hAnsi="宋体" w:cs="宋体"/>
          <w:spacing w:val="-2"/>
          <w:sz w:val="32"/>
          <w:szCs w:val="21"/>
        </w:rPr>
      </w:pPr>
      <w:r>
        <w:rPr>
          <w:rFonts w:hint="eastAsia" w:ascii="宋体" w:hAnsi="宋体" w:cs="宋体"/>
          <w:sz w:val="32"/>
          <w:szCs w:val="32"/>
        </w:rPr>
        <w:t>进一步规范财务报账审批程序、合同协议审批程序、费用结算程序，明确物资、项目采购要求、流程，在所有采购和项目实施过程中严格按相关财政要求执行，坚持勤俭节约、非必要不采购和廉洁自律纪律要求。</w:t>
      </w:r>
    </w:p>
    <w:p>
      <w:pPr>
        <w:widowControl/>
        <w:shd w:val="clear" w:color="auto" w:fill="FFFFFF"/>
        <w:spacing w:line="360" w:lineRule="auto"/>
        <w:ind w:firstLine="640"/>
        <w:rPr>
          <w:rFonts w:ascii="宋体" w:hAnsi="宋体" w:eastAsia="宋体" w:cs="宋体"/>
          <w:spacing w:val="-2"/>
          <w:sz w:val="32"/>
          <w:szCs w:val="32"/>
        </w:rPr>
      </w:pPr>
      <w:r>
        <w:rPr>
          <w:rFonts w:hint="eastAsia" w:ascii="宋体" w:hAnsi="宋体" w:eastAsia="宋体" w:cs="宋体"/>
          <w:spacing w:val="-2"/>
          <w:sz w:val="32"/>
          <w:szCs w:val="32"/>
        </w:rPr>
        <w:t>（二）专项管理情况分析，主要包括项目管理制度建设、日常检查监督管理等情况。</w:t>
      </w:r>
    </w:p>
    <w:p>
      <w:pPr>
        <w:widowControl/>
        <w:shd w:val="clear" w:color="auto" w:fill="FFFFFF"/>
        <w:spacing w:line="360" w:lineRule="auto"/>
        <w:ind w:firstLine="640"/>
        <w:rPr>
          <w:rFonts w:ascii="宋体" w:hAnsi="宋体" w:eastAsia="宋体" w:cs="宋体"/>
          <w:spacing w:val="-2"/>
          <w:sz w:val="32"/>
          <w:szCs w:val="21"/>
        </w:rPr>
      </w:pPr>
      <w:r>
        <w:rPr>
          <w:rFonts w:hint="eastAsia" w:ascii="宋体" w:hAnsi="宋体" w:eastAsia="宋体" w:cs="宋体"/>
          <w:spacing w:val="-2"/>
          <w:sz w:val="32"/>
          <w:szCs w:val="32"/>
        </w:rPr>
        <w:t>我局严格执行《怀化市本级财政专项资金管理办法》、《怀化市本级政府投资项目工程预结（决）算管理办法》、《怀化市2020年政府集中采购目录及政府采购限额标准》等相关制度，</w:t>
      </w:r>
      <w:r>
        <w:rPr>
          <w:rFonts w:hint="eastAsia" w:ascii="宋体" w:hAnsi="宋体" w:eastAsia="宋体" w:cs="宋体"/>
          <w:sz w:val="32"/>
          <w:szCs w:val="32"/>
        </w:rPr>
        <w:t>实行项目责任制管理。单位主要领导负责项目的</w:t>
      </w:r>
      <w:r>
        <w:rPr>
          <w:rFonts w:hint="eastAsia" w:ascii="宋体" w:hAnsi="宋体" w:eastAsia="宋体" w:cs="宋体"/>
          <w:spacing w:val="-2"/>
          <w:sz w:val="32"/>
          <w:szCs w:val="32"/>
        </w:rPr>
        <w:t>日常检查和监督工作</w:t>
      </w:r>
      <w:r>
        <w:rPr>
          <w:rFonts w:hint="eastAsia" w:ascii="宋体" w:hAnsi="宋体" w:eastAsia="宋体" w:cs="宋体"/>
          <w:sz w:val="32"/>
          <w:szCs w:val="32"/>
        </w:rPr>
        <w:t>，认真履行职责，做好项目的管理。</w:t>
      </w:r>
    </w:p>
    <w:p>
      <w:pPr>
        <w:widowControl/>
        <w:shd w:val="clear" w:color="auto" w:fill="FFFFFF"/>
        <w:spacing w:line="360" w:lineRule="auto"/>
        <w:ind w:firstLine="640"/>
        <w:rPr>
          <w:rFonts w:ascii="宋体" w:hAnsi="宋体" w:eastAsia="宋体" w:cs="宋体"/>
          <w:b/>
          <w:spacing w:val="-2"/>
          <w:sz w:val="32"/>
          <w:szCs w:val="21"/>
        </w:rPr>
      </w:pPr>
      <w:r>
        <w:rPr>
          <w:rFonts w:hint="eastAsia" w:ascii="宋体" w:hAnsi="宋体" w:eastAsia="宋体" w:cs="宋体"/>
          <w:b/>
          <w:spacing w:val="-2"/>
          <w:sz w:val="32"/>
          <w:szCs w:val="32"/>
        </w:rPr>
        <w:t>四、资产管理情况</w:t>
      </w:r>
    </w:p>
    <w:p>
      <w:pPr>
        <w:widowControl/>
        <w:shd w:val="clear" w:color="auto" w:fill="FFFFFF"/>
        <w:spacing w:line="360" w:lineRule="auto"/>
        <w:ind w:firstLine="640"/>
        <w:rPr>
          <w:rFonts w:ascii="宋体" w:hAnsi="宋体" w:eastAsia="宋体" w:cs="宋体"/>
          <w:spacing w:val="-2"/>
          <w:sz w:val="32"/>
          <w:szCs w:val="32"/>
        </w:rPr>
      </w:pPr>
      <w:r>
        <w:rPr>
          <w:rFonts w:hint="eastAsia" w:ascii="宋体" w:hAnsi="宋体" w:eastAsia="宋体" w:cs="宋体"/>
          <w:spacing w:val="-2"/>
          <w:sz w:val="32"/>
          <w:szCs w:val="32"/>
        </w:rPr>
        <w:t>2021年</w:t>
      </w:r>
      <w:r>
        <w:rPr>
          <w:rFonts w:hint="eastAsia" w:ascii="宋体" w:hAnsi="宋体" w:eastAsia="宋体" w:cs="宋体"/>
          <w:color w:val="3D3D3D"/>
          <w:sz w:val="32"/>
          <w:szCs w:val="32"/>
          <w:shd w:val="clear" w:color="auto" w:fill="FFFFFF"/>
        </w:rPr>
        <w:t>我局</w:t>
      </w:r>
      <w:r>
        <w:rPr>
          <w:rFonts w:hint="eastAsia" w:ascii="宋体" w:hAnsi="宋体" w:eastAsia="宋体" w:cs="宋体"/>
          <w:spacing w:val="-2"/>
          <w:sz w:val="32"/>
          <w:szCs w:val="32"/>
        </w:rPr>
        <w:t>制定了详细的内部管理制度，所有资产统一采购、专人管理、定期盘点、集中处置、严格追责，有效防止了国有资产流失。对报废固定资产按规定程序进行处理，新增固定资产建立了固定资产卡片和台账，责任到人，从而确保资产账账相符、账实相符。</w:t>
      </w:r>
    </w:p>
    <w:p>
      <w:pPr>
        <w:widowControl/>
        <w:shd w:val="clear" w:color="auto" w:fill="FFFFFF"/>
        <w:spacing w:line="360" w:lineRule="auto"/>
        <w:ind w:firstLine="640"/>
        <w:rPr>
          <w:rFonts w:ascii="宋体" w:hAnsi="宋体" w:eastAsia="宋体" w:cs="宋体"/>
          <w:b/>
          <w:spacing w:val="-2"/>
          <w:sz w:val="32"/>
          <w:szCs w:val="32"/>
        </w:rPr>
      </w:pPr>
      <w:r>
        <w:rPr>
          <w:rFonts w:hint="eastAsia" w:ascii="宋体" w:hAnsi="宋体" w:eastAsia="宋体" w:cs="宋体"/>
          <w:b/>
          <w:spacing w:val="-2"/>
          <w:sz w:val="32"/>
          <w:szCs w:val="32"/>
        </w:rPr>
        <w:t>五、部门整体支出绩效情况</w:t>
      </w:r>
    </w:p>
    <w:p>
      <w:pPr>
        <w:adjustRightInd w:val="0"/>
        <w:snapToGrid w:val="0"/>
        <w:spacing w:line="600" w:lineRule="exact"/>
        <w:ind w:firstLine="632" w:firstLineChars="200"/>
        <w:rPr>
          <w:rFonts w:ascii="宋体" w:hAnsi="宋体" w:eastAsia="宋体" w:cs="宋体"/>
          <w:spacing w:val="-2"/>
          <w:sz w:val="32"/>
          <w:szCs w:val="32"/>
        </w:rPr>
      </w:pPr>
      <w:r>
        <w:rPr>
          <w:rFonts w:hint="eastAsia" w:ascii="宋体" w:hAnsi="宋体" w:eastAsia="宋体" w:cs="宋体"/>
          <w:spacing w:val="-2"/>
          <w:sz w:val="32"/>
          <w:szCs w:val="32"/>
        </w:rPr>
        <w:t>一是就业创业工作取得新成效。深入落实就业服务惠企惠民“五进五送”行动，依托怀化找工作网等线上线下开展388场次招聘会，提供就业岗位10万多个，达成就业意向3.1万人。全力以赴为我市企业招工，组织18个招工小分队深入社区、农村开展招工活动，累计为园区重点企业招工2442人。在全省率先发布《致全市在省外务工人员的一封信》，制定稳岗留工“十三条”，为2000余外籍员工发放春节守岗“红包”100万元。集中两个月的时间，全面摸清了社区和乡村250万劳动力底数和就业状况，落细推进94个充分就业重点建设社区，第三季度我市充分就业社区（村）工作在全省排名第一。全力保障重点群体稳定就业，全市2243名退捕渔民中，1435名有就业意愿且有就业能力的退捕渔民100%实现就业。大力实施创业带动就业工作，开展“八创联动”带动就业，和银行合作发放创业担保贷款1.6亿元支持创新创业，在第三届马兰花全国创业培训讲师大赛中，三个一等奖我市荣获一个，七个二等奖我市荣获一个。狠抓技能培训，培训重点行业、重点企业职工1.91万人，完成政府补贴性职业技能培训9.51万人次，其中农村转移就业劳动者培训3.95万人次。2021年，全市新增城镇就业3.78万人，新增农村劳动力转移就业4.16万人，脱贫人口就业34.73万人，城镇登记失业率3.44%，城镇调查失业率控制在5.5%以内，零就业家庭保持动态清零。2021年12月12日，春秋市长到我局专题调研就业工作，对我局2021年就业工作给与充分肯定。春秋市长调研提出的14项交办事项，我局牵头落实11项，目前正在有序推进。</w:t>
      </w:r>
    </w:p>
    <w:p>
      <w:pPr>
        <w:adjustRightInd w:val="0"/>
        <w:snapToGrid w:val="0"/>
        <w:spacing w:line="600" w:lineRule="exact"/>
        <w:ind w:firstLine="632" w:firstLineChars="200"/>
        <w:rPr>
          <w:rFonts w:ascii="宋体" w:hAnsi="宋体" w:eastAsia="宋体" w:cs="宋体"/>
          <w:spacing w:val="-2"/>
          <w:sz w:val="32"/>
          <w:szCs w:val="32"/>
        </w:rPr>
      </w:pPr>
      <w:r>
        <w:rPr>
          <w:rFonts w:hint="eastAsia" w:ascii="宋体" w:hAnsi="宋体" w:eastAsia="宋体" w:cs="宋体"/>
          <w:spacing w:val="-2"/>
          <w:sz w:val="32"/>
          <w:szCs w:val="32"/>
        </w:rPr>
        <w:t>二是社会保障体系建设取得新进步。2021年前三季度（数据季报），全市社保基金收入95.49亿元，支出94.64亿元，累计结余47.09亿元。全市社会保险参保总人数（养老保险、工伤保险、失业保险）为404.14万。按时完成22.74万名企业退休人员养老金调待工作，顺利实现17连涨，目前全市企业平均养老金待遇达2639元/月。机关事业单位单位养老保险养老金实现6连涨，目前待遇4615元/月。全市阶段性降低减免工伤保险费、失业保险费8682.07万元，惠及9870家企业40.5万人。全市2243名退捕渔民中，符合社保补贴条件的100%补贴到位。全面启动“社保卡”统发企业养老保险养老金工作，稳步推进失地农民社保工作，积极攻坚城乡居民养老保险保障水平高质量发展短板指标，鉴于我市城居保养老金待遇为116.57元/月，排名全省最后，为此我局与市财政局联合下发了《关于建立城乡居民基本养老保险待遇确定和基础养老金正常调整机制的实施意见》。花大力气进行社保基金防风险、堵漏洞专项整治，目前，城乡居民基本养老保险和城乡居民灵活就业人员企业职保待遇核查整改完成率已达100%、疑似风险社保卡整改完成率达100%、人社部调研检查组反馈举一反三问题整改完成率达100%。市委市政府出台的《怀化市加强社会保险基金监管“十条措施”》得到时任常务副省长谢建辉和省人社厅的充分肯定，被省专治办写进向国家人社部的报告，内容被湘办〔2021〕28号《关于切实加强社会保险基金监管工作意见》全部吸纳。</w:t>
      </w:r>
    </w:p>
    <w:p>
      <w:pPr>
        <w:adjustRightInd w:val="0"/>
        <w:snapToGrid w:val="0"/>
        <w:spacing w:line="600" w:lineRule="exact"/>
        <w:ind w:firstLine="632" w:firstLineChars="200"/>
        <w:rPr>
          <w:rFonts w:ascii="宋体" w:hAnsi="宋体" w:eastAsia="宋体" w:cs="宋体"/>
          <w:spacing w:val="-2"/>
          <w:sz w:val="32"/>
          <w:szCs w:val="32"/>
        </w:rPr>
      </w:pPr>
      <w:r>
        <w:rPr>
          <w:rFonts w:hint="eastAsia" w:ascii="宋体" w:hAnsi="宋体" w:eastAsia="宋体" w:cs="宋体"/>
          <w:spacing w:val="-2"/>
          <w:sz w:val="32"/>
          <w:szCs w:val="32"/>
        </w:rPr>
        <w:t>三是人事人才服务工作取得新进展。深入实施“五溪人才行动计划”，推动2个批次852个岗位的高层次人才引进，引进各类高层次人才278人。创新湘西特聘专家服务模式，采取高校组团服务的形式，邀请21名专家对全市9个县市区及市本级的12个项目进行对口支持。开展2021年度引进关键人才推荐工作，推荐我市4个企业4名专家参加省里评选，推荐成功3名。推荐享受省政府特殊津贴人员，2名入选公示名单。紧盯“留、招、培”三个要素，大力开展产业技能人才培养，围绕服务企业用工、技能人才需求积极开展人力资源专项调研，力争将人力资源优势转化为招商引资优势和产业发展优势。在10月份开展的四省市十市州参加的第三届武陵山片区技能大赛中，我市荣获团体一等奖。扎实开展职称评审工作，全市共核准高级职数1705个。完成6家市直公立医院4552名人员的备案制招聘，零差错开展3万人次的公务员招录等各类考人事试考。全市义务教育教师年度考核增加薪级工资审核发放到位，公立医院薪酬制度改革稳步推进。突出高质量跨越式发展考核导向，制定了2021年度市直单位绩效评估方案，为市委市政府当好了参谋。全面清理评比达标表彰项目，实施24项全国、全省评比表彰推荐。</w:t>
      </w:r>
    </w:p>
    <w:p>
      <w:pPr>
        <w:adjustRightInd w:val="0"/>
        <w:snapToGrid w:val="0"/>
        <w:spacing w:line="600" w:lineRule="exact"/>
        <w:ind w:firstLine="632" w:firstLineChars="200"/>
        <w:rPr>
          <w:rFonts w:ascii="宋体" w:hAnsi="宋体" w:eastAsia="宋体" w:cs="宋体"/>
          <w:spacing w:val="-2"/>
          <w:sz w:val="32"/>
          <w:szCs w:val="32"/>
        </w:rPr>
      </w:pPr>
      <w:r>
        <w:rPr>
          <w:rFonts w:hint="eastAsia" w:ascii="宋体" w:hAnsi="宋体" w:eastAsia="宋体" w:cs="宋体"/>
          <w:spacing w:val="-2"/>
          <w:sz w:val="32"/>
          <w:szCs w:val="32"/>
        </w:rPr>
        <w:t>四是和谐劳动关系取得新突破。全面实施劳动关系“和谐同行”能力提升行动，对全市7143企业家进行了劳动用工备案，备案员工达总数18.2万人，工资集体协商建制率达到90%以上。积极组织举办工资集体协商“春季要约”、《保障农民工工资支付条例》宣传月、最美仲裁员、金牌调解组织等系列活动。2021年，劳动人事争议调解受理案件59件，涉及劳动者人数59人，涉案金额达69.6万元，调解结案59件，调解率100%；共收到12333及维权热线举报投诉或咨询电话2800余次，处理12345市长热线、市长信箱涉及农民工工资案件线索56件，现已全部处置到位；接到全国欠薪平台欠薪线索981条，现已有效处置970条，办结率98.88%，其中市本级4条、麻阳县2条、通道县1条、经开区4条未处置到位；接到“湖南省劳动保障监察两网化联动管理平台”线索39条，现有效处置39条，办结率为100%；接到部、省交办案件线索5条，现已全部核处完毕，办结率为100%；全市劳动保障监察机构立案受理工资类投诉、举报案件79起，结案79起，结案率100%，为1891名农民工追发工资1748万元，与2020年同期相比，举报投诉率下降了21%。协调处理拖欠农民工工资举报投诉案件361起，涉及农民工3651人、金额3437万元，总计为5018人追回工资4705万元。尤其是2021年11月来，我局全力以赴开展根治欠薪冬季专项行动，通过组建工作专班、加大隐患排查力度、加大执法维权力度、加大问题处置力度，切实农民工合法权益，确保春节期间社会大局稳定。</w:t>
      </w:r>
    </w:p>
    <w:p>
      <w:pPr>
        <w:adjustRightInd w:val="0"/>
        <w:snapToGrid w:val="0"/>
        <w:spacing w:line="600" w:lineRule="exact"/>
        <w:ind w:firstLine="632" w:firstLineChars="200"/>
        <w:rPr>
          <w:rFonts w:ascii="宋体" w:hAnsi="宋体" w:eastAsia="宋体" w:cs="宋体"/>
          <w:spacing w:val="-2"/>
          <w:sz w:val="32"/>
          <w:szCs w:val="32"/>
        </w:rPr>
      </w:pPr>
      <w:r>
        <w:rPr>
          <w:rFonts w:hint="eastAsia" w:ascii="宋体" w:hAnsi="宋体" w:eastAsia="宋体" w:cs="宋体"/>
          <w:spacing w:val="-2"/>
          <w:sz w:val="32"/>
          <w:szCs w:val="32"/>
        </w:rPr>
        <w:t>五是民生实事工作取得新提高。全面落实省政府新列10件和续办10件重点民生实事，将重点民生实事作为政治任务和底线工作，每月一调度、每月一通报，每月提请常务副市长召开调度会强力推进。自9月份起，对省重点民生实事工作实行周调度，对进度滞后的项目向分管市领导呈送“提示单”，向县市区和市直责任单位一把手发“督办函”。目前，20件省重点民生实事已经全部完成目标任务。除落实省重点民生实事以外，我局还统筹推进市重点民生实事工作、“六位”建设工作、城市低收入群体帮扶工作。2021年，市本级新增11件市重点民生实事，已经全部完成目标任务。协助起草“六位建设”1+6文件，每月一调度，每月一通报，全市城乡居民“岗位、学位、床位、车位、厕位、梯位”指标共6类16项任务全部完成。牵头起草城市低收入群体增收帮扶1+7文件，每月一调度，不定期明察暗访，截止2021年12月底，动态识别城市（仅指鹤城区主城区）低收入群体86户221人，人社、民政、住建、医保等部门正有序开展对口帮扶。此外，我局还统筹调度两项GDP基础数据，分别是租赁和商务服务业营业收入、租赁和商务服务业工资总额，2021年前三季度纳入统计的15家企业营业收入增长25.77%，工资总额增长35.83%。</w:t>
      </w:r>
    </w:p>
    <w:p>
      <w:pPr>
        <w:pStyle w:val="15"/>
        <w:adjustRightInd w:val="0"/>
        <w:snapToGrid w:val="0"/>
        <w:spacing w:line="600" w:lineRule="exact"/>
        <w:ind w:firstLine="632" w:firstLineChars="200"/>
        <w:rPr>
          <w:rFonts w:ascii="宋体" w:hAnsi="宋体" w:eastAsia="宋体" w:cs="宋体"/>
          <w:spacing w:val="-2"/>
          <w:sz w:val="32"/>
          <w:szCs w:val="32"/>
        </w:rPr>
      </w:pPr>
      <w:r>
        <w:rPr>
          <w:rFonts w:hint="eastAsia" w:ascii="宋体" w:hAnsi="宋体" w:eastAsia="宋体" w:cs="宋体"/>
          <w:spacing w:val="-2"/>
          <w:sz w:val="32"/>
          <w:szCs w:val="32"/>
        </w:rPr>
        <w:t>六是优化营商环境彰显新作为。在制定市直单位绩效评估指标时，加大优化营商环境考核权重，分数由以往的3分提高到10分。今年以来，我局认真落实“三集中三到位”改革，153项政务服务事项进驻市政务服务中心集中办理，实行“前台综合受理、后台分类审批、统一窗口出件”的业务办理模式，提高服务效率。强化服务举措，出台了《怀化市人力资源和社会保障局开展“人社服务快办行动”实施方案》，整合关联事项，优化办事流程，推进10个“一件事”打包办；聚焦群众办理的高频事项，精选20个事项“提速办”，办理期限在原基础上再提速53.3%；推进30个事项“跨省通办”，今年以来，我局为群众办理跨省通办事项2188件，免除群众办事来回跑。在优化营商环境“旋风行动”中，我们大力开展局长走流程活动，主动为企业和群众服务，10月27日，我局主动为230名因病申请提前退休人员办理病退手续被湖南日报报道。</w:t>
      </w:r>
    </w:p>
    <w:p>
      <w:pPr>
        <w:pStyle w:val="6"/>
        <w:adjustRightInd w:val="0"/>
        <w:snapToGrid w:val="0"/>
        <w:spacing w:before="0" w:beforeAutospacing="0" w:after="0" w:afterAutospacing="0" w:line="600" w:lineRule="exact"/>
        <w:ind w:firstLine="632" w:firstLineChars="200"/>
        <w:rPr>
          <w:rFonts w:ascii="宋体" w:hAnsi="宋体" w:eastAsia="宋体" w:cs="宋体"/>
          <w:spacing w:val="-2"/>
          <w:sz w:val="32"/>
          <w:szCs w:val="32"/>
        </w:rPr>
      </w:pPr>
      <w:r>
        <w:rPr>
          <w:rFonts w:hint="eastAsia" w:ascii="宋体" w:hAnsi="宋体" w:eastAsia="宋体" w:cs="宋体"/>
          <w:spacing w:val="-2"/>
          <w:sz w:val="32"/>
          <w:szCs w:val="32"/>
        </w:rPr>
        <w:t>七是自身建设迈上新台阶。2021年，在省人社厅的指导下，以“五型双一流”模范机关建设统筹人社工作，即“打造政治型、学习型、创新型、服务型、廉洁型机关，建一流队伍，创一流业绩”。结合党史学习教育，扎实推进“五型双一流”机关建设，受到了省委党史学习教育巡回督导组组长周发源的充分肯定，去年上半年全省人社工作会议被点名表扬。今年省人社厅务虚会议，我市将以“五型双一流”为题做典型发言。同时，加强党风廉政建设，大力推进清廉机关建设，人社系统风清气正。</w:t>
      </w:r>
    </w:p>
    <w:p>
      <w:pPr>
        <w:widowControl/>
        <w:shd w:val="clear" w:color="auto" w:fill="FFFFFF"/>
        <w:spacing w:line="360" w:lineRule="auto"/>
        <w:ind w:firstLine="640"/>
        <w:rPr>
          <w:rFonts w:ascii="宋体" w:hAnsi="宋体" w:eastAsia="宋体" w:cs="宋体"/>
          <w:b/>
          <w:spacing w:val="-2"/>
          <w:sz w:val="32"/>
          <w:szCs w:val="32"/>
        </w:rPr>
      </w:pPr>
      <w:r>
        <w:rPr>
          <w:rFonts w:hint="eastAsia" w:ascii="宋体" w:hAnsi="宋体" w:eastAsia="宋体" w:cs="宋体"/>
          <w:b/>
          <w:spacing w:val="-2"/>
          <w:sz w:val="32"/>
          <w:szCs w:val="32"/>
        </w:rPr>
        <w:t>六、存在的主要问题</w:t>
      </w:r>
    </w:p>
    <w:p>
      <w:pPr>
        <w:widowControl/>
        <w:shd w:val="clear" w:color="auto" w:fill="FFFFFF"/>
        <w:spacing w:line="360" w:lineRule="auto"/>
        <w:ind w:firstLine="640"/>
        <w:rPr>
          <w:rFonts w:ascii="宋体" w:hAnsi="宋体" w:eastAsia="宋体" w:cs="宋体"/>
          <w:spacing w:val="-2"/>
          <w:sz w:val="32"/>
          <w:szCs w:val="32"/>
        </w:rPr>
      </w:pPr>
      <w:r>
        <w:rPr>
          <w:rFonts w:hint="eastAsia" w:ascii="宋体" w:hAnsi="宋体" w:eastAsia="宋体" w:cs="宋体"/>
          <w:spacing w:val="-2"/>
          <w:sz w:val="32"/>
          <w:szCs w:val="32"/>
        </w:rPr>
        <w:t>2021年的工作在全局干部职工的共同努力下，虽然取得一定成绩，但是仍然存在一些问题。一是党史学习教育中对重点学习篇目的学习不够系统深入，对标支部“五化建设”要求还有一定差距；二是局内安全生产相关制度还不够全面、系统、完善。</w:t>
      </w:r>
    </w:p>
    <w:p>
      <w:pPr>
        <w:widowControl/>
        <w:shd w:val="clear" w:color="auto" w:fill="FFFFFF"/>
        <w:spacing w:line="360" w:lineRule="auto"/>
        <w:ind w:firstLine="640"/>
        <w:rPr>
          <w:rFonts w:ascii="宋体" w:hAnsi="宋体" w:eastAsia="宋体" w:cs="宋体"/>
          <w:b/>
          <w:spacing w:val="-2"/>
          <w:sz w:val="32"/>
          <w:szCs w:val="32"/>
        </w:rPr>
      </w:pPr>
      <w:r>
        <w:rPr>
          <w:rFonts w:hint="eastAsia" w:ascii="宋体" w:hAnsi="宋体" w:eastAsia="宋体" w:cs="宋体"/>
          <w:b/>
          <w:spacing w:val="-2"/>
          <w:sz w:val="32"/>
          <w:szCs w:val="32"/>
        </w:rPr>
        <w:t>七、改进措施和有关建议</w:t>
      </w:r>
    </w:p>
    <w:p>
      <w:pPr>
        <w:spacing w:line="560" w:lineRule="exact"/>
        <w:ind w:firstLine="632" w:firstLineChars="200"/>
        <w:jc w:val="left"/>
        <w:rPr>
          <w:rFonts w:ascii="宋体" w:hAnsi="宋体" w:eastAsia="宋体" w:cs="宋体"/>
          <w:spacing w:val="-2"/>
          <w:sz w:val="32"/>
          <w:szCs w:val="32"/>
        </w:rPr>
      </w:pPr>
      <w:r>
        <w:rPr>
          <w:rFonts w:hint="eastAsia" w:ascii="宋体" w:hAnsi="宋体" w:eastAsia="宋体" w:cs="宋体"/>
          <w:spacing w:val="-2"/>
          <w:sz w:val="32"/>
          <w:szCs w:val="32"/>
        </w:rPr>
        <w:t>1、加大预算安排力度，根据工作任务合理安排项目经费。</w:t>
      </w:r>
    </w:p>
    <w:p>
      <w:pPr>
        <w:pStyle w:val="5"/>
        <w:spacing w:line="560" w:lineRule="exact"/>
        <w:ind w:firstLine="632" w:firstLineChars="200"/>
        <w:rPr>
          <w:rFonts w:ascii="宋体" w:hAnsi="宋体" w:eastAsia="宋体" w:cs="宋体"/>
          <w:spacing w:val="-2"/>
          <w:sz w:val="32"/>
          <w:szCs w:val="32"/>
        </w:rPr>
      </w:pPr>
      <w:r>
        <w:rPr>
          <w:rFonts w:hint="eastAsia" w:ascii="宋体" w:hAnsi="宋体" w:eastAsia="宋体" w:cs="宋体"/>
          <w:spacing w:val="-2"/>
          <w:sz w:val="32"/>
          <w:szCs w:val="32"/>
        </w:rPr>
        <w:t xml:space="preserve">2、根据工作进度及时追加预算经费。  </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012641"/>
    <w:multiLevelType w:val="singleLevel"/>
    <w:tmpl w:val="A5012641"/>
    <w:lvl w:ilvl="0" w:tentative="0">
      <w:start w:val="2"/>
      <w:numFmt w:val="decimal"/>
      <w:suff w:val="nothing"/>
      <w:lvlText w:val="（%1）"/>
      <w:lvlJc w:val="left"/>
    </w:lvl>
  </w:abstractNum>
  <w:abstractNum w:abstractNumId="1">
    <w:nsid w:val="DCE76F28"/>
    <w:multiLevelType w:val="singleLevel"/>
    <w:tmpl w:val="DCE76F28"/>
    <w:lvl w:ilvl="0" w:tentative="0">
      <w:start w:val="12"/>
      <w:numFmt w:val="decimal"/>
      <w:suff w:val="nothing"/>
      <w:lvlText w:val="%1、"/>
      <w:lvlJc w:val="left"/>
      <w:pPr>
        <w:ind w:left="480" w:firstLine="0"/>
      </w:pPr>
    </w:lvl>
  </w:abstractNum>
  <w:abstractNum w:abstractNumId="2">
    <w:nsid w:val="453BA698"/>
    <w:multiLevelType w:val="singleLevel"/>
    <w:tmpl w:val="453BA698"/>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4MjM4OGRjMjA1YmIwNDg3YWY0MmMwNWU4YTAwYjI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567F"/>
    <w:rsid w:val="00487911"/>
    <w:rsid w:val="00491741"/>
    <w:rsid w:val="004B0CEE"/>
    <w:rsid w:val="00500E5F"/>
    <w:rsid w:val="005122EF"/>
    <w:rsid w:val="0051441A"/>
    <w:rsid w:val="00517C33"/>
    <w:rsid w:val="00517D5F"/>
    <w:rsid w:val="00521AF2"/>
    <w:rsid w:val="00523644"/>
    <w:rsid w:val="0054069E"/>
    <w:rsid w:val="00544866"/>
    <w:rsid w:val="00545A23"/>
    <w:rsid w:val="005767CC"/>
    <w:rsid w:val="00590D9F"/>
    <w:rsid w:val="00595D26"/>
    <w:rsid w:val="005A74E6"/>
    <w:rsid w:val="005B404E"/>
    <w:rsid w:val="005D4D55"/>
    <w:rsid w:val="005E2CFB"/>
    <w:rsid w:val="005E4EEA"/>
    <w:rsid w:val="005F2103"/>
    <w:rsid w:val="005F3D1C"/>
    <w:rsid w:val="0062378F"/>
    <w:rsid w:val="00641842"/>
    <w:rsid w:val="00651EEC"/>
    <w:rsid w:val="00662078"/>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E5B2D"/>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85C9F"/>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82F5F3A"/>
    <w:rsid w:val="0A0F3B79"/>
    <w:rsid w:val="0BDA5126"/>
    <w:rsid w:val="0C9A1BCD"/>
    <w:rsid w:val="0E077E3E"/>
    <w:rsid w:val="0E2D0B77"/>
    <w:rsid w:val="0FCF3D06"/>
    <w:rsid w:val="0FEA01E5"/>
    <w:rsid w:val="1008152A"/>
    <w:rsid w:val="11194AF2"/>
    <w:rsid w:val="169A7A79"/>
    <w:rsid w:val="16D43F9C"/>
    <w:rsid w:val="18294CBF"/>
    <w:rsid w:val="18C52BD3"/>
    <w:rsid w:val="1907567E"/>
    <w:rsid w:val="1EAC513C"/>
    <w:rsid w:val="22C02EF6"/>
    <w:rsid w:val="2362171C"/>
    <w:rsid w:val="24694363"/>
    <w:rsid w:val="25AA265B"/>
    <w:rsid w:val="29886BD0"/>
    <w:rsid w:val="2A15513E"/>
    <w:rsid w:val="2BE826FE"/>
    <w:rsid w:val="3811122A"/>
    <w:rsid w:val="399C1338"/>
    <w:rsid w:val="3E126276"/>
    <w:rsid w:val="3ECD4AAA"/>
    <w:rsid w:val="3F5343F1"/>
    <w:rsid w:val="402525DD"/>
    <w:rsid w:val="447677BA"/>
    <w:rsid w:val="44CA60DD"/>
    <w:rsid w:val="47C053E2"/>
    <w:rsid w:val="4CC06F16"/>
    <w:rsid w:val="4E0B7C93"/>
    <w:rsid w:val="55C44B58"/>
    <w:rsid w:val="6360550C"/>
    <w:rsid w:val="65306BC6"/>
    <w:rsid w:val="6E9A2902"/>
    <w:rsid w:val="6F2C332E"/>
    <w:rsid w:val="735A6994"/>
    <w:rsid w:val="74E45FE6"/>
    <w:rsid w:val="7570006F"/>
    <w:rsid w:val="79D41759"/>
    <w:rsid w:val="7B0C30E9"/>
    <w:rsid w:val="7B7678C5"/>
    <w:rsid w:val="7CAA378B"/>
    <w:rsid w:val="7D5F2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39"/>
  </w:style>
  <w:style w:type="paragraph" w:styleId="6">
    <w:name w:val="Normal (Web)"/>
    <w:basedOn w:val="1"/>
    <w:unhideWhenUsed/>
    <w:qFormat/>
    <w:uiPriority w:val="0"/>
    <w:pPr>
      <w:spacing w:before="100" w:beforeAutospacing="1" w:after="100" w:afterAutospacing="1"/>
    </w:p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字符"/>
    <w:basedOn w:val="8"/>
    <w:link w:val="2"/>
    <w:semiHidden/>
    <w:qFormat/>
    <w:uiPriority w:val="99"/>
    <w:rPr>
      <w:sz w:val="18"/>
      <w:szCs w:val="18"/>
    </w:rPr>
  </w:style>
  <w:style w:type="paragraph" w:styleId="1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
    <w:name w:val="Index6"/>
    <w:basedOn w:val="1"/>
    <w:next w:val="1"/>
    <w:qFormat/>
    <w:uiPriority w:val="0"/>
    <w:pPr>
      <w:ind w:firstLine="840"/>
      <w:textAlignment w:val="baseline"/>
    </w:pPr>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F1B4D-2FF3-48B1-BA5E-ED53586173B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1887</Words>
  <Characters>10756</Characters>
  <Lines>89</Lines>
  <Paragraphs>25</Paragraphs>
  <TotalTime>17</TotalTime>
  <ScaleCrop>false</ScaleCrop>
  <LinksUpToDate>false</LinksUpToDate>
  <CharactersWithSpaces>12618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非鱼</cp:lastModifiedBy>
  <cp:lastPrinted>2022-07-27T12:55:00Z</cp:lastPrinted>
  <dcterms:modified xsi:type="dcterms:W3CDTF">2023-10-06T02:09:04Z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8564279444C34DC7AA782FF33ACE21BE_12</vt:lpwstr>
  </property>
</Properties>
</file>