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2540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C97A1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jc w:val="center"/>
        <w:rPr>
          <w:rFonts w:hint="eastAsia" w:ascii="仿宋" w:hAnsi="仿宋" w:eastAsia="仿宋" w:cs="仿宋"/>
          <w:b/>
          <w:bCs/>
          <w:w w:val="100"/>
          <w:sz w:val="44"/>
          <w:szCs w:val="44"/>
          <w:lang w:val="en-US" w:eastAsia="zh-CN"/>
        </w:rPr>
      </w:pPr>
    </w:p>
    <w:p w14:paraId="05AE5C16">
      <w:pPr>
        <w:jc w:val="center"/>
        <w:rPr>
          <w:rFonts w:hint="eastAsia" w:ascii="仿宋" w:hAnsi="仿宋" w:eastAsia="仿宋" w:cs="仿宋"/>
          <w:b/>
          <w:bCs/>
          <w:w w:val="100"/>
          <w:sz w:val="44"/>
          <w:szCs w:val="44"/>
          <w:lang w:val="en-US" w:eastAsia="zh-CN"/>
        </w:rPr>
      </w:pPr>
      <w:r>
        <w:rPr>
          <w:rFonts w:hint="eastAsia" w:ascii="仿宋" w:hAnsi="仿宋" w:eastAsia="仿宋" w:cs="仿宋"/>
          <w:b/>
          <w:bCs/>
          <w:w w:val="100"/>
          <w:sz w:val="44"/>
          <w:szCs w:val="44"/>
          <w:lang w:val="en-US" w:eastAsia="zh-CN"/>
        </w:rPr>
        <w:t>2025年度怀化市水利技术事务中心</w:t>
      </w:r>
    </w:p>
    <w:p w14:paraId="0790C8D8">
      <w:pPr>
        <w:jc w:val="center"/>
        <w:rPr>
          <w:rFonts w:hint="eastAsia" w:ascii="仿宋" w:hAnsi="仿宋" w:eastAsia="仿宋" w:cs="仿宋"/>
          <w:b/>
          <w:bCs/>
          <w:w w:val="100"/>
          <w:sz w:val="44"/>
          <w:szCs w:val="44"/>
          <w:lang w:val="en-US" w:eastAsia="zh-CN"/>
        </w:rPr>
      </w:pPr>
      <w:r>
        <w:rPr>
          <w:rFonts w:hint="eastAsia" w:ascii="仿宋" w:hAnsi="仿宋" w:eastAsia="仿宋" w:cs="仿宋"/>
          <w:b/>
          <w:bCs/>
          <w:w w:val="100"/>
          <w:sz w:val="44"/>
          <w:szCs w:val="44"/>
          <w:lang w:val="en-US" w:eastAsia="zh-CN"/>
        </w:rPr>
        <w:t>整体支出绩效自评报告</w:t>
      </w: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987C2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D2F71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55482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C198C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B3721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3054A4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1C5A8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A6CE1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C353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66EAA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20B96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116C1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9621C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242A9C3">
      <w:pPr>
        <w:spacing w:line="600" w:lineRule="exact"/>
        <w:ind w:firstLine="2560" w:firstLineChars="800"/>
        <w:rPr>
          <w:rFonts w:ascii="仿宋" w:hAnsi="仿宋" w:eastAsia="仿宋" w:cs="仿宋"/>
          <w:w w:val="100"/>
          <w:sz w:val="32"/>
          <w:szCs w:val="32"/>
          <w:u w:val="single"/>
        </w:rPr>
      </w:pPr>
      <w:r>
        <w:rPr>
          <w:rFonts w:hint="eastAsia" w:ascii="仿宋" w:hAnsi="仿宋" w:eastAsia="仿宋" w:cs="仿宋"/>
          <w:w w:val="100"/>
          <w:sz w:val="32"/>
          <w:szCs w:val="32"/>
        </w:rPr>
        <w:t>单位名称：</w:t>
      </w:r>
      <w:r>
        <w:rPr>
          <w:rFonts w:hint="eastAsia" w:ascii="仿宋" w:hAnsi="仿宋" w:eastAsia="仿宋" w:cs="仿宋"/>
          <w:w w:val="100"/>
          <w:sz w:val="32"/>
          <w:szCs w:val="32"/>
          <w:lang w:eastAsia="zh-CN"/>
        </w:rPr>
        <w:t>怀化市水利技术事务中心</w:t>
      </w:r>
      <w:r>
        <w:rPr>
          <w:rFonts w:hint="eastAsia" w:ascii="仿宋" w:hAnsi="仿宋" w:eastAsia="仿宋" w:cs="仿宋"/>
          <w:w w:val="100"/>
          <w:sz w:val="32"/>
          <w:szCs w:val="32"/>
          <w:u w:val="single"/>
        </w:rPr>
        <w:t xml:space="preserve"> </w:t>
      </w:r>
    </w:p>
    <w:p w14:paraId="2CD977B7">
      <w:pPr>
        <w:spacing w:line="600" w:lineRule="exact"/>
        <w:ind w:firstLine="3200" w:firstLineChars="1000"/>
        <w:rPr>
          <w:rFonts w:hint="eastAsia" w:ascii="仿宋" w:hAnsi="仿宋" w:eastAsia="仿宋" w:cs="仿宋"/>
          <w:w w:val="100"/>
          <w:sz w:val="32"/>
          <w:szCs w:val="32"/>
        </w:rPr>
      </w:pPr>
      <w:r>
        <w:rPr>
          <w:rFonts w:hint="eastAsia" w:ascii="仿宋" w:hAnsi="仿宋" w:eastAsia="仿宋" w:cs="仿宋"/>
          <w:w w:val="100"/>
          <w:sz w:val="32"/>
          <w:szCs w:val="32"/>
        </w:rPr>
        <w:t>202</w:t>
      </w:r>
      <w:r>
        <w:rPr>
          <w:rFonts w:hint="eastAsia" w:ascii="仿宋" w:hAnsi="仿宋" w:eastAsia="仿宋" w:cs="仿宋"/>
          <w:w w:val="100"/>
          <w:sz w:val="32"/>
          <w:szCs w:val="32"/>
          <w:lang w:val="en-US" w:eastAsia="zh-CN"/>
        </w:rPr>
        <w:t>6</w:t>
      </w:r>
      <w:r>
        <w:rPr>
          <w:rFonts w:hint="eastAsia" w:ascii="仿宋" w:hAnsi="仿宋" w:eastAsia="仿宋" w:cs="仿宋"/>
          <w:w w:val="100"/>
          <w:sz w:val="32"/>
          <w:szCs w:val="32"/>
        </w:rPr>
        <w:t>年</w:t>
      </w:r>
      <w:r>
        <w:rPr>
          <w:rFonts w:hint="eastAsia" w:ascii="仿宋" w:hAnsi="仿宋" w:eastAsia="仿宋" w:cs="仿宋"/>
          <w:w w:val="100"/>
          <w:sz w:val="32"/>
          <w:szCs w:val="32"/>
          <w:lang w:val="en-US" w:eastAsia="zh-CN"/>
        </w:rPr>
        <w:t>6</w:t>
      </w:r>
      <w:r>
        <w:rPr>
          <w:rFonts w:hint="eastAsia" w:ascii="仿宋" w:hAnsi="仿宋" w:eastAsia="仿宋" w:cs="仿宋"/>
          <w:w w:val="100"/>
          <w:sz w:val="32"/>
          <w:szCs w:val="32"/>
        </w:rPr>
        <w:t>月</w:t>
      </w:r>
      <w:r>
        <w:rPr>
          <w:rFonts w:hint="eastAsia" w:ascii="仿宋" w:hAnsi="仿宋" w:eastAsia="仿宋" w:cs="仿宋"/>
          <w:w w:val="100"/>
          <w:sz w:val="32"/>
          <w:szCs w:val="32"/>
          <w:lang w:val="en-US" w:eastAsia="zh-CN"/>
        </w:rPr>
        <w:t>4</w:t>
      </w:r>
      <w:r>
        <w:rPr>
          <w:rFonts w:hint="eastAsia" w:ascii="仿宋" w:hAnsi="仿宋" w:eastAsia="仿宋" w:cs="仿宋"/>
          <w:w w:val="100"/>
          <w:sz w:val="32"/>
          <w:szCs w:val="32"/>
        </w:rPr>
        <w:t>日</w:t>
      </w:r>
    </w:p>
    <w:p w14:paraId="57E98FAA">
      <w:pPr>
        <w:spacing w:line="240" w:lineRule="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drawing>
          <wp:inline distT="0" distB="0" distL="114300" distR="114300">
            <wp:extent cx="5405755" cy="7645400"/>
            <wp:effectExtent l="0" t="0" r="4445" b="12700"/>
            <wp:docPr id="4" name="图片 4" descr="b436b4bf-961a-4e41-b35f-9f61121758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436b4bf-961a-4e41-b35f-9f611217581e"/>
                    <pic:cNvPicPr>
                      <a:picLocks noChangeAspect="1"/>
                    </pic:cNvPicPr>
                  </pic:nvPicPr>
                  <pic:blipFill>
                    <a:blip r:embed="rId4"/>
                    <a:stretch>
                      <a:fillRect/>
                    </a:stretch>
                  </pic:blipFill>
                  <pic:spPr>
                    <a:xfrm>
                      <a:off x="0" y="0"/>
                      <a:ext cx="5405755" cy="7645400"/>
                    </a:xfrm>
                    <a:prstGeom prst="rect">
                      <a:avLst/>
                    </a:prstGeom>
                  </pic:spPr>
                </pic:pic>
              </a:graphicData>
            </a:graphic>
          </wp:inline>
        </w:drawing>
      </w:r>
    </w:p>
    <w:p w14:paraId="69B22303">
      <w:pPr>
        <w:spacing w:line="600" w:lineRule="exact"/>
        <w:ind w:firstLine="3200" w:firstLineChars="1000"/>
        <w:rPr>
          <w:rFonts w:hint="eastAsia" w:ascii="仿宋" w:hAnsi="仿宋" w:eastAsia="仿宋" w:cs="仿宋"/>
          <w:w w:val="100"/>
          <w:sz w:val="32"/>
          <w:szCs w:val="32"/>
        </w:rPr>
      </w:pPr>
    </w:p>
    <w:p w14:paraId="03F0DB54">
      <w:pPr>
        <w:spacing w:line="600" w:lineRule="exact"/>
        <w:ind w:firstLine="3200" w:firstLineChars="1000"/>
        <w:rPr>
          <w:rFonts w:hint="eastAsia" w:ascii="仿宋" w:hAnsi="仿宋" w:eastAsia="仿宋" w:cs="仿宋"/>
          <w:w w:val="100"/>
          <w:sz w:val="32"/>
          <w:szCs w:val="32"/>
        </w:rPr>
      </w:pPr>
    </w:p>
    <w:p w14:paraId="7DA8F542">
      <w:pPr>
        <w:spacing w:line="600" w:lineRule="exact"/>
        <w:ind w:firstLine="3200" w:firstLineChars="1000"/>
        <w:rPr>
          <w:rFonts w:hint="eastAsia" w:ascii="仿宋" w:hAnsi="仿宋" w:eastAsia="仿宋" w:cs="仿宋"/>
          <w:w w:val="100"/>
          <w:sz w:val="32"/>
          <w:szCs w:val="32"/>
        </w:rPr>
      </w:pPr>
    </w:p>
    <w:sdt>
      <w:sdtPr>
        <w:rPr>
          <w:rFonts w:ascii="宋体" w:hAnsi="宋体" w:eastAsia="宋体" w:cstheme="minorBidi"/>
          <w:kern w:val="2"/>
          <w:sz w:val="21"/>
          <w:szCs w:val="24"/>
          <w:lang w:val="en-US" w:eastAsia="zh-CN" w:bidi="ar-SA"/>
        </w:rPr>
        <w:id w:val="147477799"/>
        <w15:color w:val="DBDBDB"/>
        <w:docPartObj>
          <w:docPartGallery w:val="Table of Contents"/>
          <w:docPartUnique/>
        </w:docPartObj>
      </w:sdtPr>
      <w:sdtEndPr>
        <w:rPr>
          <w:rFonts w:hint="eastAsia" w:ascii="仿宋" w:hAnsi="仿宋" w:eastAsia="仿宋" w:cs="仿宋"/>
          <w:bCs/>
          <w:w w:val="100"/>
          <w:kern w:val="2"/>
          <w:sz w:val="21"/>
          <w:szCs w:val="44"/>
          <w:lang w:val="en-US" w:eastAsia="zh-CN" w:bidi="ar-SA"/>
        </w:rPr>
      </w:sdtEndPr>
      <w:sdtContent>
        <w:p w14:paraId="2217DA6C">
          <w:pPr>
            <w:spacing w:before="0" w:beforeLines="0" w:after="0" w:afterLines="0" w:line="240" w:lineRule="auto"/>
            <w:ind w:left="0" w:leftChars="0" w:right="0" w:rightChars="0" w:firstLine="0" w:firstLineChars="0"/>
            <w:jc w:val="center"/>
          </w:pPr>
        </w:p>
        <w:p w14:paraId="31F49A8F">
          <w:pPr>
            <w:widowControl/>
            <w:spacing w:line="500" w:lineRule="auto"/>
            <w:jc w:val="center"/>
            <w:rPr>
              <w:rFonts w:hint="eastAsia" w:asciiTheme="majorEastAsia" w:hAnsiTheme="majorEastAsia" w:eastAsiaTheme="majorEastAsia" w:cstheme="majorEastAsia"/>
              <w:b/>
              <w:bCs w:val="0"/>
              <w:kern w:val="0"/>
              <w:sz w:val="32"/>
              <w:szCs w:val="32"/>
            </w:rPr>
          </w:pPr>
          <w:r>
            <w:rPr>
              <w:rFonts w:hint="eastAsia" w:ascii="仿宋" w:hAnsi="仿宋" w:eastAsia="仿宋" w:cs="仿宋"/>
              <w:bCs/>
              <w:w w:val="100"/>
              <w:kern w:val="2"/>
              <w:sz w:val="21"/>
              <w:szCs w:val="44"/>
              <w:lang w:val="en-US" w:eastAsia="zh-CN" w:bidi="ar-SA"/>
            </w:rPr>
            <w:fldChar w:fldCharType="begin"/>
          </w:r>
          <w:r>
            <w:rPr>
              <w:rFonts w:hint="eastAsia" w:ascii="仿宋" w:hAnsi="仿宋" w:eastAsia="仿宋" w:cs="仿宋"/>
              <w:bCs/>
              <w:w w:val="100"/>
              <w:kern w:val="2"/>
              <w:sz w:val="21"/>
              <w:szCs w:val="44"/>
              <w:lang w:val="en-US" w:eastAsia="zh-CN" w:bidi="ar-SA"/>
            </w:rPr>
            <w:instrText xml:space="preserve">TOC \o "1-2" \h \u </w:instrText>
          </w:r>
          <w:r>
            <w:rPr>
              <w:rFonts w:hint="eastAsia" w:ascii="仿宋" w:hAnsi="仿宋" w:eastAsia="仿宋" w:cs="仿宋"/>
              <w:bCs/>
              <w:w w:val="100"/>
              <w:kern w:val="2"/>
              <w:sz w:val="21"/>
              <w:szCs w:val="44"/>
              <w:lang w:val="en-US" w:eastAsia="zh-CN" w:bidi="ar-SA"/>
            </w:rPr>
            <w:fldChar w:fldCharType="separate"/>
          </w:r>
          <w:r>
            <w:rPr>
              <w:rFonts w:hint="eastAsia" w:asciiTheme="majorEastAsia" w:hAnsiTheme="majorEastAsia" w:eastAsiaTheme="majorEastAsia" w:cstheme="majorEastAsia"/>
              <w:b/>
              <w:bCs w:val="0"/>
              <w:kern w:val="0"/>
              <w:sz w:val="32"/>
              <w:szCs w:val="32"/>
            </w:rPr>
            <w:t>目  录</w:t>
          </w:r>
        </w:p>
        <w:p w14:paraId="285FDCF7">
          <w:pPr>
            <w:widowControl/>
            <w:spacing w:line="500" w:lineRule="auto"/>
            <w:jc w:val="center"/>
            <w:rPr>
              <w:rFonts w:hint="eastAsia" w:asciiTheme="majorEastAsia" w:hAnsiTheme="majorEastAsia" w:eastAsiaTheme="majorEastAsia" w:cstheme="majorEastAsia"/>
              <w:bCs/>
              <w:kern w:val="0"/>
              <w:sz w:val="32"/>
              <w:szCs w:val="32"/>
            </w:rPr>
          </w:pPr>
        </w:p>
        <w:p w14:paraId="56FF4E2D">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一、部门概况</w:t>
          </w:r>
        </w:p>
        <w:p w14:paraId="1EF7449A">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二、一般公共预算支出情况</w:t>
          </w:r>
        </w:p>
        <w:p w14:paraId="36F5CC08">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三、项目组织实施情况</w:t>
          </w:r>
        </w:p>
        <w:p w14:paraId="71B225BC">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四、资产管理情况</w:t>
          </w:r>
        </w:p>
        <w:p w14:paraId="6A87A377">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五、政府性基金预算支出情况</w:t>
          </w:r>
        </w:p>
        <w:p w14:paraId="0BCF06AE">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六、国有资本经营预算支出情况</w:t>
          </w:r>
        </w:p>
        <w:p w14:paraId="10B03817">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七、社会保险基金预算支出情况</w:t>
          </w:r>
        </w:p>
        <w:p w14:paraId="06691C33">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八、部门整体支出绩效情况</w:t>
          </w:r>
        </w:p>
        <w:p w14:paraId="61B5DA19">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九、存在的问题及原因分析</w:t>
          </w:r>
        </w:p>
        <w:p w14:paraId="42FBE060">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十、下一步改进措施</w:t>
          </w:r>
        </w:p>
        <w:p w14:paraId="693EA069">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十一、绩效自评结果拟应用和公开情况</w:t>
          </w:r>
        </w:p>
        <w:p w14:paraId="277B08DC">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十二、其他需要说明的情况</w:t>
          </w:r>
        </w:p>
        <w:p w14:paraId="676557A1">
          <w:pPr>
            <w:ind w:firstLine="643" w:firstLineChars="200"/>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十三、附件</w:t>
          </w:r>
        </w:p>
        <w:p w14:paraId="397F8BAB">
          <w:pPr>
            <w:ind w:firstLine="643" w:firstLineChars="200"/>
            <w:rPr>
              <w:rFonts w:hint="eastAsia" w:asciiTheme="majorEastAsia" w:hAnsiTheme="majorEastAsia" w:eastAsiaTheme="majorEastAsia" w:cstheme="majorEastAsia"/>
              <w:b/>
              <w:bCs/>
              <w:sz w:val="32"/>
              <w:szCs w:val="32"/>
              <w:lang w:val="en-US" w:eastAsia="zh-CN"/>
            </w:rPr>
          </w:pPr>
        </w:p>
        <w:p w14:paraId="201C1538">
          <w:pPr>
            <w:jc w:val="left"/>
            <w:rPr>
              <w:rFonts w:hint="eastAsia" w:ascii="仿宋" w:hAnsi="仿宋" w:eastAsia="仿宋" w:cs="仿宋"/>
              <w:b/>
              <w:bCs/>
              <w:w w:val="100"/>
              <w:sz w:val="28"/>
              <w:szCs w:val="28"/>
              <w:lang w:val="en-US" w:eastAsia="zh-CN"/>
            </w:rPr>
          </w:pPr>
        </w:p>
        <w:p w14:paraId="3C0A677C">
          <w:pPr>
            <w:jc w:val="center"/>
            <w:rPr>
              <w:rFonts w:hint="default" w:ascii="仿宋" w:hAnsi="仿宋" w:eastAsia="仿宋" w:cs="仿宋"/>
              <w:b/>
              <w:bCs/>
              <w:w w:val="100"/>
              <w:sz w:val="28"/>
              <w:szCs w:val="28"/>
              <w:lang w:val="en-US" w:eastAsia="zh-CN"/>
            </w:rPr>
          </w:pPr>
        </w:p>
        <w:p w14:paraId="09338495">
          <w:pPr>
            <w:pStyle w:val="6"/>
            <w:tabs>
              <w:tab w:val="right" w:leader="dot" w:pos="8519"/>
            </w:tabs>
          </w:pPr>
        </w:p>
        <w:p w14:paraId="3F5FA5CA">
          <w:pPr>
            <w:jc w:val="center"/>
            <w:rPr>
              <w:rFonts w:hint="default" w:ascii="仿宋" w:hAnsi="仿宋" w:eastAsia="仿宋" w:cs="仿宋"/>
              <w:b/>
              <w:bCs/>
              <w:w w:val="100"/>
              <w:sz w:val="44"/>
              <w:szCs w:val="44"/>
              <w:lang w:val="en-US" w:eastAsia="zh-CN"/>
            </w:rPr>
          </w:pPr>
          <w:r>
            <w:rPr>
              <w:rFonts w:hint="eastAsia" w:ascii="仿宋" w:hAnsi="仿宋" w:eastAsia="仿宋" w:cs="仿宋"/>
              <w:bCs/>
              <w:w w:val="100"/>
              <w:kern w:val="2"/>
              <w:szCs w:val="44"/>
              <w:lang w:val="en-US" w:eastAsia="zh-CN" w:bidi="ar-SA"/>
            </w:rPr>
            <w:fldChar w:fldCharType="end"/>
          </w:r>
        </w:p>
      </w:sdtContent>
    </w:sdt>
    <w:p w14:paraId="29B59CDA">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default" w:asciiTheme="minorEastAsia" w:hAnsiTheme="minorEastAsia" w:eastAsiaTheme="minorEastAsia" w:cstheme="minorEastAsia"/>
          <w:b/>
          <w:sz w:val="30"/>
          <w:szCs w:val="30"/>
          <w:lang w:val="en-US" w:eastAsia="zh-CN"/>
        </w:rPr>
      </w:pPr>
    </w:p>
    <w:p w14:paraId="1F16B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default" w:asciiTheme="minorEastAsia" w:hAnsiTheme="minorEastAsia" w:eastAsiaTheme="minorEastAsia" w:cstheme="minorEastAsia"/>
          <w:b/>
          <w:sz w:val="30"/>
          <w:szCs w:val="30"/>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（一）部门（单位）基本情况。</w:t>
      </w:r>
      <w:bookmarkStart w:id="2" w:name="_GoBack"/>
      <w:bookmarkEnd w:id="2"/>
    </w:p>
    <w:p w14:paraId="44F6470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1．主要职能</w:t>
      </w:r>
    </w:p>
    <w:p w14:paraId="2E80B80F">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怀化市水利技术事务中心原为怀化市水利电力勘测设计研究院事业部分，根据2022年8月29日怀化市人民政府专题会议纪要（【2022】第50次）及中共怀化市委机构编制委员会文件（怀编【2022】75号）中共怀化市委机构编制委员会关于市水利电力勘测设计研究院机构编制事项调整的批复，撤销怀化市水利电力勘测设计研究院，2023年7月设立怀化市水利技术事务中心，为市水利局所属正科级公益二类差额拨款事业单位，参照公益一类财政保障。</w:t>
      </w:r>
    </w:p>
    <w:p w14:paraId="5F330CE6">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主要承担全市水利规划编制、水利技术审查和科技培训、水利水电科学技术推广和服务、为防汛抢险提供技术支撑等事务性职责。</w:t>
      </w:r>
    </w:p>
    <w:p w14:paraId="52EB1B7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2．机构情况</w:t>
      </w:r>
    </w:p>
    <w:p w14:paraId="03762345">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rPr>
      </w:pPr>
      <w:bookmarkStart w:id="0" w:name="_Hlk188789017"/>
      <w:r>
        <w:rPr>
          <w:rFonts w:hint="eastAsia" w:asciiTheme="minorEastAsia" w:hAnsiTheme="minorEastAsia" w:eastAsiaTheme="minorEastAsia" w:cstheme="minorEastAsia"/>
          <w:sz w:val="30"/>
          <w:szCs w:val="30"/>
        </w:rPr>
        <w:t>怀化市水利技术事务中心</w:t>
      </w:r>
      <w:bookmarkEnd w:id="0"/>
      <w:bookmarkStart w:id="1" w:name="_Hlk157613096"/>
      <w:r>
        <w:rPr>
          <w:rFonts w:hint="eastAsia" w:asciiTheme="minorEastAsia" w:hAnsiTheme="minorEastAsia" w:eastAsiaTheme="minorEastAsia" w:cstheme="minorEastAsia"/>
          <w:sz w:val="30"/>
          <w:szCs w:val="30"/>
        </w:rPr>
        <w:t>作为怀化市水利局的二级部门预算单位。</w:t>
      </w:r>
      <w:bookmarkEnd w:id="1"/>
    </w:p>
    <w:p w14:paraId="778E24D8">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3．人员情况</w:t>
      </w:r>
    </w:p>
    <w:p w14:paraId="3ADFED75">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怀化市水利技术事务中心现有4</w:t>
      </w:r>
      <w:r>
        <w:rPr>
          <w:rFonts w:hint="eastAsia" w:asciiTheme="minorEastAsia" w:hAnsiTheme="minorEastAsia" w:eastAsiaTheme="minorEastAsia" w:cstheme="minorEastAsia"/>
          <w:sz w:val="30"/>
          <w:szCs w:val="30"/>
          <w:lang w:val="en-US" w:eastAsia="zh-CN"/>
        </w:rPr>
        <w:t>6</w:t>
      </w:r>
      <w:r>
        <w:rPr>
          <w:rFonts w:hint="eastAsia" w:asciiTheme="minorEastAsia" w:hAnsiTheme="minorEastAsia" w:eastAsiaTheme="minorEastAsia" w:cstheme="minorEastAsia"/>
          <w:sz w:val="30"/>
          <w:szCs w:val="30"/>
        </w:rPr>
        <w:t>人（在编2</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t>人、退休人2</w:t>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t>人）与上年相比机构在职人数减少</w:t>
      </w:r>
      <w:r>
        <w:rPr>
          <w:rFonts w:hint="eastAsia" w:asciiTheme="minorEastAsia" w:hAnsiTheme="minorEastAsia" w:eastAsiaTheme="minorEastAsia" w:cstheme="minorEastAsia"/>
          <w:sz w:val="30"/>
          <w:szCs w:val="30"/>
          <w:lang w:val="en-US" w:eastAsia="zh-CN"/>
        </w:rPr>
        <w:t>7.4</w:t>
      </w:r>
      <w:r>
        <w:rPr>
          <w:rFonts w:hint="eastAsia" w:asciiTheme="minorEastAsia" w:hAnsiTheme="minorEastAsia" w:eastAsiaTheme="minorEastAsia" w:cstheme="minorEastAsia"/>
          <w:sz w:val="30"/>
          <w:szCs w:val="30"/>
        </w:rPr>
        <w:t>%，原因是：</w:t>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t>位在职人员退休，</w:t>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t>位在职人员辞职。</w:t>
      </w:r>
      <w:r>
        <w:rPr>
          <w:rFonts w:hint="eastAsia" w:asciiTheme="minorEastAsia" w:hAnsiTheme="minorEastAsia" w:cstheme="minorEastAsia"/>
          <w:sz w:val="30"/>
          <w:szCs w:val="30"/>
          <w:lang w:eastAsia="zh-CN"/>
        </w:rPr>
        <w:t>其中</w:t>
      </w:r>
      <w:r>
        <w:rPr>
          <w:rFonts w:hint="eastAsia" w:asciiTheme="minorEastAsia" w:hAnsiTheme="minorEastAsia" w:cstheme="minorEastAsia"/>
          <w:sz w:val="30"/>
          <w:szCs w:val="30"/>
          <w:lang w:val="en-US" w:eastAsia="zh-CN"/>
        </w:rPr>
        <w:t>18人借调至水利局。</w:t>
      </w:r>
    </w:p>
    <w:p w14:paraId="3D40A99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4.绩效目标设定情况</w:t>
      </w:r>
    </w:p>
    <w:p w14:paraId="2679A2E6">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我中心依据自身职能和水利行业发展规划，设定了明确的绩效目标。在精神文明建设方面，以党建引领，强化服务意识，加强工会组织建设，配合公益志愿服务，确保团结稳定局面。在业务工作方面，按部就班完成中心成立初始各项工作，为后续有序运转奠定基础。同时，加强内部管理，在财务管理、人事管理和技术服务等方面谋求长治久安，并积极探索创新发展路径。具体绩效目标涵盖了党建工作成效、和谐中心构建、工会凝聚力提升、公益志愿服务参与度、各项业务工作完成进度和质量、预算执行率、资产管理规范性等多个维度。</w:t>
      </w:r>
    </w:p>
    <w:p w14:paraId="42FF960B">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cstheme="minorEastAsia"/>
          <w:sz w:val="30"/>
          <w:szCs w:val="30"/>
          <w:lang w:val="en-US" w:eastAsia="zh-CN"/>
        </w:rPr>
        <w:t>（二）</w:t>
      </w:r>
      <w:r>
        <w:rPr>
          <w:rFonts w:hint="eastAsia" w:asciiTheme="minorEastAsia" w:hAnsiTheme="minorEastAsia" w:eastAsiaTheme="minorEastAsia" w:cstheme="minorEastAsia"/>
          <w:sz w:val="30"/>
          <w:szCs w:val="30"/>
          <w:lang w:val="en-US" w:eastAsia="zh-CN"/>
        </w:rPr>
        <w:t>部门（单位）整体支出规模、使用方向和主要内容、涉及范围等。</w:t>
      </w:r>
    </w:p>
    <w:p w14:paraId="107CB8DC">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lang w:val="en-US" w:eastAsia="zh-CN"/>
        </w:rPr>
        <w:t>2</w:t>
      </w:r>
      <w:r>
        <w:rPr>
          <w:rFonts w:hint="eastAsia" w:asciiTheme="minorEastAsia" w:hAnsiTheme="minorEastAsia" w:eastAsiaTheme="minorEastAsia" w:cstheme="minorEastAsia"/>
          <w:sz w:val="30"/>
          <w:szCs w:val="30"/>
        </w:rPr>
        <w:t>02</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t>年，本中心始终遵循科学化、规范化、精细化的原则，严格按照预算安排执行资金运用，确保每一笔资金都能发挥最大效益。在预算管理方面，构建了一套完善且严密的制度体系，涵盖了从预算编制的前期调研、论证到执行过程中的实时监控、调整，以及后期的绩效评价和反馈。通过这一全流程的闭环管理，实现了对预算资金的全方位、多层次把控。在预算执行过程中，注重强化各部门之间的协同合作，定期召开预算执行分析会议，及时解决执行过程中出现的问题。同时，引入先进的财务管理信息系统，实现预算执行数据的实时更新和动态分析，为决策提供准确、及时的依据。此外，加强了对预算执行的监督检查，严肃查处违规行为，确保预算执行的严肃性和规范。</w:t>
      </w:r>
    </w:p>
    <w:p w14:paraId="3D042D77">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202</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t>年，我中心部门年初预算支出</w:t>
      </w:r>
      <w:r>
        <w:rPr>
          <w:rFonts w:hint="eastAsia" w:asciiTheme="minorEastAsia" w:hAnsiTheme="minorEastAsia" w:eastAsiaTheme="minorEastAsia" w:cstheme="minorEastAsia"/>
          <w:sz w:val="30"/>
          <w:szCs w:val="30"/>
          <w:lang w:val="en-US" w:eastAsia="zh-CN"/>
        </w:rPr>
        <w:t>622.72</w:t>
      </w:r>
      <w:r>
        <w:rPr>
          <w:rFonts w:hint="eastAsia" w:asciiTheme="minorEastAsia" w:hAnsiTheme="minorEastAsia" w:eastAsiaTheme="minorEastAsia" w:cstheme="minorEastAsia"/>
          <w:sz w:val="30"/>
          <w:szCs w:val="30"/>
        </w:rPr>
        <w:t>万元，其中基本支出</w:t>
      </w:r>
      <w:r>
        <w:rPr>
          <w:rFonts w:hint="eastAsia" w:asciiTheme="minorEastAsia" w:hAnsiTheme="minorEastAsia" w:eastAsiaTheme="minorEastAsia" w:cstheme="minorEastAsia"/>
          <w:sz w:val="30"/>
          <w:szCs w:val="30"/>
          <w:lang w:val="en-US" w:eastAsia="zh-CN"/>
        </w:rPr>
        <w:t>622.72</w:t>
      </w:r>
      <w:r>
        <w:rPr>
          <w:rFonts w:hint="eastAsia" w:asciiTheme="minorEastAsia" w:hAnsiTheme="minorEastAsia" w:eastAsiaTheme="minorEastAsia" w:cstheme="minorEastAsia"/>
          <w:sz w:val="30"/>
          <w:szCs w:val="30"/>
        </w:rPr>
        <w:t>万元，项目支出</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万元。全年预算数</w:t>
      </w:r>
      <w:r>
        <w:rPr>
          <w:rFonts w:hint="eastAsia" w:asciiTheme="minorEastAsia" w:hAnsiTheme="minorEastAsia" w:eastAsiaTheme="minorEastAsia" w:cstheme="minorEastAsia"/>
          <w:sz w:val="30"/>
          <w:szCs w:val="30"/>
          <w:lang w:val="en-US" w:eastAsia="zh-CN"/>
        </w:rPr>
        <w:t>715.74</w:t>
      </w:r>
      <w:r>
        <w:rPr>
          <w:rFonts w:hint="eastAsia" w:asciiTheme="minorEastAsia" w:hAnsiTheme="minorEastAsia" w:eastAsiaTheme="minorEastAsia" w:cstheme="minorEastAsia"/>
          <w:sz w:val="30"/>
          <w:szCs w:val="30"/>
        </w:rPr>
        <w:t>万元，部门年度总支出</w:t>
      </w:r>
      <w:r>
        <w:rPr>
          <w:rFonts w:hint="eastAsia" w:asciiTheme="minorEastAsia" w:hAnsiTheme="minorEastAsia" w:eastAsiaTheme="minorEastAsia" w:cstheme="minorEastAsia"/>
          <w:sz w:val="30"/>
          <w:szCs w:val="30"/>
          <w:lang w:val="en-US" w:eastAsia="zh-CN"/>
        </w:rPr>
        <w:t>709.96</w:t>
      </w:r>
      <w:r>
        <w:rPr>
          <w:rFonts w:hint="eastAsia" w:asciiTheme="minorEastAsia" w:hAnsiTheme="minorEastAsia" w:eastAsiaTheme="minorEastAsia" w:cstheme="minorEastAsia"/>
          <w:sz w:val="30"/>
          <w:szCs w:val="30"/>
        </w:rPr>
        <w:t>万元，其中基本支出</w:t>
      </w:r>
      <w:r>
        <w:rPr>
          <w:rFonts w:hint="eastAsia" w:asciiTheme="minorEastAsia" w:hAnsiTheme="minorEastAsia" w:eastAsiaTheme="minorEastAsia" w:cstheme="minorEastAsia"/>
          <w:sz w:val="30"/>
          <w:szCs w:val="30"/>
          <w:lang w:val="en-US" w:eastAsia="zh-CN"/>
        </w:rPr>
        <w:t>709.96</w:t>
      </w:r>
      <w:r>
        <w:rPr>
          <w:rFonts w:hint="eastAsia" w:asciiTheme="minorEastAsia" w:hAnsiTheme="minorEastAsia" w:eastAsiaTheme="minorEastAsia" w:cstheme="minorEastAsia"/>
          <w:sz w:val="30"/>
          <w:szCs w:val="30"/>
        </w:rPr>
        <w:t>万元，项目支出</w:t>
      </w:r>
      <w:r>
        <w:rPr>
          <w:rFonts w:hint="eastAsia" w:asciiTheme="minorEastAsia" w:hAnsiTheme="minorEastAsia" w:eastAsiaTheme="minorEastAsia" w:cstheme="minorEastAsia"/>
          <w:sz w:val="30"/>
          <w:szCs w:val="30"/>
          <w:lang w:val="en-US" w:eastAsia="zh-CN"/>
        </w:rPr>
        <w:t>0</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eastAsia="zh-CN"/>
        </w:rPr>
        <w:t>。</w:t>
      </w:r>
    </w:p>
    <w:p w14:paraId="1F950F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default" w:asciiTheme="minorEastAsia" w:hAnsiTheme="minorEastAsia" w:eastAsiaTheme="minorEastAsia" w:cstheme="minorEastAsia"/>
          <w:b/>
          <w:sz w:val="30"/>
          <w:szCs w:val="30"/>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（一）基本支出</w:t>
      </w:r>
    </w:p>
    <w:p w14:paraId="4A95F39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2025年一般公共预算支出数为267.96万元，是指为保障单位机构正常运转、完成日常工作任务而发生的各项支出，包括用于基本工资177.54万元，奖金55.85万元，对个人和家庭的补助14.94万元，住房公积金19.63万元。</w:t>
      </w:r>
    </w:p>
    <w:p w14:paraId="6763862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（二）项目支出</w:t>
      </w:r>
    </w:p>
    <w:p w14:paraId="51EDBD6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无</w:t>
      </w:r>
    </w:p>
    <w:p w14:paraId="47AF9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default" w:asciiTheme="minorEastAsia" w:hAnsiTheme="minorEastAsia" w:eastAsiaTheme="minorEastAsia" w:cstheme="minorEastAsia"/>
          <w:b/>
          <w:sz w:val="30"/>
          <w:szCs w:val="30"/>
          <w:lang w:val="en-US" w:eastAsia="zh-CN"/>
        </w:rPr>
        <w:t>三、项目组织实施情况</w:t>
      </w:r>
    </w:p>
    <w:p w14:paraId="4E7AEDC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无</w:t>
      </w:r>
    </w:p>
    <w:p w14:paraId="6681E12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default" w:asciiTheme="minorEastAsia" w:hAnsiTheme="minorEastAsia" w:eastAsiaTheme="minorEastAsia" w:cstheme="minorEastAsia"/>
          <w:b/>
          <w:sz w:val="30"/>
          <w:szCs w:val="30"/>
          <w:lang w:val="en-US" w:eastAsia="zh-CN"/>
        </w:rPr>
        <w:t>四、资产管理情况</w:t>
      </w:r>
    </w:p>
    <w:p w14:paraId="6BEBD0C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无</w:t>
      </w:r>
    </w:p>
    <w:p w14:paraId="7C2AAC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五、</w:t>
      </w:r>
      <w:r>
        <w:rPr>
          <w:rFonts w:hint="default" w:asciiTheme="minorEastAsia" w:hAnsiTheme="minorEastAsia" w:eastAsiaTheme="minorEastAsia" w:cstheme="minorEastAsia"/>
          <w:b/>
          <w:sz w:val="30"/>
          <w:szCs w:val="30"/>
          <w:lang w:val="en-US" w:eastAsia="zh-CN"/>
        </w:rPr>
        <w:t>政府性基金预算支出情况</w:t>
      </w:r>
    </w:p>
    <w:p w14:paraId="735BE77E">
      <w:pPr>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480" w:lineRule="auto"/>
        <w:ind w:left="105" w:leftChars="50" w:right="-105" w:rightChars="-50"/>
        <w:textAlignment w:val="auto"/>
        <w:rPr>
          <w:rFonts w:hint="default" w:asciiTheme="minorEastAsia" w:hAnsiTheme="minorEastAsia" w:eastAsiaTheme="minorEastAsia" w:cstheme="minorEastAsia"/>
          <w:sz w:val="30"/>
          <w:szCs w:val="30"/>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Theme="minorEastAsia" w:hAnsiTheme="minorEastAsia" w:eastAsiaTheme="minorEastAsia" w:cstheme="minorEastAsia"/>
          <w:sz w:val="30"/>
          <w:szCs w:val="30"/>
          <w:lang w:val="en-US" w:eastAsia="zh-CN"/>
        </w:rPr>
        <w:t>无</w:t>
      </w:r>
    </w:p>
    <w:p w14:paraId="348862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六、</w:t>
      </w:r>
      <w:r>
        <w:rPr>
          <w:rFonts w:hint="default" w:asciiTheme="minorEastAsia" w:hAnsiTheme="minorEastAsia" w:eastAsiaTheme="minorEastAsia" w:cstheme="minorEastAsia"/>
          <w:b/>
          <w:sz w:val="30"/>
          <w:szCs w:val="30"/>
          <w:lang w:val="en-US" w:eastAsia="zh-CN"/>
        </w:rPr>
        <w:t>国有资本经营预算支出情况</w:t>
      </w:r>
    </w:p>
    <w:p w14:paraId="0FA0F5F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 xml:space="preserve">    </w:t>
      </w:r>
      <w:r>
        <w:rPr>
          <w:rFonts w:hint="eastAsia" w:asciiTheme="minorEastAsia" w:hAnsiTheme="minorEastAsia" w:eastAsiaTheme="minorEastAsia" w:cstheme="minorEastAsia"/>
          <w:sz w:val="30"/>
          <w:szCs w:val="30"/>
          <w:lang w:val="en-US" w:eastAsia="zh-CN"/>
        </w:rPr>
        <w:t>无</w:t>
      </w:r>
    </w:p>
    <w:p w14:paraId="3844A89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七、</w:t>
      </w:r>
      <w:r>
        <w:rPr>
          <w:rFonts w:hint="default" w:asciiTheme="minorEastAsia" w:hAnsiTheme="minorEastAsia" w:eastAsiaTheme="minorEastAsia" w:cstheme="minorEastAsia"/>
          <w:b/>
          <w:sz w:val="30"/>
          <w:szCs w:val="30"/>
          <w:lang w:val="en-US" w:eastAsia="zh-CN"/>
        </w:rPr>
        <w:t>社会保险基金预算支出情况</w:t>
      </w:r>
    </w:p>
    <w:p w14:paraId="6E5946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 xml:space="preserve">     </w:t>
      </w:r>
      <w:r>
        <w:rPr>
          <w:rFonts w:hint="eastAsia" w:asciiTheme="minorEastAsia" w:hAnsiTheme="minorEastAsia" w:eastAsiaTheme="minorEastAsia" w:cstheme="minorEastAsia"/>
          <w:sz w:val="30"/>
          <w:szCs w:val="30"/>
          <w:lang w:val="en-US" w:eastAsia="zh-CN"/>
        </w:rPr>
        <w:t>无</w:t>
      </w:r>
    </w:p>
    <w:p w14:paraId="387ACB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default" w:asciiTheme="minorEastAsia" w:hAnsiTheme="minorEastAsia" w:eastAsiaTheme="minorEastAsia" w:cstheme="minorEastAsia"/>
          <w:b/>
          <w:sz w:val="30"/>
          <w:szCs w:val="30"/>
          <w:lang w:val="en-US" w:eastAsia="zh-CN"/>
        </w:rPr>
        <w:t>八、部门整体支出绩效情况</w:t>
      </w:r>
    </w:p>
    <w:p w14:paraId="19CE8A8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（一）综合评价结论。反映自评得分及评价等级。</w:t>
      </w:r>
    </w:p>
    <w:p w14:paraId="29C4DD96">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2025年，我中心在整体支出绩效方面取得了显著的成绩，但也清晰地认识到存在的问题和不足。在未来的工作中，中心将继续坚定不移地加强管理，不断优化预算编制和执行，提高资产使用效率，通过严谨认真地分析和评价，我中心自评得分99.92分，评价等级“优”。</w:t>
      </w:r>
    </w:p>
    <w:p w14:paraId="74FCEF5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（二）评价指标分析(或综合评价情况)。</w:t>
      </w:r>
    </w:p>
    <w:p w14:paraId="1FBA1B4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2025年，我中心严格按照预算安排执行资金使用，强化预算管理，确保资金使用合规、合理、有效。在预算执行过程中，建立了有效的监控机制，对各项支出进行动态跟踪和分析，及时调整预算执行进度，提高资金使用效率。</w:t>
      </w:r>
    </w:p>
    <w:p w14:paraId="6E7197EB">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整体绩效目标设定方面：绩效目标明确，与中心的职能职责和行业发展规划紧密结合，具有较强的针对性和可操作性。通过党建工作、和谐中心建设、工会活动、公益志愿服务等方面的努力，实现了精神文明建设的目标；通过完成中心成立初始各项工作、加强内部管理和创新发展，为中心的业务发展和稳定运行奠定了基础。</w:t>
      </w:r>
    </w:p>
    <w:p w14:paraId="501750A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预算配置方面：预算编制合理，充分考虑了中心的工作需求和实际情况。人员经费、公用经费和项目经费的配置比例适当，能够满足中心各项工作的开展。同时，在预算执行过程中，根据实际情况进行了适当的调整和优化，提高了预算的执行效率和资金使用效益。</w:t>
      </w:r>
    </w:p>
    <w:p w14:paraId="7E7321F2">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预算执行方面：预算执行情况总体良好，但在个别项目上存在执行偏差。例如，在一些项目的实施过程中，由于外部因素的影响，导致项目进度延迟，预算执行进度受到影响。此外，在财务管理方面，虽然积极与相关单位协商解决了部分债权问题，但仍存在一些遗留问题需要进一步处理。</w:t>
      </w:r>
    </w:p>
    <w:p w14:paraId="774C41E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预算管理方面：建立了完善的预算管理制度，对预算的编制、执行、调整和监督等各个环节进行了规范和管理。加强了对预算执行情况的跟踪和分析，及时发现问题并采取措施加以解决。同时，积极开展预算绩效评价工作，提高了资金使用效益和管理水平。</w:t>
      </w:r>
    </w:p>
    <w:p w14:paraId="37B3ACBE">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资产管理方面：加强了对资产的管理和监督，建立了资产管理制度，对资产的购置、使用、处置等各个环节进行了规范和管理。定期进行资产清查和盘点，确保资产的安全完整和有效使用。</w:t>
      </w:r>
    </w:p>
    <w:p w14:paraId="497871B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职责履行方面：认真履行了中心的各项职责，在党建工作、技术服务、内部管理等方面取得了一定的成绩。积极完成了辰溪县、溆浦县及洪江市的多个水利项目后续服务工作，保证了项目的顺利实施。同时，在创新发展方面，积极与怀化市产业投协调，为中心的未来发展提供了保障。</w:t>
      </w:r>
    </w:p>
    <w:p w14:paraId="750F5EE5">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经济效益：通过加强财务管理，积极与相关单位协商解决债权问题，提高了资金使用效益。同时，通过完成水利项目后续服务工作，为当地经济发展提供了水利技术支持，促进了经济的可持续发展。</w:t>
      </w:r>
    </w:p>
    <w:p w14:paraId="27BF369C">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社会效益：通过党建引领、和谐中心建设、工会活动和公益志愿服务等工作，提高了中心的社会形象和影响力。同时，通过完成水利项目后续服务工作，保障了当地人民的生命财产安全，促进了社会的和谐稳定。</w:t>
      </w:r>
    </w:p>
    <w:p w14:paraId="330EAAB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生态效益：在水利项目后续服务工作中，注重生态环境保护，积极采用生态友好型的设计和施工方案，为当地的生态环境建设做出了贡献。</w:t>
      </w:r>
    </w:p>
    <w:p w14:paraId="722FF6D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default" w:asciiTheme="minorEastAsia" w:hAnsiTheme="minorEastAsia" w:eastAsiaTheme="minorEastAsia" w:cstheme="minorEastAsia"/>
          <w:b/>
          <w:sz w:val="30"/>
          <w:szCs w:val="30"/>
          <w:lang w:val="en-US" w:eastAsia="zh-CN"/>
        </w:rPr>
        <w:t>九、存在的问题及原因分析</w:t>
      </w:r>
    </w:p>
    <w:p w14:paraId="68F7555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 xml:space="preserve"> 做为市水利局二级预算管理单位，应收账款的收取过程无任何经营费用,县市区财政压力较大,历史欠款较多,清算核资时并未对未立项的工程项目设计合同进行终止,加之技术服务中心现在未开展经营活动,无法继续从事设计服务,与县市区水利局沟通衔接不顺畅，目前应收帐款回款比较困难。</w:t>
      </w:r>
    </w:p>
    <w:p w14:paraId="4F0F780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十、</w:t>
      </w:r>
      <w:r>
        <w:rPr>
          <w:rFonts w:hint="default" w:asciiTheme="minorEastAsia" w:hAnsiTheme="minorEastAsia" w:eastAsiaTheme="minorEastAsia" w:cstheme="minorEastAsia"/>
          <w:b/>
          <w:sz w:val="30"/>
          <w:szCs w:val="30"/>
          <w:lang w:val="en-US" w:eastAsia="zh-CN"/>
        </w:rPr>
        <w:t>下一步改进措施</w:t>
      </w:r>
    </w:p>
    <w:p w14:paraId="7BF83E8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加强预算执行管理：进一步加强对预算执行情况的跟踪和分析，及时发现问题并采取措施加以解决。优化项目审批流程，提高项目实施效率，确保预算执行进度与工作进度相匹配。同时，加强财务管理，积极与相关单位协商解决债权问题，提高资金使用效益。</w:t>
      </w:r>
    </w:p>
    <w:p w14:paraId="1944841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加强人才队伍建设：建立健全人才培养和引进机制，加强对现有人员的培训和教育，提高人员素质和业务能力。明确岗位职责，优化人员配置，提高工作效率和质量。同时，积极引进高层次人才和专业技术人才，为中心的发展提供人才支持。</w:t>
      </w:r>
    </w:p>
    <w:p w14:paraId="2C2D8E3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完善体制机制：进一步理顺中心的体制机制，建立健全激励机制和创新机制，激发中心的发展动力和创新活力。加强内部管理，优化工作流程，提高工作效率和质量。同时，积极探索多元化的发展路径，提高中心的抗风险能力和可持续发展能力。</w:t>
      </w:r>
    </w:p>
    <w:p w14:paraId="7D1C6A6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cstheme="minorEastAsia"/>
          <w:b/>
          <w:sz w:val="30"/>
          <w:szCs w:val="30"/>
          <w:lang w:val="en-US" w:eastAsia="zh-CN"/>
        </w:rPr>
        <w:t>十一、</w:t>
      </w:r>
      <w:r>
        <w:rPr>
          <w:rFonts w:hint="default" w:asciiTheme="minorEastAsia" w:hAnsiTheme="minorEastAsia" w:eastAsiaTheme="minorEastAsia" w:cstheme="minorEastAsia"/>
          <w:b/>
          <w:sz w:val="30"/>
          <w:szCs w:val="30"/>
          <w:lang w:val="en-US" w:eastAsia="zh-CN"/>
        </w:rPr>
        <w:t>绩效自评结果拟应用和公开情况</w:t>
      </w:r>
    </w:p>
    <w:p w14:paraId="60004C10">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无</w:t>
      </w:r>
    </w:p>
    <w:p w14:paraId="0D944C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十二、</w:t>
      </w:r>
      <w:r>
        <w:rPr>
          <w:rFonts w:hint="default" w:asciiTheme="minorEastAsia" w:hAnsiTheme="minorEastAsia" w:eastAsiaTheme="minorEastAsia" w:cstheme="minorEastAsia"/>
          <w:b/>
          <w:sz w:val="30"/>
          <w:szCs w:val="30"/>
          <w:lang w:val="en-US" w:eastAsia="zh-CN"/>
        </w:rPr>
        <w:t>其他需要说明的情况</w:t>
      </w:r>
    </w:p>
    <w:p w14:paraId="37E474E7">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无其他特殊需要说明的情况。但中心将持续关注绩效评价工作的发展动态和要求，不断完善绩效评价体系，提高绩效评价工作的质量和水平，为提升水利技术事务的成效和资金使用效益提供有力支持。</w:t>
      </w:r>
    </w:p>
    <w:p w14:paraId="3B3963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十三、附件</w:t>
      </w:r>
    </w:p>
    <w:p w14:paraId="4224A4F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1.部门整体支出绩效评价基础数据表</w:t>
      </w:r>
    </w:p>
    <w:p w14:paraId="72E62B32">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2.部门整体支出绩效自评表</w:t>
      </w:r>
    </w:p>
    <w:p w14:paraId="666E19BC">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3.项目支出绩效自评表</w:t>
      </w:r>
    </w:p>
    <w:p w14:paraId="4BE3B41D">
      <w:pPr>
        <w:keepNext w:val="0"/>
        <w:keepLines w:val="0"/>
        <w:pageBreakBefore w:val="0"/>
        <w:widowControl w:val="0"/>
        <w:kinsoku/>
        <w:wordWrap/>
        <w:overflowPunct/>
        <w:topLinePunct w:val="0"/>
        <w:autoSpaceDE/>
        <w:autoSpaceDN/>
        <w:bidi w:val="0"/>
        <w:adjustRightInd/>
        <w:spacing w:before="157" w:beforeLines="50" w:after="157" w:afterLines="50" w:line="480" w:lineRule="auto"/>
        <w:ind w:left="105" w:leftChars="50" w:right="-105" w:rightChars="-50" w:firstLine="565" w:firstLineChars="202"/>
        <w:textAlignment w:val="auto"/>
        <w:rPr>
          <w:rFonts w:hint="default" w:asciiTheme="minorEastAsia" w:hAnsiTheme="minorEastAsia" w:eastAsiaTheme="minorEastAsia" w:cstheme="minorEastAsia"/>
          <w:w w:val="100"/>
          <w:sz w:val="28"/>
          <w:szCs w:val="28"/>
          <w:lang w:val="en-US" w:eastAsia="zh-CN"/>
        </w:rPr>
      </w:pPr>
    </w:p>
    <w:p w14:paraId="1F947154">
      <w:pPr>
        <w:ind w:firstLine="565" w:firstLineChars="202"/>
        <w:rPr>
          <w:rFonts w:ascii="仿宋" w:hAnsi="仿宋" w:eastAsia="仿宋"/>
          <w:w w:val="100"/>
          <w:sz w:val="28"/>
          <w:szCs w:val="28"/>
        </w:rPr>
      </w:pPr>
    </w:p>
    <w:p w14:paraId="7AB5C7B6">
      <w:pPr>
        <w:ind w:firstLine="565" w:firstLineChars="202"/>
        <w:rPr>
          <w:rFonts w:ascii="仿宋" w:hAnsi="仿宋" w:eastAsia="仿宋"/>
          <w:w w:val="100"/>
          <w:sz w:val="28"/>
          <w:szCs w:val="28"/>
        </w:rPr>
      </w:pPr>
    </w:p>
    <w:p w14:paraId="6F3B7BA5">
      <w:pPr>
        <w:ind w:firstLine="565" w:firstLineChars="202"/>
        <w:rPr>
          <w:rFonts w:ascii="仿宋" w:hAnsi="仿宋" w:eastAsia="仿宋"/>
          <w:w w:val="100"/>
          <w:sz w:val="28"/>
          <w:szCs w:val="28"/>
        </w:rPr>
      </w:pPr>
    </w:p>
    <w:p w14:paraId="4F055BB9">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769E869C">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5428571C">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569B17AF">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341CA0DE">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34F72084">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145E2FE4">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638DCB6C">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3325EEC5">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3A4C9DE4">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2DD93138">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6C9EAAC1">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346A9CBD">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78CB6616">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w w:val="100"/>
          <w:sz w:val="28"/>
          <w:szCs w:val="28"/>
        </w:rPr>
      </w:pPr>
    </w:p>
    <w:p w14:paraId="3D421C2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drawing>
          <wp:inline distT="0" distB="0" distL="114300" distR="114300">
            <wp:extent cx="5991225" cy="8288020"/>
            <wp:effectExtent l="0" t="0" r="9525" b="17780"/>
            <wp:docPr id="6" name="图片 6" descr="202f099b-679f-475d-b596-e3ec2b09a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2f099b-679f-475d-b596-e3ec2b09a7f0"/>
                    <pic:cNvPicPr>
                      <a:picLocks noChangeAspect="1"/>
                    </pic:cNvPicPr>
                  </pic:nvPicPr>
                  <pic:blipFill>
                    <a:blip r:embed="rId5"/>
                    <a:stretch>
                      <a:fillRect/>
                    </a:stretch>
                  </pic:blipFill>
                  <pic:spPr>
                    <a:xfrm>
                      <a:off x="0" y="0"/>
                      <a:ext cx="5991225" cy="8288020"/>
                    </a:xfrm>
                    <a:prstGeom prst="rect">
                      <a:avLst/>
                    </a:prstGeom>
                  </pic:spPr>
                </pic:pic>
              </a:graphicData>
            </a:graphic>
          </wp:inline>
        </w:drawing>
      </w: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drawing>
          <wp:inline distT="0" distB="0" distL="114300" distR="114300">
            <wp:extent cx="5918835" cy="8639175"/>
            <wp:effectExtent l="0" t="0" r="5715" b="9525"/>
            <wp:docPr id="7" name="图片 7" descr="17bae8c3-166a-472a-9c43-0b8f7ff9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bae8c3-166a-472a-9c43-0b8f7ff95125"/>
                    <pic:cNvPicPr>
                      <a:picLocks noChangeAspect="1"/>
                    </pic:cNvPicPr>
                  </pic:nvPicPr>
                  <pic:blipFill>
                    <a:blip r:embed="rId6"/>
                    <a:stretch>
                      <a:fillRect/>
                    </a:stretch>
                  </pic:blipFill>
                  <pic:spPr>
                    <a:xfrm>
                      <a:off x="0" y="0"/>
                      <a:ext cx="5918835" cy="8639175"/>
                    </a:xfrm>
                    <a:prstGeom prst="rect">
                      <a:avLst/>
                    </a:prstGeom>
                  </pic:spPr>
                </pic:pic>
              </a:graphicData>
            </a:graphic>
          </wp:inline>
        </w:drawing>
      </w:r>
    </w:p>
    <w:p w14:paraId="2B3A7F8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drawing>
          <wp:inline distT="0" distB="0" distL="114300" distR="114300">
            <wp:extent cx="8470265" cy="5759450"/>
            <wp:effectExtent l="0" t="0" r="12700" b="6985"/>
            <wp:docPr id="8" name="图片 8" descr="04ca704c-e1d0-4810-8217-9fa99265d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4ca704c-e1d0-4810-8217-9fa99265d913"/>
                    <pic:cNvPicPr>
                      <a:picLocks noChangeAspect="1"/>
                    </pic:cNvPicPr>
                  </pic:nvPicPr>
                  <pic:blipFill>
                    <a:blip r:embed="rId7"/>
                    <a:stretch>
                      <a:fillRect/>
                    </a:stretch>
                  </pic:blipFill>
                  <pic:spPr>
                    <a:xfrm rot="5400000">
                      <a:off x="0" y="0"/>
                      <a:ext cx="8470265" cy="5759450"/>
                    </a:xfrm>
                    <a:prstGeom prst="rect">
                      <a:avLst/>
                    </a:prstGeom>
                  </pic:spPr>
                </pic:pic>
              </a:graphicData>
            </a:graphic>
          </wp:inline>
        </w:drawing>
      </w:r>
    </w:p>
    <w:p w14:paraId="736AC1B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drawing>
          <wp:inline distT="0" distB="0" distL="114300" distR="114300">
            <wp:extent cx="7779385" cy="6075045"/>
            <wp:effectExtent l="0" t="0" r="1905" b="12065"/>
            <wp:docPr id="9" name="图片 9" descr="2ed45e48-4eae-4947-a7bb-cb921f276d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ed45e48-4eae-4947-a7bb-cb921f276d75"/>
                    <pic:cNvPicPr>
                      <a:picLocks noChangeAspect="1"/>
                    </pic:cNvPicPr>
                  </pic:nvPicPr>
                  <pic:blipFill>
                    <a:blip r:embed="rId8"/>
                    <a:stretch>
                      <a:fillRect/>
                    </a:stretch>
                  </pic:blipFill>
                  <pic:spPr>
                    <a:xfrm rot="5400000">
                      <a:off x="0" y="0"/>
                      <a:ext cx="7779385" cy="6075045"/>
                    </a:xfrm>
                    <a:prstGeom prst="rect">
                      <a:avLst/>
                    </a:prstGeom>
                  </pic:spPr>
                </pic:pic>
              </a:graphicData>
            </a:graphic>
          </wp:inline>
        </w:drawing>
      </w:r>
    </w:p>
    <w:p w14:paraId="7D28A0E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textAlignment w:val="auto"/>
        <w:rPr>
          <w:rFonts w:hint="default" w:ascii="方正黑体_GBK" w:hAnsi="方正黑体_GBK" w:eastAsia="方正黑体_GBK" w:cs="方正黑体_GBK"/>
          <w:b/>
          <w:bCs/>
          <w:color w:val="auto"/>
          <w:sz w:val="32"/>
          <w:szCs w:val="32"/>
          <w:highlight w:val="none"/>
          <w:lang w:val="en-US" w:eastAsia="zh-CN"/>
        </w:rPr>
      </w:pPr>
    </w:p>
    <w:sectPr>
      <w:pgSz w:w="11906" w:h="16838"/>
      <w:pgMar w:top="147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embedRegular r:id="rId1" w:fontKey="{71F6C704-FADA-40D8-9D4A-D21A2B0410D8}"/>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embedRegular r:id="rId2" w:fontKey="{EA4F8BAF-7FF8-4CC5-B414-C058EE4D7092}"/>
  </w:font>
  <w:font w:name="方正黑体_GBK">
    <w:altName w:val="微软雅黑"/>
    <w:panose1 w:val="02000000000000000000"/>
    <w:charset w:val="86"/>
    <w:family w:val="auto"/>
    <w:pitch w:val="default"/>
    <w:sig w:usb0="00000000" w:usb1="00000000" w:usb2="00000000" w:usb3="00000000" w:csb0="00040000" w:csb1="00000000"/>
    <w:embedRegular r:id="rId3" w:fontKey="{E6D029D3-B487-4FE3-979F-77EF79E6066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5370E03"/>
    <w:rsid w:val="05E95AA6"/>
    <w:rsid w:val="0C180A78"/>
    <w:rsid w:val="0D276746"/>
    <w:rsid w:val="0D464D9C"/>
    <w:rsid w:val="0DD52794"/>
    <w:rsid w:val="0E956870"/>
    <w:rsid w:val="10C666A5"/>
    <w:rsid w:val="1223366A"/>
    <w:rsid w:val="143877FD"/>
    <w:rsid w:val="14B80712"/>
    <w:rsid w:val="16194D13"/>
    <w:rsid w:val="178564C1"/>
    <w:rsid w:val="17FCFFF6"/>
    <w:rsid w:val="19681C28"/>
    <w:rsid w:val="19E805B2"/>
    <w:rsid w:val="1CBF872E"/>
    <w:rsid w:val="22FE234B"/>
    <w:rsid w:val="277E6F02"/>
    <w:rsid w:val="29990575"/>
    <w:rsid w:val="2A2F7BA2"/>
    <w:rsid w:val="2AF6742D"/>
    <w:rsid w:val="2CE675A8"/>
    <w:rsid w:val="2F805A94"/>
    <w:rsid w:val="312A2265"/>
    <w:rsid w:val="333F3E43"/>
    <w:rsid w:val="36FC0F5D"/>
    <w:rsid w:val="375773F8"/>
    <w:rsid w:val="37936974"/>
    <w:rsid w:val="393E32BB"/>
    <w:rsid w:val="3EFDDE87"/>
    <w:rsid w:val="3F682FF8"/>
    <w:rsid w:val="419B2857"/>
    <w:rsid w:val="41D71DA8"/>
    <w:rsid w:val="45DB43CE"/>
    <w:rsid w:val="4C6611ED"/>
    <w:rsid w:val="4D5D3BD3"/>
    <w:rsid w:val="4EB7F892"/>
    <w:rsid w:val="4F9E5529"/>
    <w:rsid w:val="5239719D"/>
    <w:rsid w:val="552A0475"/>
    <w:rsid w:val="578D10CB"/>
    <w:rsid w:val="5A5915AC"/>
    <w:rsid w:val="5ABBC979"/>
    <w:rsid w:val="5BFC7B3B"/>
    <w:rsid w:val="5C631E2D"/>
    <w:rsid w:val="5C77393F"/>
    <w:rsid w:val="5D4F0DDE"/>
    <w:rsid w:val="5E77C7C6"/>
    <w:rsid w:val="5FFFAAE0"/>
    <w:rsid w:val="60730B79"/>
    <w:rsid w:val="63E65C2A"/>
    <w:rsid w:val="66347B2F"/>
    <w:rsid w:val="667FD72C"/>
    <w:rsid w:val="68306438"/>
    <w:rsid w:val="6A12486A"/>
    <w:rsid w:val="6ABE64BE"/>
    <w:rsid w:val="6B5F16C5"/>
    <w:rsid w:val="6BD914DC"/>
    <w:rsid w:val="6CF3EA5A"/>
    <w:rsid w:val="6FCE65FF"/>
    <w:rsid w:val="753C4E9B"/>
    <w:rsid w:val="769B7804"/>
    <w:rsid w:val="779FCBF0"/>
    <w:rsid w:val="77F7E21B"/>
    <w:rsid w:val="781113A7"/>
    <w:rsid w:val="791E6510"/>
    <w:rsid w:val="796501DC"/>
    <w:rsid w:val="79E2F975"/>
    <w:rsid w:val="7B3BDBF2"/>
    <w:rsid w:val="7C054C23"/>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uiPriority w:val="0"/>
    <w:pPr>
      <w:ind w:left="420" w:leftChars="200"/>
    </w:p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3"/>
    <w:autoRedefine/>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标题1"/>
    <w:basedOn w:val="2"/>
    <w:autoRedefine/>
    <w:qFormat/>
    <w:uiPriority w:val="0"/>
    <w:rPr>
      <w:rFonts w:eastAsia="黑体"/>
    </w:rPr>
  </w:style>
  <w:style w:type="paragraph" w:customStyle="1" w:styleId="14">
    <w:name w:val="首行缩进"/>
    <w:basedOn w:val="1"/>
    <w:autoRedefine/>
    <w:qFormat/>
    <w:uiPriority w:val="0"/>
    <w:pPr>
      <w:ind w:firstLine="480" w:firstLineChars="200"/>
    </w:pPr>
    <w:rPr>
      <w:lang w:val="zh-CN"/>
    </w:rPr>
  </w:style>
  <w:style w:type="character" w:customStyle="1" w:styleId="15">
    <w:name w:val="MSG_EN_FONT_STYLE_NAME_TEMPLATE_ROLE_NUMBER MSG_EN_FONT_STYLE_NAME_BY_ROLE_TEXT 2 + MSG_EN_FONT_STYLE_MODIFER_SIZE 9"/>
    <w:basedOn w:val="16"/>
    <w:qFormat/>
    <w:uiPriority w:val="0"/>
    <w:rPr>
      <w:color w:val="000000"/>
      <w:spacing w:val="10"/>
      <w:w w:val="100"/>
      <w:position w:val="0"/>
      <w:sz w:val="18"/>
      <w:szCs w:val="18"/>
      <w:lang w:val="zh-CN" w:eastAsia="zh-CN" w:bidi="zh-CN"/>
    </w:rPr>
  </w:style>
  <w:style w:type="character" w:customStyle="1" w:styleId="16">
    <w:name w:val="MSG_EN_FONT_STYLE_NAME_TEMPLATE_ROLE_NUMBER MSG_EN_FONT_STYLE_NAME_BY_ROLE_TEXT 2_"/>
    <w:basedOn w:val="11"/>
    <w:link w:val="17"/>
    <w:qFormat/>
    <w:uiPriority w:val="0"/>
    <w:rPr>
      <w:rFonts w:ascii="宋体" w:hAnsi="宋体" w:eastAsia="宋体" w:cs="宋体"/>
      <w:sz w:val="30"/>
      <w:szCs w:val="30"/>
    </w:rPr>
  </w:style>
  <w:style w:type="paragraph" w:customStyle="1" w:styleId="17">
    <w:name w:val="MSG_EN_FONT_STYLE_NAME_TEMPLATE_ROLE_NUMBER MSG_EN_FONT_STYLE_NAME_BY_ROLE_TEXT 2"/>
    <w:basedOn w:val="1"/>
    <w:link w:val="16"/>
    <w:qFormat/>
    <w:uiPriority w:val="0"/>
    <w:pPr>
      <w:shd w:val="clear" w:color="auto" w:fill="FFFFFF"/>
      <w:spacing w:before="360" w:after="360" w:line="300" w:lineRule="exact"/>
      <w:ind w:hanging="960"/>
      <w:jc w:val="left"/>
    </w:pPr>
    <w:rPr>
      <w:rFonts w:ascii="宋体" w:hAnsi="宋体" w:eastAsia="宋体" w:cs="宋体"/>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6942</Words>
  <Characters>7194</Characters>
  <Lines>0</Lines>
  <Paragraphs>0</Paragraphs>
  <TotalTime>0</TotalTime>
  <ScaleCrop>false</ScaleCrop>
  <LinksUpToDate>false</LinksUpToDate>
  <CharactersWithSpaces>7218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hPh</cp:lastModifiedBy>
  <cp:lastPrinted>2026-06-25T09:05:00Z</cp:lastPrinted>
  <dcterms:modified xsi:type="dcterms:W3CDTF">2026-09-10T03:14:15Z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01C5A798D7D744E89CAE9F3CB66821F2_13</vt:lpwstr>
  </property>
  <property fmtid="{D5CDD505-2E9C-101B-9397-08002B2CF9AE}" pid="4" name="KSOTemplateDocerSaveRecord">
    <vt:lpwstr>eyJoZGlkIjoiMGIzOGVlZTMyODI4ZmU1OGM5ZTBlMDZlNzM2Nzg2YzIiLCJ1c2VySWQiOiI5MzY5MDcyODMifQ==</vt:lpwstr>
  </property>
</Properties>
</file>