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81B6A">
      <w:pPr>
        <w:pStyle w:val="14"/>
        <w:jc w:val="center"/>
        <w:rPr>
          <w:rFonts w:ascii="Times New Roman" w:hAnsi="Times New Roman" w:cs="Times New Roman"/>
          <w:sz w:val="56"/>
          <w:szCs w:val="56"/>
        </w:rPr>
      </w:pPr>
    </w:p>
    <w:p w14:paraId="40E44407">
      <w:pPr>
        <w:pStyle w:val="14"/>
        <w:jc w:val="center"/>
        <w:rPr>
          <w:rFonts w:ascii="Times New Roman" w:hAnsi="Times New Roman" w:cs="Times New Roman"/>
          <w:sz w:val="84"/>
          <w:szCs w:val="84"/>
        </w:rPr>
      </w:pPr>
    </w:p>
    <w:p w14:paraId="24531F89">
      <w:pPr>
        <w:pStyle w:val="14"/>
        <w:jc w:val="center"/>
        <w:rPr>
          <w:rFonts w:ascii="Times New Roman" w:hAnsi="Times New Roman" w:cs="Times New Roman"/>
          <w:sz w:val="84"/>
          <w:szCs w:val="84"/>
        </w:rPr>
      </w:pPr>
    </w:p>
    <w:p w14:paraId="4EE487A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0F2A079">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怀化市水利技术事务中心</w:t>
      </w:r>
    </w:p>
    <w:p w14:paraId="320512D3">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5247C86B">
      <w:pPr>
        <w:pStyle w:val="14"/>
        <w:jc w:val="center"/>
        <w:rPr>
          <w:rFonts w:ascii="Times New Roman" w:hAnsi="Times New Roman" w:eastAsia="方正小标宋_GBK" w:cs="Times New Roman"/>
          <w:sz w:val="56"/>
          <w:szCs w:val="56"/>
        </w:rPr>
      </w:pPr>
    </w:p>
    <w:p w14:paraId="7692D578">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E4CE060">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EB9BA47">
      <w:pPr>
        <w:pStyle w:val="14"/>
        <w:spacing w:line="600" w:lineRule="exact"/>
        <w:jc w:val="center"/>
        <w:rPr>
          <w:rFonts w:ascii="Times New Roman" w:hAnsi="Times New Roman" w:cs="Times New Roman"/>
          <w:b/>
          <w:sz w:val="36"/>
          <w:szCs w:val="28"/>
        </w:rPr>
      </w:pPr>
    </w:p>
    <w:p w14:paraId="645FC72C">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怀化市水利技术事务中心</w:t>
      </w:r>
      <w:r>
        <w:rPr>
          <w:rFonts w:ascii="Times New Roman" w:hAnsi="Times New Roman" w:cs="Times New Roman"/>
          <w:bCs/>
          <w:sz w:val="32"/>
          <w:szCs w:val="32"/>
        </w:rPr>
        <w:t>概况</w:t>
      </w:r>
    </w:p>
    <w:p w14:paraId="125AC05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DC5A25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3C4F6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48AA5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A0DCA6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2C6B32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B9A2BF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C1243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4DD00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2253EB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E8F14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CF3118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48940F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41FF7C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2E8B96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1A673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96F18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86A3E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5713D5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1EC6E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D1538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E0588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202B16">
      <w:pPr>
        <w:autoSpaceDE w:val="0"/>
        <w:autoSpaceDN w:val="0"/>
        <w:adjustRightInd w:val="0"/>
        <w:spacing w:line="600" w:lineRule="exact"/>
        <w:jc w:val="left"/>
      </w:pPr>
      <w:r>
        <w:rPr>
          <w:rFonts w:hint="eastAsia" w:ascii="Times New Roman" w:hAnsi="Times New Roman" w:eastAsia="仿宋_GB2312" w:cs="Times New Roman"/>
          <w:color w:val="000000"/>
          <w:kern w:val="0"/>
          <w:sz w:val="32"/>
          <w:szCs w:val="32"/>
        </w:rPr>
        <w:t>九、国有资本经营预算财政拨款收入支出决算情况说明</w:t>
      </w:r>
    </w:p>
    <w:p w14:paraId="36958B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681A54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ECD35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ascii="Times New Roman" w:hAnsi="Times New Roman" w:eastAsia="仿宋_GB2312" w:cs="Times New Roman"/>
          <w:sz w:val="32"/>
          <w:szCs w:val="32"/>
        </w:rPr>
        <w:t>二</w:t>
      </w:r>
      <w:r>
        <w:rPr>
          <w:rFonts w:ascii="Times New Roman" w:hAnsi="Times New Roman" w:eastAsia="仿宋_GB2312" w:cs="Times New Roman"/>
          <w:color w:val="000000"/>
          <w:kern w:val="0"/>
          <w:sz w:val="32"/>
          <w:szCs w:val="32"/>
        </w:rPr>
        <w:t>、关于政府采购支出说明</w:t>
      </w:r>
    </w:p>
    <w:p w14:paraId="5404EB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25F1F39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031E645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C89EB7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0DCAD7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05B377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3F20072">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怀化市水利技术事务中心</w:t>
      </w:r>
      <w:r>
        <w:rPr>
          <w:rFonts w:ascii="Times New Roman" w:hAnsi="Times New Roman" w:eastAsia="方正小标宋_GBK" w:cs="Times New Roman"/>
          <w:sz w:val="52"/>
          <w:szCs w:val="52"/>
        </w:rPr>
        <w:t>概况</w:t>
      </w:r>
    </w:p>
    <w:p w14:paraId="03979A61">
      <w:pPr>
        <w:pStyle w:val="15"/>
        <w:keepNext w:val="0"/>
        <w:keepLines w:val="0"/>
        <w:pageBreakBefore w:val="0"/>
        <w:kinsoku/>
        <w:wordWrap/>
        <w:overflowPunct/>
        <w:topLinePunct w:val="0"/>
        <w:autoSpaceDE/>
        <w:autoSpaceDN/>
        <w:bidi w:val="0"/>
        <w:adjustRightInd/>
        <w:spacing w:before="157" w:beforeLines="50" w:line="360" w:lineRule="auto"/>
        <w:ind w:firstLine="0" w:firstLineChars="0"/>
        <w:jc w:val="both"/>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7CD68EF">
      <w:pPr>
        <w:keepNext w:val="0"/>
        <w:keepLines w:val="0"/>
        <w:pageBreakBefore w:val="0"/>
        <w:kinsoku/>
        <w:wordWrap/>
        <w:overflowPunct/>
        <w:topLinePunct w:val="0"/>
        <w:autoSpaceDE/>
        <w:autoSpaceDN/>
        <w:bidi w:val="0"/>
        <w:adjustRightInd/>
        <w:snapToGrid w:val="0"/>
        <w:spacing w:before="157" w:beforeLines="50" w:line="360" w:lineRule="auto"/>
        <w:ind w:firstLine="640" w:firstLineChars="200"/>
        <w:jc w:val="both"/>
        <w:textAlignment w:val="auto"/>
        <w:rPr>
          <w:rFonts w:ascii="Times New Roman" w:hAnsi="Times New Roman" w:eastAsia="仿宋_GB2312" w:cs="Times New Roman"/>
          <w:bCs/>
          <w:kern w:val="0"/>
          <w:sz w:val="32"/>
          <w:szCs w:val="32"/>
        </w:rPr>
      </w:pPr>
      <w:bookmarkStart w:id="0" w:name="_Hlk157614097"/>
      <w:r>
        <w:rPr>
          <w:rFonts w:ascii="Times New Roman" w:hAnsi="Times New Roman" w:eastAsia="仿宋_GB2312" w:cs="Times New Roman"/>
          <w:bCs/>
          <w:kern w:val="0"/>
          <w:sz w:val="32"/>
          <w:szCs w:val="32"/>
        </w:rPr>
        <w:t>怀化市水利技术事务中心</w:t>
      </w:r>
      <w:bookmarkStart w:id="1" w:name="_Hlk157613179"/>
      <w:r>
        <w:rPr>
          <w:rFonts w:ascii="Times New Roman" w:hAnsi="Times New Roman" w:eastAsia="仿宋_GB2312" w:cs="Times New Roman"/>
          <w:bCs/>
          <w:kern w:val="0"/>
          <w:sz w:val="32"/>
          <w:szCs w:val="32"/>
        </w:rPr>
        <w:t>原为怀化市水利电力勘测设计研究院</w:t>
      </w:r>
      <w:bookmarkEnd w:id="1"/>
      <w:r>
        <w:rPr>
          <w:rFonts w:ascii="Times New Roman" w:hAnsi="Times New Roman" w:eastAsia="仿宋_GB2312" w:cs="Times New Roman"/>
          <w:bCs/>
          <w:kern w:val="0"/>
          <w:sz w:val="32"/>
          <w:szCs w:val="32"/>
        </w:rPr>
        <w:t>事业部分，根据2022年8月29日怀化市人民政府专题会议纪要（【2022】第50次）及中共怀化市委机构编制委员会文件（怀编【2022】75号）中共怀化市委机构编制委员会关于市水利电力勘测设计研究院机构编制事项调整的批复，撤销怀化市水利电力勘测设计研究院，2023年7月设立怀化市水利技术事务中心，为市水利局所属正科级公益二类差额拨款事业单位，参照公益一类财政保障。</w:t>
      </w:r>
    </w:p>
    <w:p w14:paraId="3EBF9A36">
      <w:pPr>
        <w:keepNext w:val="0"/>
        <w:keepLines w:val="0"/>
        <w:pageBreakBefore w:val="0"/>
        <w:kinsoku/>
        <w:wordWrap/>
        <w:overflowPunct/>
        <w:topLinePunct w:val="0"/>
        <w:autoSpaceDE/>
        <w:autoSpaceDN/>
        <w:bidi w:val="0"/>
        <w:adjustRightInd/>
        <w:snapToGrid w:val="0"/>
        <w:spacing w:before="157" w:beforeLines="50" w:line="360" w:lineRule="auto"/>
        <w:ind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主要承担全市水利规划编制、水利技术审查和科技培训、水利水电科学技术推广和服务、为防汛抢险提供技术支撑等事务性职责</w:t>
      </w:r>
      <w:bookmarkEnd w:id="0"/>
      <w:r>
        <w:rPr>
          <w:rFonts w:hint="eastAsia" w:ascii="Times New Roman" w:hAnsi="Times New Roman" w:eastAsia="仿宋_GB2312" w:cs="Times New Roman"/>
          <w:bCs/>
          <w:kern w:val="0"/>
          <w:sz w:val="32"/>
          <w:szCs w:val="32"/>
        </w:rPr>
        <w:t>。</w:t>
      </w:r>
    </w:p>
    <w:p w14:paraId="4AC981DF">
      <w:pPr>
        <w:keepNext w:val="0"/>
        <w:keepLines w:val="0"/>
        <w:pageBreakBefore w:val="0"/>
        <w:widowControl/>
        <w:kinsoku/>
        <w:wordWrap/>
        <w:overflowPunct/>
        <w:topLinePunct w:val="0"/>
        <w:autoSpaceDE/>
        <w:autoSpaceDN/>
        <w:bidi w:val="0"/>
        <w:adjustRightInd/>
        <w:spacing w:before="157" w:beforeLines="50" w:line="360" w:lineRule="auto"/>
        <w:jc w:val="both"/>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A00BC15">
      <w:pPr>
        <w:keepNext w:val="0"/>
        <w:keepLines w:val="0"/>
        <w:pageBreakBefore w:val="0"/>
        <w:kinsoku/>
        <w:wordWrap/>
        <w:overflowPunct/>
        <w:topLinePunct w:val="0"/>
        <w:autoSpaceDE/>
        <w:autoSpaceDN/>
        <w:bidi w:val="0"/>
        <w:adjustRightInd/>
        <w:snapToGrid w:val="0"/>
        <w:spacing w:before="157" w:beforeLines="50" w:line="360" w:lineRule="auto"/>
        <w:ind w:firstLine="643" w:firstLineChars="200"/>
        <w:jc w:val="both"/>
        <w:textAlignment w:val="auto"/>
        <w:rPr>
          <w:rFonts w:ascii="Times New Roman" w:hAnsi="Times New Roman" w:eastAsia="仿宋_GB2312" w:cs="Times New Roman"/>
          <w:bCs/>
          <w:kern w:val="0"/>
          <w:sz w:val="32"/>
          <w:szCs w:val="32"/>
        </w:rPr>
      </w:pPr>
      <w:r>
        <w:rPr>
          <w:rFonts w:ascii="Times New Roman" w:hAnsi="Times New Roman" w:eastAsia="楷体_GB2312" w:cs="Times New Roman"/>
          <w:b/>
          <w:color w:val="000000"/>
          <w:kern w:val="0"/>
          <w:sz w:val="32"/>
          <w:szCs w:val="32"/>
          <w:lang w:val="en-US" w:eastAsia="zh-CN" w:bidi="ar-SA"/>
        </w:rPr>
        <w:t>（一）内设机构设置。</w:t>
      </w:r>
      <w:bookmarkStart w:id="2" w:name="_Hlk208827507"/>
      <w:r>
        <w:rPr>
          <w:rFonts w:ascii="Times New Roman" w:hAnsi="Times New Roman" w:eastAsia="仿宋_GB2312" w:cs="Times New Roman"/>
          <w:bCs/>
          <w:kern w:val="0"/>
          <w:sz w:val="32"/>
          <w:szCs w:val="32"/>
        </w:rPr>
        <w:t>怀化市水利技术事务中心</w:t>
      </w:r>
      <w:bookmarkEnd w:id="2"/>
      <w:bookmarkStart w:id="3" w:name="_Hlk157613096"/>
      <w:r>
        <w:rPr>
          <w:rFonts w:hint="eastAsia" w:ascii="Times New Roman" w:hAnsi="Times New Roman" w:eastAsia="仿宋_GB2312" w:cs="Times New Roman"/>
          <w:bCs/>
          <w:kern w:val="0"/>
          <w:sz w:val="32"/>
          <w:szCs w:val="32"/>
        </w:rPr>
        <w:t>作为怀化市水利局的二级部门预算单位</w:t>
      </w:r>
      <w:bookmarkEnd w:id="3"/>
      <w:r>
        <w:rPr>
          <w:rFonts w:hint="eastAsia" w:ascii="Times New Roman" w:hAnsi="Times New Roman" w:eastAsia="仿宋_GB2312" w:cs="Times New Roman"/>
          <w:bCs/>
          <w:kern w:val="0"/>
          <w:sz w:val="32"/>
          <w:szCs w:val="32"/>
        </w:rPr>
        <w:t>，</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w:t>
      </w:r>
      <w:r>
        <w:rPr>
          <w:rFonts w:ascii="Times New Roman" w:hAnsi="Times New Roman" w:eastAsia="仿宋_GB2312" w:cs="Times New Roman"/>
          <w:bCs/>
          <w:kern w:val="0"/>
          <w:sz w:val="32"/>
          <w:szCs w:val="32"/>
        </w:rPr>
        <w:t>怀化市水利技术事务中心</w:t>
      </w:r>
      <w:r>
        <w:rPr>
          <w:rFonts w:hint="eastAsia" w:ascii="Times New Roman" w:hAnsi="Times New Roman" w:eastAsia="仿宋_GB2312" w:cs="Times New Roman"/>
          <w:bCs/>
          <w:kern w:val="0"/>
          <w:sz w:val="32"/>
          <w:szCs w:val="32"/>
        </w:rPr>
        <w:t>。</w:t>
      </w:r>
    </w:p>
    <w:p w14:paraId="68582678">
      <w:pPr>
        <w:keepNext w:val="0"/>
        <w:keepLines w:val="0"/>
        <w:pageBreakBefore w:val="0"/>
        <w:kinsoku/>
        <w:wordWrap/>
        <w:overflowPunct/>
        <w:topLinePunct w:val="0"/>
        <w:autoSpaceDE/>
        <w:autoSpaceDN/>
        <w:bidi w:val="0"/>
        <w:adjustRightInd/>
        <w:snapToGrid w:val="0"/>
        <w:spacing w:before="157" w:beforeLines="50" w:line="360" w:lineRule="auto"/>
        <w:ind w:firstLine="643" w:firstLineChars="200"/>
        <w:jc w:val="both"/>
        <w:textAlignment w:val="auto"/>
        <w:rPr>
          <w:rFonts w:ascii="Times New Roman" w:hAnsi="Times New Roman" w:eastAsia="仿宋_GB2312" w:cs="Times New Roman"/>
          <w:bCs/>
          <w:kern w:val="0"/>
          <w:sz w:val="32"/>
          <w:szCs w:val="32"/>
        </w:rPr>
      </w:pPr>
      <w:r>
        <w:rPr>
          <w:rFonts w:ascii="Times New Roman" w:hAnsi="Times New Roman" w:eastAsia="楷体_GB2312" w:cs="Times New Roman"/>
          <w:b/>
          <w:color w:val="000000"/>
          <w:kern w:val="0"/>
          <w:sz w:val="32"/>
          <w:szCs w:val="32"/>
          <w:lang w:val="en-US" w:eastAsia="zh-CN" w:bidi="ar-SA"/>
        </w:rPr>
        <w:t>（二）决算单位构成。</w:t>
      </w:r>
      <w:r>
        <w:rPr>
          <w:rFonts w:ascii="Times New Roman" w:hAnsi="Times New Roman" w:eastAsia="仿宋_GB2312" w:cs="Times New Roman"/>
          <w:bCs/>
          <w:kern w:val="0"/>
          <w:sz w:val="32"/>
          <w:szCs w:val="32"/>
        </w:rPr>
        <w:t>怀化市水利技术事务中心202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年部门决算汇总公开单位构成包括：怀化市水利技术事务中心</w:t>
      </w:r>
      <w:r>
        <w:rPr>
          <w:rFonts w:hint="eastAsia" w:ascii="Times New Roman" w:hAnsi="Times New Roman" w:eastAsia="仿宋_GB2312" w:cs="Times New Roman"/>
          <w:bCs/>
          <w:kern w:val="0"/>
          <w:sz w:val="32"/>
          <w:szCs w:val="32"/>
        </w:rPr>
        <w:t>。</w:t>
      </w:r>
    </w:p>
    <w:p w14:paraId="7BCFE73B">
      <w:pPr>
        <w:pStyle w:val="8"/>
        <w:keepNext w:val="0"/>
        <w:keepLines w:val="0"/>
        <w:pageBreakBefore w:val="0"/>
        <w:kinsoku/>
        <w:wordWrap/>
        <w:overflowPunct/>
        <w:topLinePunct w:val="0"/>
        <w:autoSpaceDE/>
        <w:autoSpaceDN/>
        <w:bidi w:val="0"/>
        <w:adjustRightInd/>
        <w:spacing w:before="157" w:beforeLines="50" w:line="360" w:lineRule="auto"/>
        <w:jc w:val="both"/>
        <w:textAlignment w:val="auto"/>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F759AFE">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131FFD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7FE5A8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AC9BED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4D4865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AA8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7D0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1788EA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EDA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16D0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76C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7B7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3E73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B18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7C38B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675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FC91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709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6C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25BA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76A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758BCC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23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9DA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760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267.96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005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7C2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4EB6">
            <w:pPr>
              <w:jc w:val="center"/>
              <w:rPr>
                <w:rFonts w:ascii="Times New Roman" w:hAnsi="Times New Roman" w:eastAsia="仿宋_GB2312" w:cs="Times New Roman"/>
                <w:color w:val="000000"/>
                <w:sz w:val="22"/>
              </w:rPr>
            </w:pPr>
          </w:p>
        </w:tc>
      </w:tr>
      <w:tr w14:paraId="5634AD0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B08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4E4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3105">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E7E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19E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6A24">
            <w:pPr>
              <w:jc w:val="center"/>
              <w:rPr>
                <w:rFonts w:ascii="Times New Roman" w:hAnsi="Times New Roman" w:eastAsia="仿宋_GB2312" w:cs="Times New Roman"/>
                <w:color w:val="000000"/>
                <w:sz w:val="22"/>
              </w:rPr>
            </w:pPr>
          </w:p>
        </w:tc>
      </w:tr>
      <w:tr w14:paraId="7727DC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21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42A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E69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59E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0CA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516F">
            <w:pPr>
              <w:jc w:val="center"/>
              <w:rPr>
                <w:rFonts w:ascii="Times New Roman" w:hAnsi="Times New Roman" w:eastAsia="仿宋_GB2312" w:cs="Times New Roman"/>
                <w:color w:val="000000"/>
                <w:sz w:val="22"/>
              </w:rPr>
            </w:pPr>
          </w:p>
        </w:tc>
      </w:tr>
      <w:tr w14:paraId="743967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D4D9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0CC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32E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415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167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AD57">
            <w:pPr>
              <w:jc w:val="center"/>
              <w:rPr>
                <w:rFonts w:ascii="Times New Roman" w:hAnsi="Times New Roman" w:eastAsia="仿宋_GB2312" w:cs="Times New Roman"/>
                <w:color w:val="000000"/>
                <w:sz w:val="22"/>
              </w:rPr>
            </w:pPr>
          </w:p>
        </w:tc>
      </w:tr>
      <w:tr w14:paraId="2F8D390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8C7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AD5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EEF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DC5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5DF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F14C">
            <w:pPr>
              <w:jc w:val="center"/>
              <w:rPr>
                <w:rFonts w:ascii="Times New Roman" w:hAnsi="Times New Roman" w:eastAsia="仿宋_GB2312" w:cs="Times New Roman"/>
                <w:color w:val="000000"/>
                <w:sz w:val="22"/>
              </w:rPr>
            </w:pPr>
          </w:p>
        </w:tc>
      </w:tr>
      <w:tr w14:paraId="611CB8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6DE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639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FAEA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869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1BD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CD7D">
            <w:pPr>
              <w:jc w:val="center"/>
              <w:rPr>
                <w:rFonts w:ascii="Times New Roman" w:hAnsi="Times New Roman" w:eastAsia="仿宋_GB2312" w:cs="Times New Roman"/>
                <w:color w:val="000000"/>
                <w:sz w:val="22"/>
              </w:rPr>
            </w:pPr>
          </w:p>
        </w:tc>
      </w:tr>
      <w:tr w14:paraId="3A99514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E1D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302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549D">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3CA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615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AA5B">
            <w:pPr>
              <w:jc w:val="center"/>
              <w:rPr>
                <w:rFonts w:ascii="Times New Roman" w:hAnsi="Times New Roman" w:eastAsia="仿宋_GB2312" w:cs="Times New Roman"/>
                <w:color w:val="000000"/>
                <w:sz w:val="22"/>
              </w:rPr>
            </w:pPr>
          </w:p>
        </w:tc>
      </w:tr>
      <w:tr w14:paraId="1E3235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BE5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750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CB7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0006">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1D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6FD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709.96</w:t>
            </w:r>
          </w:p>
        </w:tc>
      </w:tr>
      <w:tr w14:paraId="48B0EB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DCF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333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9DA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9AA0">
            <w:pPr>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58E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7D54">
            <w:pPr>
              <w:jc w:val="center"/>
              <w:rPr>
                <w:rFonts w:ascii="Times New Roman" w:hAnsi="Times New Roman" w:eastAsia="仿宋_GB2312" w:cs="Times New Roman"/>
                <w:b/>
                <w:color w:val="000000"/>
                <w:sz w:val="22"/>
              </w:rPr>
            </w:pPr>
          </w:p>
        </w:tc>
      </w:tr>
      <w:tr w14:paraId="3B3F6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DC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CED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D2F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709.96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E57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467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3C45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709.96</w:t>
            </w:r>
          </w:p>
        </w:tc>
      </w:tr>
      <w:tr w14:paraId="6CE082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04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B0A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05A5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5B1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16C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EBE6">
            <w:pPr>
              <w:jc w:val="center"/>
              <w:rPr>
                <w:rFonts w:ascii="Times New Roman" w:hAnsi="Times New Roman" w:eastAsia="仿宋_GB2312" w:cs="Times New Roman"/>
                <w:color w:val="000000"/>
                <w:sz w:val="22"/>
              </w:rPr>
            </w:pPr>
          </w:p>
        </w:tc>
      </w:tr>
      <w:tr w14:paraId="3A72C6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C8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99D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F67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4B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9E8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0B67">
            <w:pPr>
              <w:jc w:val="center"/>
              <w:rPr>
                <w:rFonts w:ascii="Times New Roman" w:hAnsi="Times New Roman" w:eastAsia="仿宋_GB2312" w:cs="Times New Roman"/>
                <w:color w:val="000000"/>
                <w:sz w:val="22"/>
              </w:rPr>
            </w:pPr>
          </w:p>
        </w:tc>
      </w:tr>
      <w:tr w14:paraId="0B950E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5D1A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92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F0F4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b/>
                <w:bCs/>
                <w:color w:val="000000"/>
                <w:sz w:val="22"/>
                <w:lang w:val="en-US" w:eastAsia="zh-CN"/>
              </w:rPr>
              <w:t>709.96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5BDA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425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54CC2">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709.96</w:t>
            </w:r>
          </w:p>
        </w:tc>
      </w:tr>
    </w:tbl>
    <w:p w14:paraId="25AC7E19">
      <w:pPr>
        <w:widowControl/>
        <w:jc w:val="left"/>
        <w:textAlignment w:val="center"/>
        <w:rPr>
          <w:rFonts w:ascii="Times New Roman" w:hAnsi="Times New Roman" w:eastAsia="宋体" w:cs="Times New Roman"/>
          <w:color w:val="000000"/>
          <w:kern w:val="0"/>
          <w:sz w:val="24"/>
          <w:szCs w:val="24"/>
          <w:lang w:bidi="ar"/>
        </w:rPr>
      </w:pPr>
    </w:p>
    <w:p w14:paraId="49BA8C9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7F0BD0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E14FA8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E7D2C9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59E613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0B3CD2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622"/>
        <w:gridCol w:w="1318"/>
        <w:gridCol w:w="1640"/>
        <w:gridCol w:w="1640"/>
        <w:gridCol w:w="1640"/>
        <w:gridCol w:w="1640"/>
        <w:gridCol w:w="1897"/>
        <w:gridCol w:w="1383"/>
      </w:tblGrid>
      <w:tr w14:paraId="6292C750">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7637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8A512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451C1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D7C7F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FAB04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02612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9F36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8CE4C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40DB6B0">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6452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62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2DD1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18" w:type="dxa"/>
            <w:vMerge w:val="continue"/>
            <w:tcBorders>
              <w:top w:val="single" w:color="auto" w:sz="4" w:space="0"/>
              <w:left w:val="single" w:color="auto" w:sz="4" w:space="0"/>
              <w:bottom w:val="single" w:color="auto" w:sz="4" w:space="0"/>
              <w:right w:val="single" w:color="auto" w:sz="4" w:space="0"/>
            </w:tcBorders>
            <w:vAlign w:val="center"/>
          </w:tcPr>
          <w:p w14:paraId="3AD3AE2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42AF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A78709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7E707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C67D73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27E0E0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BA9B7FF">
            <w:pPr>
              <w:rPr>
                <w:rFonts w:ascii="Times New Roman" w:hAnsi="Times New Roman" w:eastAsia="仿宋_GB2312" w:cs="Times New Roman"/>
                <w:sz w:val="24"/>
                <w:szCs w:val="24"/>
              </w:rPr>
            </w:pPr>
          </w:p>
        </w:tc>
      </w:tr>
      <w:tr w14:paraId="75FED9E7">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DC06EA6">
            <w:pPr>
              <w:rPr>
                <w:rFonts w:ascii="Times New Roman" w:hAnsi="Times New Roman" w:eastAsia="仿宋_GB2312" w:cs="Times New Roman"/>
                <w:sz w:val="24"/>
                <w:szCs w:val="24"/>
              </w:rPr>
            </w:pPr>
          </w:p>
        </w:tc>
        <w:tc>
          <w:tcPr>
            <w:tcW w:w="1622" w:type="dxa"/>
            <w:vMerge w:val="continue"/>
            <w:tcBorders>
              <w:top w:val="nil"/>
              <w:left w:val="single" w:color="auto" w:sz="4" w:space="0"/>
              <w:bottom w:val="single" w:color="auto" w:sz="4" w:space="0"/>
              <w:right w:val="single" w:color="auto" w:sz="4" w:space="0"/>
            </w:tcBorders>
            <w:vAlign w:val="center"/>
          </w:tcPr>
          <w:p w14:paraId="459CD6F9">
            <w:pPr>
              <w:rPr>
                <w:rFonts w:ascii="Times New Roman" w:hAnsi="Times New Roman" w:eastAsia="仿宋_GB2312" w:cs="Times New Roman"/>
                <w:sz w:val="24"/>
                <w:szCs w:val="24"/>
              </w:rPr>
            </w:pPr>
          </w:p>
        </w:tc>
        <w:tc>
          <w:tcPr>
            <w:tcW w:w="1318" w:type="dxa"/>
            <w:vMerge w:val="continue"/>
            <w:tcBorders>
              <w:top w:val="single" w:color="auto" w:sz="4" w:space="0"/>
              <w:left w:val="single" w:color="auto" w:sz="4" w:space="0"/>
              <w:bottom w:val="single" w:color="auto" w:sz="4" w:space="0"/>
              <w:right w:val="single" w:color="auto" w:sz="4" w:space="0"/>
            </w:tcBorders>
            <w:vAlign w:val="center"/>
          </w:tcPr>
          <w:p w14:paraId="01B50C6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57014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0FB15C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B54A9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CE8AA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5BB0A9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76F3107">
            <w:pPr>
              <w:rPr>
                <w:rFonts w:ascii="Times New Roman" w:hAnsi="Times New Roman" w:eastAsia="仿宋_GB2312" w:cs="Times New Roman"/>
                <w:sz w:val="24"/>
                <w:szCs w:val="24"/>
              </w:rPr>
            </w:pPr>
          </w:p>
        </w:tc>
      </w:tr>
      <w:tr w14:paraId="185C512A">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466C7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F7388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9866DD">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94BC4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7BB9D8">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8F377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6BB7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F4427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AF03CB6">
        <w:tblPrEx>
          <w:tblCellMar>
            <w:top w:w="0" w:type="dxa"/>
            <w:left w:w="0" w:type="dxa"/>
            <w:bottom w:w="0" w:type="dxa"/>
            <w:right w:w="0" w:type="dxa"/>
          </w:tblCellMar>
        </w:tblPrEx>
        <w:trPr>
          <w:trHeight w:val="450" w:hRule="atLeast"/>
          <w:jc w:val="center"/>
        </w:trPr>
        <w:tc>
          <w:tcPr>
            <w:tcW w:w="35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DBFB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A2F1D">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709.96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7A912">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267.96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A6F2F1">
            <w:pPr>
              <w:jc w:val="center"/>
              <w:rPr>
                <w:rFonts w:ascii="Times New Roman" w:hAnsi="Times New Roman" w:eastAsia="仿宋_GB2312" w:cs="Times New Roman"/>
                <w:b/>
                <w:bCs/>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1ECD6">
            <w:pPr>
              <w:jc w:val="center"/>
              <w:rPr>
                <w:rFonts w:ascii="Times New Roman" w:hAnsi="Times New Roman" w:eastAsia="仿宋_GB2312" w:cs="Times New Roman"/>
                <w:b/>
                <w:bCs/>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697C0">
            <w:pPr>
              <w:jc w:val="center"/>
              <w:rPr>
                <w:rFonts w:ascii="Times New Roman" w:hAnsi="Times New Roman" w:eastAsia="仿宋_GB2312" w:cs="Times New Roman"/>
                <w:b/>
                <w:bCs/>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869CB">
            <w:pPr>
              <w:jc w:val="center"/>
              <w:rPr>
                <w:rFonts w:ascii="Times New Roman" w:hAnsi="Times New Roman" w:eastAsia="仿宋_GB2312" w:cs="Times New Roman"/>
                <w:b/>
                <w:bCs/>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FB08C">
            <w:pPr>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442</w:t>
            </w:r>
          </w:p>
        </w:tc>
      </w:tr>
      <w:tr w14:paraId="7D38B8C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FDD75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E1DEB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农林水支出</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1A5F5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709.96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8FBF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267.96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8831C">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D617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F3D2D">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990EB">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58E9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442</w:t>
            </w:r>
          </w:p>
        </w:tc>
      </w:tr>
      <w:tr w14:paraId="761C6C2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7ABD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583D7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水利</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8FD8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709.96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39C1F1">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267.96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86642">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1D7D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01099">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2FAA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E11F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442</w:t>
            </w:r>
          </w:p>
        </w:tc>
      </w:tr>
      <w:tr w14:paraId="7CB6495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C12143">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130399</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E94BA">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其他水利支出</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EE47D">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709.96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4AB0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267.96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ACD4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B885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B2327">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FFB2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1BC3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442</w:t>
            </w:r>
          </w:p>
        </w:tc>
      </w:tr>
      <w:tr w14:paraId="56E7CBF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4E246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CEC6D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7D1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562F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7B4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1102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8E6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245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721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0054D0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48210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1D923F">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C2E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A21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5E9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C72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A91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FAF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839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FA37DD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90F7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E4AFE5">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773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298E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4BC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03F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491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24F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FDAC2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2982B14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90BD20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E3755BB">
      <w:pPr>
        <w:widowControl/>
        <w:jc w:val="center"/>
        <w:textAlignment w:val="center"/>
        <w:rPr>
          <w:rFonts w:ascii="Times New Roman" w:hAnsi="Times New Roman" w:eastAsia="黑体" w:cs="Times New Roman"/>
          <w:color w:val="000000"/>
          <w:kern w:val="0"/>
          <w:sz w:val="32"/>
          <w:szCs w:val="32"/>
          <w:lang w:bidi="ar"/>
        </w:rPr>
      </w:pPr>
    </w:p>
    <w:p w14:paraId="530C298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F2A976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551CDC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376"/>
        <w:gridCol w:w="1686"/>
        <w:gridCol w:w="1827"/>
        <w:gridCol w:w="1284"/>
        <w:gridCol w:w="1281"/>
        <w:gridCol w:w="1825"/>
        <w:gridCol w:w="1282"/>
        <w:gridCol w:w="2650"/>
      </w:tblGrid>
      <w:tr w14:paraId="71D3085C">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F86F4E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27FE5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26EA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B7EAD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F934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F77C6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DC753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000D4FE">
        <w:tblPrEx>
          <w:tblCellMar>
            <w:top w:w="0" w:type="dxa"/>
            <w:left w:w="108" w:type="dxa"/>
            <w:bottom w:w="0" w:type="dxa"/>
            <w:right w:w="108" w:type="dxa"/>
          </w:tblCellMar>
        </w:tblPrEx>
        <w:trPr>
          <w:trHeight w:val="312" w:hRule="exact"/>
          <w:jc w:val="center"/>
        </w:trPr>
        <w:tc>
          <w:tcPr>
            <w:tcW w:w="8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9905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762DBE4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C4A910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51D591D">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39784285">
            <w:pPr>
              <w:widowControl/>
              <w:jc w:val="left"/>
              <w:rPr>
                <w:rFonts w:ascii="Times New Roman" w:hAnsi="Times New Roman" w:eastAsia="仿宋_GB2312" w:cs="Times New Roman"/>
                <w:b/>
                <w:bCs/>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3F8C235D">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06B75654">
            <w:pPr>
              <w:widowControl/>
              <w:jc w:val="left"/>
              <w:rPr>
                <w:rFonts w:ascii="Times New Roman" w:hAnsi="Times New Roman" w:eastAsia="仿宋_GB2312" w:cs="Times New Roman"/>
                <w:b/>
                <w:bCs/>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0DF7EA27">
            <w:pPr>
              <w:widowControl/>
              <w:jc w:val="left"/>
              <w:rPr>
                <w:rFonts w:ascii="Times New Roman" w:hAnsi="Times New Roman" w:eastAsia="仿宋_GB2312" w:cs="Times New Roman"/>
                <w:b/>
                <w:bCs/>
                <w:kern w:val="0"/>
                <w:sz w:val="24"/>
                <w:szCs w:val="24"/>
              </w:rPr>
            </w:pPr>
          </w:p>
        </w:tc>
      </w:tr>
      <w:tr w14:paraId="7BB17127">
        <w:tblPrEx>
          <w:tblCellMar>
            <w:top w:w="0" w:type="dxa"/>
            <w:left w:w="108" w:type="dxa"/>
            <w:bottom w:w="0" w:type="dxa"/>
            <w:right w:w="108" w:type="dxa"/>
          </w:tblCellMar>
        </w:tblPrEx>
        <w:trPr>
          <w:trHeight w:val="595" w:hRule="atLeast"/>
          <w:jc w:val="center"/>
        </w:trPr>
        <w:tc>
          <w:tcPr>
            <w:tcW w:w="853" w:type="pct"/>
            <w:vMerge w:val="continue"/>
            <w:tcBorders>
              <w:top w:val="single" w:color="auto" w:sz="4" w:space="0"/>
              <w:left w:val="single" w:color="auto" w:sz="4" w:space="0"/>
              <w:bottom w:val="single" w:color="auto" w:sz="4" w:space="0"/>
              <w:right w:val="single" w:color="auto" w:sz="4" w:space="0"/>
            </w:tcBorders>
            <w:vAlign w:val="center"/>
          </w:tcPr>
          <w:p w14:paraId="03F5EC6C">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38CF747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EC465B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358AAE4">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2E2291AA">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77BF3A5">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5F915B4B">
            <w:pPr>
              <w:widowControl/>
              <w:jc w:val="left"/>
              <w:rPr>
                <w:rFonts w:ascii="Times New Roman" w:hAnsi="Times New Roman" w:eastAsia="仿宋_GB2312" w:cs="Times New Roman"/>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3C4E7480">
            <w:pPr>
              <w:widowControl/>
              <w:jc w:val="left"/>
              <w:rPr>
                <w:rFonts w:ascii="Times New Roman" w:hAnsi="Times New Roman" w:eastAsia="仿宋_GB2312" w:cs="Times New Roman"/>
                <w:kern w:val="0"/>
                <w:sz w:val="24"/>
                <w:szCs w:val="24"/>
              </w:rPr>
            </w:pPr>
          </w:p>
        </w:tc>
      </w:tr>
      <w:tr w14:paraId="77ACEC1E">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4B49B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115EA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49E7C2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8" w:type="pct"/>
            <w:tcBorders>
              <w:top w:val="nil"/>
              <w:left w:val="nil"/>
              <w:bottom w:val="single" w:color="auto" w:sz="4" w:space="0"/>
              <w:right w:val="single" w:color="auto" w:sz="4" w:space="0"/>
            </w:tcBorders>
            <w:shd w:val="clear" w:color="000000" w:fill="FFFFFF"/>
            <w:noWrap/>
            <w:vAlign w:val="center"/>
          </w:tcPr>
          <w:p w14:paraId="610BFA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59" w:type="pct"/>
            <w:tcBorders>
              <w:top w:val="nil"/>
              <w:left w:val="nil"/>
              <w:bottom w:val="single" w:color="auto" w:sz="4" w:space="0"/>
              <w:right w:val="single" w:color="auto" w:sz="4" w:space="0"/>
            </w:tcBorders>
            <w:shd w:val="clear" w:color="000000" w:fill="FFFFFF"/>
            <w:noWrap/>
            <w:vAlign w:val="center"/>
          </w:tcPr>
          <w:p w14:paraId="6FDDEC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8" w:type="pct"/>
            <w:tcBorders>
              <w:top w:val="nil"/>
              <w:left w:val="nil"/>
              <w:bottom w:val="single" w:color="auto" w:sz="4" w:space="0"/>
              <w:right w:val="single" w:color="auto" w:sz="4" w:space="0"/>
            </w:tcBorders>
            <w:shd w:val="clear" w:color="000000" w:fill="FFFFFF"/>
            <w:noWrap/>
            <w:vAlign w:val="center"/>
          </w:tcPr>
          <w:p w14:paraId="31DA2E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9" w:type="pct"/>
            <w:tcBorders>
              <w:top w:val="nil"/>
              <w:left w:val="nil"/>
              <w:bottom w:val="single" w:color="auto" w:sz="4" w:space="0"/>
              <w:right w:val="single" w:color="auto" w:sz="4" w:space="0"/>
            </w:tcBorders>
            <w:shd w:val="clear" w:color="000000" w:fill="FFFFFF"/>
            <w:noWrap/>
            <w:vAlign w:val="center"/>
          </w:tcPr>
          <w:p w14:paraId="3285C7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17D4F5C">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56888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39035239">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709.96</w:t>
            </w:r>
          </w:p>
        </w:tc>
        <w:tc>
          <w:tcPr>
            <w:tcW w:w="469" w:type="pct"/>
            <w:tcBorders>
              <w:top w:val="nil"/>
              <w:left w:val="nil"/>
              <w:bottom w:val="single" w:color="auto" w:sz="4" w:space="0"/>
              <w:right w:val="single" w:color="auto" w:sz="4" w:space="0"/>
            </w:tcBorders>
            <w:shd w:val="clear" w:color="auto" w:fill="auto"/>
            <w:noWrap/>
            <w:vAlign w:val="center"/>
          </w:tcPr>
          <w:p w14:paraId="5E1A1024">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709.96</w:t>
            </w:r>
          </w:p>
        </w:tc>
        <w:tc>
          <w:tcPr>
            <w:tcW w:w="468" w:type="pct"/>
            <w:tcBorders>
              <w:top w:val="nil"/>
              <w:left w:val="nil"/>
              <w:bottom w:val="single" w:color="auto" w:sz="4" w:space="0"/>
              <w:right w:val="single" w:color="auto" w:sz="4" w:space="0"/>
            </w:tcBorders>
            <w:shd w:val="clear" w:color="auto" w:fill="auto"/>
            <w:noWrap/>
            <w:vAlign w:val="center"/>
          </w:tcPr>
          <w:p w14:paraId="2C1070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50C111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7C53E5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46D8D4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EBF872">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D47A8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w:t>
            </w:r>
          </w:p>
        </w:tc>
        <w:tc>
          <w:tcPr>
            <w:tcW w:w="470" w:type="pct"/>
            <w:tcBorders>
              <w:top w:val="nil"/>
              <w:left w:val="nil"/>
              <w:bottom w:val="single" w:color="auto" w:sz="4" w:space="0"/>
              <w:right w:val="single" w:color="auto" w:sz="4" w:space="0"/>
            </w:tcBorders>
            <w:shd w:val="clear" w:color="000000" w:fill="FFFFFF"/>
            <w:noWrap/>
            <w:vAlign w:val="center"/>
          </w:tcPr>
          <w:p w14:paraId="5EB1652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农林水支出</w:t>
            </w:r>
          </w:p>
        </w:tc>
        <w:tc>
          <w:tcPr>
            <w:tcW w:w="660" w:type="pct"/>
            <w:tcBorders>
              <w:top w:val="nil"/>
              <w:left w:val="nil"/>
              <w:bottom w:val="single" w:color="auto" w:sz="4" w:space="0"/>
              <w:right w:val="single" w:color="auto" w:sz="4" w:space="0"/>
            </w:tcBorders>
            <w:shd w:val="clear" w:color="auto" w:fill="auto"/>
            <w:noWrap/>
            <w:vAlign w:val="center"/>
          </w:tcPr>
          <w:p w14:paraId="12A7485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9" w:type="pct"/>
            <w:tcBorders>
              <w:top w:val="nil"/>
              <w:left w:val="nil"/>
              <w:bottom w:val="single" w:color="auto" w:sz="4" w:space="0"/>
              <w:right w:val="single" w:color="auto" w:sz="4" w:space="0"/>
            </w:tcBorders>
            <w:shd w:val="clear" w:color="auto" w:fill="auto"/>
            <w:noWrap/>
            <w:vAlign w:val="center"/>
          </w:tcPr>
          <w:p w14:paraId="22486EA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8" w:type="pct"/>
            <w:tcBorders>
              <w:top w:val="nil"/>
              <w:left w:val="nil"/>
              <w:bottom w:val="single" w:color="auto" w:sz="4" w:space="0"/>
              <w:right w:val="single" w:color="auto" w:sz="4" w:space="0"/>
            </w:tcBorders>
            <w:shd w:val="clear" w:color="auto" w:fill="auto"/>
            <w:noWrap/>
            <w:vAlign w:val="center"/>
          </w:tcPr>
          <w:p w14:paraId="4E64B2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6EBD8E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2AC604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46F638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9A4B6B">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83C84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w:t>
            </w:r>
          </w:p>
        </w:tc>
        <w:tc>
          <w:tcPr>
            <w:tcW w:w="470" w:type="pct"/>
            <w:tcBorders>
              <w:top w:val="nil"/>
              <w:left w:val="nil"/>
              <w:bottom w:val="single" w:color="auto" w:sz="4" w:space="0"/>
              <w:right w:val="single" w:color="auto" w:sz="4" w:space="0"/>
            </w:tcBorders>
            <w:shd w:val="clear" w:color="000000" w:fill="FFFFFF"/>
            <w:noWrap/>
            <w:vAlign w:val="center"/>
          </w:tcPr>
          <w:p w14:paraId="24735B0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水利</w:t>
            </w:r>
          </w:p>
        </w:tc>
        <w:tc>
          <w:tcPr>
            <w:tcW w:w="660" w:type="pct"/>
            <w:tcBorders>
              <w:top w:val="nil"/>
              <w:left w:val="nil"/>
              <w:bottom w:val="single" w:color="auto" w:sz="4" w:space="0"/>
              <w:right w:val="single" w:color="auto" w:sz="4" w:space="0"/>
            </w:tcBorders>
            <w:shd w:val="clear" w:color="auto" w:fill="auto"/>
            <w:noWrap/>
            <w:vAlign w:val="center"/>
          </w:tcPr>
          <w:p w14:paraId="0686DE7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9" w:type="pct"/>
            <w:tcBorders>
              <w:top w:val="nil"/>
              <w:left w:val="nil"/>
              <w:bottom w:val="single" w:color="auto" w:sz="4" w:space="0"/>
              <w:right w:val="single" w:color="auto" w:sz="4" w:space="0"/>
            </w:tcBorders>
            <w:shd w:val="clear" w:color="auto" w:fill="auto"/>
            <w:noWrap/>
            <w:vAlign w:val="center"/>
          </w:tcPr>
          <w:p w14:paraId="18DB341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8" w:type="pct"/>
            <w:tcBorders>
              <w:top w:val="nil"/>
              <w:left w:val="nil"/>
              <w:bottom w:val="single" w:color="auto" w:sz="4" w:space="0"/>
              <w:right w:val="single" w:color="auto" w:sz="4" w:space="0"/>
            </w:tcBorders>
            <w:shd w:val="clear" w:color="auto" w:fill="auto"/>
            <w:noWrap/>
            <w:vAlign w:val="center"/>
          </w:tcPr>
          <w:p w14:paraId="2D8774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7FDE99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4165C1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6FB5F7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D7B4B6A">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8447B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130399</w:t>
            </w:r>
          </w:p>
        </w:tc>
        <w:tc>
          <w:tcPr>
            <w:tcW w:w="470" w:type="pct"/>
            <w:tcBorders>
              <w:top w:val="nil"/>
              <w:left w:val="nil"/>
              <w:bottom w:val="single" w:color="auto" w:sz="4" w:space="0"/>
              <w:right w:val="single" w:color="auto" w:sz="4" w:space="0"/>
            </w:tcBorders>
            <w:shd w:val="clear" w:color="000000" w:fill="FFFFFF"/>
            <w:noWrap/>
            <w:vAlign w:val="center"/>
          </w:tcPr>
          <w:p w14:paraId="371D1467">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其他水利支出</w:t>
            </w:r>
          </w:p>
        </w:tc>
        <w:tc>
          <w:tcPr>
            <w:tcW w:w="660" w:type="pct"/>
            <w:tcBorders>
              <w:top w:val="nil"/>
              <w:left w:val="nil"/>
              <w:bottom w:val="single" w:color="auto" w:sz="4" w:space="0"/>
              <w:right w:val="single" w:color="auto" w:sz="4" w:space="0"/>
            </w:tcBorders>
            <w:shd w:val="clear" w:color="auto" w:fill="auto"/>
            <w:noWrap/>
            <w:vAlign w:val="center"/>
          </w:tcPr>
          <w:p w14:paraId="3819091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9" w:type="pct"/>
            <w:tcBorders>
              <w:top w:val="nil"/>
              <w:left w:val="nil"/>
              <w:bottom w:val="single" w:color="auto" w:sz="4" w:space="0"/>
              <w:right w:val="single" w:color="auto" w:sz="4" w:space="0"/>
            </w:tcBorders>
            <w:shd w:val="clear" w:color="auto" w:fill="auto"/>
            <w:noWrap/>
            <w:vAlign w:val="center"/>
          </w:tcPr>
          <w:p w14:paraId="410DB04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709.96</w:t>
            </w:r>
          </w:p>
        </w:tc>
        <w:tc>
          <w:tcPr>
            <w:tcW w:w="468" w:type="pct"/>
            <w:tcBorders>
              <w:top w:val="nil"/>
              <w:left w:val="nil"/>
              <w:bottom w:val="single" w:color="auto" w:sz="4" w:space="0"/>
              <w:right w:val="single" w:color="auto" w:sz="4" w:space="0"/>
            </w:tcBorders>
            <w:shd w:val="clear" w:color="auto" w:fill="auto"/>
            <w:noWrap/>
            <w:vAlign w:val="center"/>
          </w:tcPr>
          <w:p w14:paraId="1AF08A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1C2CE8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27E471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D8033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54E3D1">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7C212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2750794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E24BE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956D9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791867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6CE358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5BB10E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7BC047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828121B">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483E2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6C322C0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69E83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B2060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2FD862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50A5428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3E9739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6E7F7A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547B7E">
        <w:tblPrEx>
          <w:tblCellMar>
            <w:top w:w="0" w:type="dxa"/>
            <w:left w:w="108" w:type="dxa"/>
            <w:bottom w:w="0" w:type="dxa"/>
            <w:right w:w="108" w:type="dxa"/>
          </w:tblCellMar>
        </w:tblPrEx>
        <w:trPr>
          <w:trHeight w:val="595" w:hRule="atLeast"/>
          <w:jc w:val="center"/>
        </w:trPr>
        <w:tc>
          <w:tcPr>
            <w:tcW w:w="85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91AD3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5EE984F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34B78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304B5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240D75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59" w:type="pct"/>
            <w:tcBorders>
              <w:top w:val="nil"/>
              <w:left w:val="nil"/>
              <w:bottom w:val="single" w:color="auto" w:sz="4" w:space="0"/>
              <w:right w:val="single" w:color="auto" w:sz="4" w:space="0"/>
            </w:tcBorders>
            <w:shd w:val="clear" w:color="auto" w:fill="auto"/>
            <w:noWrap/>
            <w:vAlign w:val="center"/>
          </w:tcPr>
          <w:p w14:paraId="6AE4F2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422543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578ED0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0FF8EE3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BD69FE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4" w:name="RANGE!A1:I22"/>
      <w:bookmarkEnd w:id="4"/>
      <w:bookmarkStart w:id="5"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20CD31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B97C2B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B0C085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0C9EFE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21"/>
        <w:gridCol w:w="2636"/>
        <w:gridCol w:w="616"/>
        <w:gridCol w:w="696"/>
        <w:gridCol w:w="1763"/>
        <w:gridCol w:w="1715"/>
        <w:gridCol w:w="1841"/>
      </w:tblGrid>
      <w:tr w14:paraId="5C0450BE">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3CB2A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82C98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311BB3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0756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EFC842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7803D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9CF15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1B7A14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F5076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734CF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91A8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8FD96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4B5B72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AEF7F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92BBD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2FC49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4F02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F7A16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3AD49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18225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71DF4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1F5FFA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CC028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76B9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84747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347685F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267.9</w:t>
            </w:r>
            <w:r>
              <w:rPr>
                <w:rFonts w:hint="eastAsia" w:ascii="Times New Roman" w:hAnsi="Times New Roman" w:eastAsia="仿宋_GB2312" w:cs="Times New Roman"/>
                <w:kern w:val="0"/>
                <w:sz w:val="22"/>
                <w:lang w:val="en-US" w:eastAsia="zh-CN"/>
              </w:rPr>
              <w:t>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42A8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77621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09E06A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4183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9A1C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499A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B24D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DE54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542AD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1FD83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3EAB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59EED0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0BC463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D24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4D1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19CCD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1A2B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964C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92864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DA1D46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6491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15384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19EEC3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D4B9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8EB0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4134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0A73E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218C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76D0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5300F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CBA1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74E8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8A6F9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5094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4B2F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8075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E453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B7CB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E39A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C9632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4B38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0DE62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0DE6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F841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85D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CEC8E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F683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5C3D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7E2E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1E044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4B40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2F3CFB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5C720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CC9C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5891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8841B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E738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C342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C5A7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44394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7A286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74DD3C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5EE9D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8400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590E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9C1A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CE0D8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2B7D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C4CB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9571E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3E6E0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color w:val="00000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21A96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08EF1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FD40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267.96</w:t>
            </w: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536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77F8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BC411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C3AE5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5E36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AB541B4">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b/>
                <w:bCs/>
                <w:kern w:val="0"/>
                <w:sz w:val="22"/>
                <w:lang w:val="en-US" w:eastAsia="zh-CN"/>
              </w:rPr>
              <w:t>267.96</w:t>
            </w: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763D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A71EA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F649E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EAA00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267.96</w:t>
            </w: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B11A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FE34D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A9D72E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443C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C1AE2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C6C6D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FB4F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A84FB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58510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716B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776B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580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8A88E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CD2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205BD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51175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042F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C42D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37978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CABE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F71F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F747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AA05C5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D10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35DAA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199A75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844E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A037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D0CB3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586E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954C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8715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8E6B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AF8E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46FA9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3D358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4C8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0CFD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53890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4F26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D481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F370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76F32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14D5A5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F4919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3BAA33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267.96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F48144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11861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ED48B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77CCEA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b/>
                <w:bCs/>
                <w:kern w:val="0"/>
                <w:sz w:val="22"/>
                <w:lang w:val="en-US" w:eastAsia="zh-CN"/>
              </w:rPr>
              <w:t>267.96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94E8F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605F0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8FE913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016BE7A">
      <w:pPr>
        <w:widowControl/>
        <w:jc w:val="center"/>
        <w:rPr>
          <w:rFonts w:ascii="Times New Roman" w:hAnsi="Times New Roman" w:eastAsia="方正小标宋_GBK" w:cs="Times New Roman"/>
          <w:kern w:val="0"/>
          <w:sz w:val="36"/>
          <w:szCs w:val="36"/>
        </w:rPr>
      </w:pPr>
    </w:p>
    <w:p w14:paraId="3AB5EB9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5"/>
    </w:p>
    <w:p w14:paraId="606941B0">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AE828E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0F703B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F21FE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84F8B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7E06709">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30C1D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38804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AB991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31B6D3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E4B798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2BEEBA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1960B7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B5CB4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C6B2C2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8F140D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F31E8BB">
            <w:pPr>
              <w:widowControl/>
              <w:jc w:val="left"/>
              <w:rPr>
                <w:rFonts w:ascii="Times New Roman" w:hAnsi="Times New Roman" w:eastAsia="仿宋_GB2312" w:cs="Times New Roman"/>
                <w:kern w:val="0"/>
                <w:szCs w:val="21"/>
              </w:rPr>
            </w:pPr>
          </w:p>
        </w:tc>
      </w:tr>
      <w:tr w14:paraId="2CEA56C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8E8464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FAFCD1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7743AF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FC16F6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5F6AD6F">
            <w:pPr>
              <w:widowControl/>
              <w:jc w:val="left"/>
              <w:rPr>
                <w:rFonts w:ascii="Times New Roman" w:hAnsi="Times New Roman" w:eastAsia="仿宋_GB2312" w:cs="Times New Roman"/>
                <w:kern w:val="0"/>
                <w:szCs w:val="21"/>
              </w:rPr>
            </w:pPr>
          </w:p>
        </w:tc>
      </w:tr>
      <w:tr w14:paraId="06882CE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2DA89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4A604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1A8DD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02D3C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0888D0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AAE5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97251B3">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lang w:val="en-US" w:eastAsia="zh-CN"/>
              </w:rPr>
              <w:t>267.96</w:t>
            </w:r>
          </w:p>
        </w:tc>
        <w:tc>
          <w:tcPr>
            <w:tcW w:w="3492" w:type="dxa"/>
            <w:tcBorders>
              <w:top w:val="nil"/>
              <w:left w:val="nil"/>
              <w:bottom w:val="single" w:color="auto" w:sz="4" w:space="0"/>
              <w:right w:val="single" w:color="auto" w:sz="4" w:space="0"/>
            </w:tcBorders>
            <w:shd w:val="clear" w:color="auto" w:fill="auto"/>
            <w:vAlign w:val="center"/>
          </w:tcPr>
          <w:p w14:paraId="720347DD">
            <w:pPr>
              <w:widowControl/>
              <w:tabs>
                <w:tab w:val="left" w:pos="277"/>
                <w:tab w:val="center" w:pos="1803"/>
              </w:tabs>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lang w:val="en-US" w:eastAsia="zh-CN"/>
              </w:rPr>
              <w:t>267.96</w:t>
            </w:r>
          </w:p>
        </w:tc>
        <w:tc>
          <w:tcPr>
            <w:tcW w:w="3000" w:type="dxa"/>
            <w:tcBorders>
              <w:top w:val="nil"/>
              <w:left w:val="nil"/>
              <w:bottom w:val="single" w:color="auto" w:sz="4" w:space="0"/>
              <w:right w:val="single" w:color="auto" w:sz="8" w:space="0"/>
            </w:tcBorders>
            <w:shd w:val="clear" w:color="auto" w:fill="auto"/>
            <w:vAlign w:val="center"/>
          </w:tcPr>
          <w:p w14:paraId="351415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1AAEA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EBFF4EA">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w:t>
            </w:r>
          </w:p>
        </w:tc>
        <w:tc>
          <w:tcPr>
            <w:tcW w:w="3527" w:type="dxa"/>
            <w:tcBorders>
              <w:top w:val="nil"/>
              <w:left w:val="nil"/>
              <w:bottom w:val="single" w:color="auto" w:sz="4" w:space="0"/>
              <w:right w:val="single" w:color="auto" w:sz="4" w:space="0"/>
            </w:tcBorders>
            <w:shd w:val="clear" w:color="000000" w:fill="FFFFFF"/>
            <w:vAlign w:val="center"/>
          </w:tcPr>
          <w:p w14:paraId="2FC8572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农林水支出</w:t>
            </w:r>
          </w:p>
        </w:tc>
        <w:tc>
          <w:tcPr>
            <w:tcW w:w="3000" w:type="dxa"/>
            <w:tcBorders>
              <w:top w:val="nil"/>
              <w:left w:val="nil"/>
              <w:bottom w:val="single" w:color="auto" w:sz="4" w:space="0"/>
              <w:right w:val="single" w:color="auto" w:sz="4" w:space="0"/>
            </w:tcBorders>
            <w:shd w:val="clear" w:color="auto" w:fill="auto"/>
            <w:vAlign w:val="center"/>
          </w:tcPr>
          <w:p w14:paraId="4961DD9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492" w:type="dxa"/>
            <w:tcBorders>
              <w:top w:val="nil"/>
              <w:left w:val="nil"/>
              <w:bottom w:val="single" w:color="auto" w:sz="4" w:space="0"/>
              <w:right w:val="single" w:color="auto" w:sz="4" w:space="0"/>
            </w:tcBorders>
            <w:shd w:val="clear" w:color="auto" w:fill="auto"/>
            <w:vAlign w:val="center"/>
          </w:tcPr>
          <w:p w14:paraId="6F18BEA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000" w:type="dxa"/>
            <w:tcBorders>
              <w:top w:val="nil"/>
              <w:left w:val="nil"/>
              <w:bottom w:val="single" w:color="auto" w:sz="4" w:space="0"/>
              <w:right w:val="single" w:color="auto" w:sz="8" w:space="0"/>
            </w:tcBorders>
            <w:shd w:val="clear" w:color="auto" w:fill="auto"/>
            <w:vAlign w:val="center"/>
          </w:tcPr>
          <w:p w14:paraId="3A9C71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8A622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D9626A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w:t>
            </w:r>
          </w:p>
        </w:tc>
        <w:tc>
          <w:tcPr>
            <w:tcW w:w="3527" w:type="dxa"/>
            <w:tcBorders>
              <w:top w:val="nil"/>
              <w:left w:val="nil"/>
              <w:bottom w:val="single" w:color="auto" w:sz="4" w:space="0"/>
              <w:right w:val="single" w:color="auto" w:sz="4" w:space="0"/>
            </w:tcBorders>
            <w:shd w:val="clear" w:color="000000" w:fill="FFFFFF"/>
            <w:vAlign w:val="center"/>
          </w:tcPr>
          <w:p w14:paraId="0B6D36E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水利</w:t>
            </w:r>
          </w:p>
        </w:tc>
        <w:tc>
          <w:tcPr>
            <w:tcW w:w="3000" w:type="dxa"/>
            <w:tcBorders>
              <w:top w:val="nil"/>
              <w:left w:val="nil"/>
              <w:bottom w:val="single" w:color="auto" w:sz="4" w:space="0"/>
              <w:right w:val="single" w:color="auto" w:sz="4" w:space="0"/>
            </w:tcBorders>
            <w:shd w:val="clear" w:color="auto" w:fill="auto"/>
            <w:vAlign w:val="center"/>
          </w:tcPr>
          <w:p w14:paraId="77CCF8E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492" w:type="dxa"/>
            <w:tcBorders>
              <w:top w:val="nil"/>
              <w:left w:val="nil"/>
              <w:bottom w:val="single" w:color="auto" w:sz="4" w:space="0"/>
              <w:right w:val="single" w:color="auto" w:sz="4" w:space="0"/>
            </w:tcBorders>
            <w:shd w:val="clear" w:color="auto" w:fill="auto"/>
            <w:vAlign w:val="center"/>
          </w:tcPr>
          <w:p w14:paraId="15D4D27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000" w:type="dxa"/>
            <w:tcBorders>
              <w:top w:val="nil"/>
              <w:left w:val="nil"/>
              <w:bottom w:val="single" w:color="auto" w:sz="4" w:space="0"/>
              <w:right w:val="single" w:color="auto" w:sz="8" w:space="0"/>
            </w:tcBorders>
            <w:shd w:val="clear" w:color="auto" w:fill="auto"/>
            <w:vAlign w:val="center"/>
          </w:tcPr>
          <w:p w14:paraId="123162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D1529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36DBC5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w:t>
            </w:r>
            <w:r>
              <w:rPr>
                <w:rFonts w:ascii="Times New Roman" w:hAnsi="Times New Roman" w:eastAsia="仿宋_GB2312" w:cs="Times New Roman"/>
              </w:rPr>
              <w:t>130399</w:t>
            </w:r>
          </w:p>
        </w:tc>
        <w:tc>
          <w:tcPr>
            <w:tcW w:w="3527" w:type="dxa"/>
            <w:tcBorders>
              <w:top w:val="nil"/>
              <w:left w:val="nil"/>
              <w:bottom w:val="single" w:color="auto" w:sz="4" w:space="0"/>
              <w:right w:val="single" w:color="auto" w:sz="4" w:space="0"/>
            </w:tcBorders>
            <w:shd w:val="clear" w:color="000000" w:fill="FFFFFF"/>
            <w:vAlign w:val="center"/>
          </w:tcPr>
          <w:p w14:paraId="616B2D58">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其他水利支出</w:t>
            </w:r>
          </w:p>
        </w:tc>
        <w:tc>
          <w:tcPr>
            <w:tcW w:w="3000" w:type="dxa"/>
            <w:tcBorders>
              <w:top w:val="nil"/>
              <w:left w:val="nil"/>
              <w:bottom w:val="single" w:color="auto" w:sz="4" w:space="0"/>
              <w:right w:val="single" w:color="auto" w:sz="4" w:space="0"/>
            </w:tcBorders>
            <w:shd w:val="clear" w:color="auto" w:fill="auto"/>
            <w:vAlign w:val="center"/>
          </w:tcPr>
          <w:p w14:paraId="59ED2D5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492" w:type="dxa"/>
            <w:tcBorders>
              <w:top w:val="nil"/>
              <w:left w:val="nil"/>
              <w:bottom w:val="single" w:color="auto" w:sz="4" w:space="0"/>
              <w:right w:val="single" w:color="auto" w:sz="4" w:space="0"/>
            </w:tcBorders>
            <w:shd w:val="clear" w:color="auto" w:fill="auto"/>
            <w:vAlign w:val="center"/>
          </w:tcPr>
          <w:p w14:paraId="5AA7CB1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267.96</w:t>
            </w:r>
          </w:p>
        </w:tc>
        <w:tc>
          <w:tcPr>
            <w:tcW w:w="3000" w:type="dxa"/>
            <w:tcBorders>
              <w:top w:val="nil"/>
              <w:left w:val="nil"/>
              <w:bottom w:val="single" w:color="auto" w:sz="4" w:space="0"/>
              <w:right w:val="single" w:color="auto" w:sz="8" w:space="0"/>
            </w:tcBorders>
            <w:shd w:val="clear" w:color="auto" w:fill="auto"/>
            <w:vAlign w:val="center"/>
          </w:tcPr>
          <w:p w14:paraId="077CB61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9B154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FE09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380DB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3F5E4AD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C003E6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5A36BD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9985A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FDFE6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EF1EF3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6738B0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503013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EB2C64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E6512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90260D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2E76E0D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9A090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0E3183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121B929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177D483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DD78145">
      <w:pPr>
        <w:widowControl/>
        <w:jc w:val="left"/>
        <w:rPr>
          <w:rFonts w:ascii="Times New Roman" w:hAnsi="Times New Roman" w:eastAsia="仿宋_GB2312" w:cs="Times New Roman"/>
          <w:bCs/>
          <w:kern w:val="0"/>
          <w:szCs w:val="21"/>
        </w:rPr>
      </w:pPr>
    </w:p>
    <w:p w14:paraId="6A4EDA9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6A7F3AD7">
      <w:pPr>
        <w:widowControl/>
        <w:spacing w:after="120"/>
        <w:jc w:val="center"/>
        <w:textAlignment w:val="center"/>
        <w:rPr>
          <w:rFonts w:ascii="Times New Roman" w:hAnsi="Times New Roman" w:eastAsia="黑体" w:cs="Times New Roman"/>
          <w:color w:val="000000"/>
          <w:kern w:val="0"/>
          <w:sz w:val="36"/>
          <w:szCs w:val="36"/>
          <w:lang w:bidi="ar"/>
        </w:rPr>
      </w:pPr>
      <w:bookmarkStart w:id="6" w:name="RANGE!A1:I34"/>
      <w:r>
        <w:rPr>
          <w:rFonts w:ascii="Times New Roman" w:hAnsi="Times New Roman" w:eastAsia="黑体" w:cs="Times New Roman"/>
          <w:color w:val="000000"/>
          <w:kern w:val="0"/>
          <w:sz w:val="36"/>
          <w:szCs w:val="36"/>
          <w:lang w:bidi="ar"/>
        </w:rPr>
        <w:t>一般公共预算财政拨款基本支出决算明细表</w:t>
      </w:r>
      <w:bookmarkEnd w:id="6"/>
    </w:p>
    <w:p w14:paraId="567FA40B">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04BF601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F82EA9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75D9F1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AA356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EF09F4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41DBF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7B538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399A19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E80CA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F4F08E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64671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04BEA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810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1B1F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BCEE18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253.02</w:t>
            </w:r>
          </w:p>
        </w:tc>
        <w:tc>
          <w:tcPr>
            <w:tcW w:w="1116" w:type="dxa"/>
            <w:tcBorders>
              <w:top w:val="nil"/>
              <w:left w:val="nil"/>
              <w:bottom w:val="single" w:color="auto" w:sz="4" w:space="0"/>
              <w:right w:val="single" w:color="auto" w:sz="4" w:space="0"/>
            </w:tcBorders>
            <w:shd w:val="clear" w:color="auto" w:fill="auto"/>
            <w:noWrap/>
            <w:vAlign w:val="center"/>
          </w:tcPr>
          <w:p w14:paraId="45997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0817B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51D6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B7079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3A3D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3E5EC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3930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16C4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5121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FC4EB2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177.54</w:t>
            </w:r>
          </w:p>
        </w:tc>
        <w:tc>
          <w:tcPr>
            <w:tcW w:w="1116" w:type="dxa"/>
            <w:tcBorders>
              <w:top w:val="nil"/>
              <w:left w:val="nil"/>
              <w:bottom w:val="single" w:color="auto" w:sz="4" w:space="0"/>
              <w:right w:val="single" w:color="auto" w:sz="4" w:space="0"/>
            </w:tcBorders>
            <w:shd w:val="clear" w:color="auto" w:fill="auto"/>
            <w:noWrap/>
            <w:vAlign w:val="center"/>
          </w:tcPr>
          <w:p w14:paraId="7A834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E59E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A25AE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092A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CBE4B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6B33A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28A2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AC94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DDF9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EEBF88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3AFC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9A5D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4209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A7F5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5A56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EEAD1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B4C4C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EB2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1956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6664C1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55.85</w:t>
            </w:r>
          </w:p>
        </w:tc>
        <w:tc>
          <w:tcPr>
            <w:tcW w:w="1116" w:type="dxa"/>
            <w:tcBorders>
              <w:top w:val="nil"/>
              <w:left w:val="nil"/>
              <w:bottom w:val="single" w:color="auto" w:sz="4" w:space="0"/>
              <w:right w:val="single" w:color="auto" w:sz="4" w:space="0"/>
            </w:tcBorders>
            <w:shd w:val="clear" w:color="auto" w:fill="auto"/>
            <w:noWrap/>
            <w:vAlign w:val="center"/>
          </w:tcPr>
          <w:p w14:paraId="1A08D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D69B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1937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237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BF8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643D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38CA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658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5910C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4F6AE2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26E1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186BD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8D2A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EEC6B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85E14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592A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ECC4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669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139A6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E5ABE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4BB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1955E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77F5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9737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78D98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9D645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F2F0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E02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A5EB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D10E84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0E8A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240F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8630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8ED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1242A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B46E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B5B9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6E8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11224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B5C493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69CFD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1163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DE92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D3A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15A2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A3AA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9B26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23A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BE6A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619FF1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B9AB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D7CF7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5A37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D22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0C3A3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2809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41B8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CEB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DE60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D73BC9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47B1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8B64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0EF4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8E0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BAE5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CB23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CE84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7EA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44D9A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A25FD8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181E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8FB6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3968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B351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7735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26362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9F819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1619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96774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F0C5B2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19.63</w:t>
            </w:r>
          </w:p>
        </w:tc>
        <w:tc>
          <w:tcPr>
            <w:tcW w:w="1116" w:type="dxa"/>
            <w:tcBorders>
              <w:top w:val="nil"/>
              <w:left w:val="nil"/>
              <w:bottom w:val="single" w:color="auto" w:sz="4" w:space="0"/>
              <w:right w:val="single" w:color="auto" w:sz="4" w:space="0"/>
            </w:tcBorders>
            <w:shd w:val="clear" w:color="auto" w:fill="auto"/>
            <w:noWrap/>
            <w:vAlign w:val="center"/>
          </w:tcPr>
          <w:p w14:paraId="5B2E10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83D4D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3B98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0E2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27044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637BF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667A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312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0BAD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155293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C7EEA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82F3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CE94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E16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9A0C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E067D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5BCA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EEE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463E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19FCE8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0E1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D68DB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1DB2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B3B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E50E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2466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F86F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7488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76C95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02CDB6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14.94</w:t>
            </w:r>
          </w:p>
        </w:tc>
        <w:tc>
          <w:tcPr>
            <w:tcW w:w="1116" w:type="dxa"/>
            <w:tcBorders>
              <w:top w:val="nil"/>
              <w:left w:val="nil"/>
              <w:bottom w:val="single" w:color="auto" w:sz="4" w:space="0"/>
              <w:right w:val="single" w:color="auto" w:sz="4" w:space="0"/>
            </w:tcBorders>
            <w:shd w:val="clear" w:color="auto" w:fill="auto"/>
            <w:noWrap/>
            <w:vAlign w:val="center"/>
          </w:tcPr>
          <w:p w14:paraId="1B74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49A6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295D9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D04E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3642F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FF49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6363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5D8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FA41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9717C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FE9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6CC0B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2BDA4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6EAA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0E45A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41D02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009B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7A66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770E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C5A027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6D7E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A87C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7C0F1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C86E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5CEDE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C49C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A398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49BB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AE0E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DBB19C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DFA6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B1E89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A878E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67F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0F0A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6C0F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7574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3201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B1C2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2F726B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9386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649FB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D1507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C16C5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E5FB1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1296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17C2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760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046F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0CE9BC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B0BD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BD6E1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E4B15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F703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7C0255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68C1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20B6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A74D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1D2B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E1B827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C97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C1AF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875E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351D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2801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210C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1435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892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F6D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093560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2C01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93CD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EA016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3768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EA5D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23AB4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3CA7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48F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40FA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90DEDD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AE4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BBA1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02CB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B9E2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E8B4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7F3B9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2144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A6F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413C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3F83258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988A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27FA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7E7C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48E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DF1A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1D402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8122113">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1812A6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E3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63A2BE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91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DC60359">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744DE46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6C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3CA27B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C0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A6E114C">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C87E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F2EF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163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B7B7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AECA28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10A8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A5B75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104B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53861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2CF98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F00D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9310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3E8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CAB09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D0990F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AAC0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E49E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922B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4E5C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2071C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37CA1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570A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E59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2B65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D32AD9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14.94</w:t>
            </w:r>
          </w:p>
        </w:tc>
        <w:tc>
          <w:tcPr>
            <w:tcW w:w="1116" w:type="dxa"/>
            <w:tcBorders>
              <w:top w:val="nil"/>
              <w:left w:val="nil"/>
              <w:bottom w:val="single" w:color="auto" w:sz="4" w:space="0"/>
              <w:right w:val="single" w:color="auto" w:sz="4" w:space="0"/>
            </w:tcBorders>
            <w:shd w:val="clear" w:color="auto" w:fill="auto"/>
            <w:noWrap/>
            <w:vAlign w:val="center"/>
          </w:tcPr>
          <w:p w14:paraId="5ED20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E7CE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A6CCF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C689C3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DDFB10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2546F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4CD7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285A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EC99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8195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BFD9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0DB2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CCBC4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84114A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8636F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B12B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212B4D">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474E7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723973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b/>
                <w:bCs/>
                <w:color w:val="000000"/>
                <w:kern w:val="0"/>
                <w:szCs w:val="20"/>
                <w:lang w:val="en-US" w:eastAsia="zh-CN"/>
              </w:rPr>
              <w:t>267.96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C91A61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9519ED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1813A9DA">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EB63196">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7C1365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DD7C64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EE9C24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BE71E2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5D0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929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634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E97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35B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EE1D576">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8B8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515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ABA9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2FFE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9F8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AD6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F6D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32E63">
            <w:pPr>
              <w:widowControl/>
              <w:jc w:val="center"/>
              <w:rPr>
                <w:rFonts w:ascii="Times New Roman" w:hAnsi="Times New Roman" w:eastAsia="仿宋_GB2312" w:cs="Times New Roman"/>
                <w:color w:val="000000"/>
                <w:sz w:val="24"/>
                <w:szCs w:val="24"/>
              </w:rPr>
            </w:pPr>
          </w:p>
        </w:tc>
      </w:tr>
      <w:tr w14:paraId="724DFDD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DD86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79C7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204D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E240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A55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75B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8A7F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17EB0">
            <w:pPr>
              <w:jc w:val="center"/>
              <w:rPr>
                <w:rFonts w:ascii="Times New Roman" w:hAnsi="Times New Roman" w:eastAsia="仿宋_GB2312" w:cs="Times New Roman"/>
                <w:color w:val="000000"/>
                <w:sz w:val="24"/>
                <w:szCs w:val="24"/>
              </w:rPr>
            </w:pPr>
          </w:p>
        </w:tc>
      </w:tr>
      <w:tr w14:paraId="328E42C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FEE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06FF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3225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9B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090A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CDC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2AAE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DBCA7">
            <w:pPr>
              <w:jc w:val="center"/>
              <w:rPr>
                <w:rFonts w:ascii="Times New Roman" w:hAnsi="Times New Roman" w:eastAsia="仿宋_GB2312" w:cs="Times New Roman"/>
                <w:color w:val="000000"/>
                <w:sz w:val="24"/>
                <w:szCs w:val="24"/>
              </w:rPr>
            </w:pPr>
          </w:p>
        </w:tc>
      </w:tr>
      <w:tr w14:paraId="5609967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85B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EE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A4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69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93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4D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33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30055D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872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CC8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FCB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A3E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7B9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ABA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FF49">
            <w:pPr>
              <w:jc w:val="center"/>
              <w:rPr>
                <w:rFonts w:ascii="Times New Roman" w:hAnsi="Times New Roman" w:eastAsia="仿宋_GB2312" w:cs="Times New Roman"/>
                <w:color w:val="000000"/>
                <w:sz w:val="24"/>
                <w:szCs w:val="24"/>
              </w:rPr>
            </w:pPr>
          </w:p>
        </w:tc>
      </w:tr>
      <w:tr w14:paraId="47881C7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F85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D4B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5CF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8E5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A8A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FD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08D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59C6">
            <w:pPr>
              <w:rPr>
                <w:rFonts w:ascii="Times New Roman" w:hAnsi="Times New Roman" w:eastAsia="仿宋_GB2312" w:cs="Times New Roman"/>
                <w:color w:val="000000"/>
                <w:sz w:val="24"/>
                <w:szCs w:val="24"/>
              </w:rPr>
            </w:pPr>
          </w:p>
        </w:tc>
      </w:tr>
      <w:tr w14:paraId="075AB98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985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C7A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6A4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1FB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BE8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427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42E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0016">
            <w:pPr>
              <w:rPr>
                <w:rFonts w:ascii="Times New Roman" w:hAnsi="Times New Roman" w:eastAsia="仿宋_GB2312" w:cs="Times New Roman"/>
                <w:color w:val="000000"/>
                <w:sz w:val="24"/>
                <w:szCs w:val="24"/>
              </w:rPr>
            </w:pPr>
          </w:p>
        </w:tc>
      </w:tr>
      <w:tr w14:paraId="74E5C09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421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DD0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95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04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54B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90D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811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D29E">
            <w:pPr>
              <w:rPr>
                <w:rFonts w:ascii="Times New Roman" w:hAnsi="Times New Roman" w:eastAsia="仿宋_GB2312" w:cs="Times New Roman"/>
                <w:color w:val="000000"/>
                <w:sz w:val="24"/>
                <w:szCs w:val="24"/>
              </w:rPr>
            </w:pPr>
          </w:p>
        </w:tc>
      </w:tr>
      <w:tr w14:paraId="006BC4C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334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DF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E2F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FE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E8C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EC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D54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9593">
            <w:pPr>
              <w:rPr>
                <w:rFonts w:ascii="Times New Roman" w:hAnsi="Times New Roman" w:eastAsia="仿宋_GB2312" w:cs="Times New Roman"/>
                <w:color w:val="000000"/>
                <w:sz w:val="24"/>
                <w:szCs w:val="24"/>
              </w:rPr>
            </w:pPr>
          </w:p>
        </w:tc>
      </w:tr>
      <w:tr w14:paraId="247542E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D1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81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854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193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3DE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53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7F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6320">
            <w:pPr>
              <w:rPr>
                <w:rFonts w:ascii="Times New Roman" w:hAnsi="Times New Roman" w:eastAsia="仿宋_GB2312" w:cs="Times New Roman"/>
                <w:color w:val="000000"/>
                <w:sz w:val="24"/>
                <w:szCs w:val="24"/>
              </w:rPr>
            </w:pPr>
          </w:p>
        </w:tc>
      </w:tr>
      <w:tr w14:paraId="14CD143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DE3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A1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6BE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C49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BED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18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1B5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B702">
            <w:pPr>
              <w:rPr>
                <w:rFonts w:ascii="Times New Roman" w:hAnsi="Times New Roman" w:eastAsia="仿宋_GB2312" w:cs="Times New Roman"/>
                <w:color w:val="000000"/>
                <w:sz w:val="24"/>
                <w:szCs w:val="24"/>
              </w:rPr>
            </w:pPr>
          </w:p>
        </w:tc>
      </w:tr>
    </w:tbl>
    <w:p w14:paraId="70EB96A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7F4AF2C">
      <w:pPr>
        <w:widowControl/>
        <w:jc w:val="left"/>
        <w:textAlignment w:val="center"/>
        <w:rPr>
          <w:rFonts w:ascii="Times New Roman" w:hAnsi="Times New Roman" w:eastAsia="仿宋_GB2312" w:cs="Times New Roman"/>
          <w:color w:val="000000"/>
          <w:kern w:val="0"/>
          <w:sz w:val="24"/>
          <w:szCs w:val="24"/>
          <w:lang w:bidi="ar"/>
        </w:rPr>
      </w:pPr>
    </w:p>
    <w:p w14:paraId="08B1BA2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47B233B">
      <w:pPr>
        <w:widowControl/>
        <w:jc w:val="center"/>
        <w:rPr>
          <w:rFonts w:ascii="Times New Roman" w:hAnsi="Times New Roman" w:eastAsia="方正小标宋_GBK" w:cs="Times New Roman"/>
          <w:color w:val="000000"/>
          <w:kern w:val="0"/>
          <w:sz w:val="36"/>
          <w:szCs w:val="36"/>
        </w:rPr>
      </w:pPr>
    </w:p>
    <w:p w14:paraId="29BF6703">
      <w:pPr>
        <w:widowControl/>
        <w:spacing w:line="400" w:lineRule="exact"/>
        <w:textAlignment w:val="center"/>
        <w:rPr>
          <w:rFonts w:ascii="Times New Roman" w:hAnsi="Times New Roman" w:eastAsia="黑体" w:cs="Times New Roman"/>
          <w:color w:val="000000"/>
          <w:kern w:val="0"/>
          <w:sz w:val="36"/>
          <w:szCs w:val="36"/>
          <w:lang w:bidi="ar"/>
        </w:rPr>
      </w:pPr>
    </w:p>
    <w:p w14:paraId="59C4C90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9D3553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F282F8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FE1ACB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3EF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BE9F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A9C69F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D9A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6A0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5AC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FCE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76C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A1B68A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4651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3685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3A69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28D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04361">
            <w:pPr>
              <w:jc w:val="center"/>
              <w:rPr>
                <w:rFonts w:ascii="Times New Roman" w:hAnsi="Times New Roman" w:eastAsia="仿宋_GB2312" w:cs="Times New Roman"/>
                <w:color w:val="000000"/>
                <w:sz w:val="24"/>
                <w:szCs w:val="24"/>
              </w:rPr>
            </w:pPr>
          </w:p>
        </w:tc>
      </w:tr>
      <w:tr w14:paraId="59C716D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3552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6F53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D554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E71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85CE">
            <w:pPr>
              <w:jc w:val="center"/>
              <w:rPr>
                <w:rFonts w:ascii="Times New Roman" w:hAnsi="Times New Roman" w:eastAsia="仿宋_GB2312" w:cs="Times New Roman"/>
                <w:color w:val="000000"/>
                <w:sz w:val="24"/>
                <w:szCs w:val="24"/>
              </w:rPr>
            </w:pPr>
          </w:p>
        </w:tc>
      </w:tr>
      <w:tr w14:paraId="709FC09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DDF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9F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F1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E7A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9A0492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F7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1A6B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D6C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9D3B1">
            <w:pPr>
              <w:jc w:val="center"/>
              <w:rPr>
                <w:rFonts w:ascii="Times New Roman" w:hAnsi="Times New Roman" w:eastAsia="仿宋_GB2312" w:cs="Times New Roman"/>
                <w:color w:val="000000"/>
                <w:sz w:val="24"/>
                <w:szCs w:val="24"/>
              </w:rPr>
            </w:pPr>
          </w:p>
        </w:tc>
      </w:tr>
      <w:tr w14:paraId="6208476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DA7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A4F2">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EF53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69AD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70D2">
            <w:pPr>
              <w:rPr>
                <w:rFonts w:ascii="Times New Roman" w:hAnsi="Times New Roman" w:eastAsia="仿宋_GB2312" w:cs="Times New Roman"/>
                <w:color w:val="000000"/>
                <w:sz w:val="24"/>
                <w:szCs w:val="24"/>
              </w:rPr>
            </w:pPr>
          </w:p>
        </w:tc>
      </w:tr>
      <w:tr w14:paraId="02D80F6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0E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BF4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CBB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DE4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C68A">
            <w:pPr>
              <w:rPr>
                <w:rFonts w:ascii="Times New Roman" w:hAnsi="Times New Roman" w:eastAsia="仿宋_GB2312" w:cs="Times New Roman"/>
                <w:color w:val="000000"/>
                <w:sz w:val="24"/>
                <w:szCs w:val="24"/>
              </w:rPr>
            </w:pPr>
          </w:p>
        </w:tc>
      </w:tr>
      <w:tr w14:paraId="6479FAB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E1A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00F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B03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3DA0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3F02">
            <w:pPr>
              <w:rPr>
                <w:rFonts w:ascii="Times New Roman" w:hAnsi="Times New Roman" w:eastAsia="宋体" w:cs="Times New Roman"/>
                <w:color w:val="000000"/>
                <w:sz w:val="24"/>
                <w:szCs w:val="24"/>
              </w:rPr>
            </w:pPr>
          </w:p>
        </w:tc>
      </w:tr>
      <w:tr w14:paraId="18FD930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7BD5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66C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D5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663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81A9">
            <w:pPr>
              <w:rPr>
                <w:rFonts w:ascii="Times New Roman" w:hAnsi="Times New Roman" w:eastAsia="宋体" w:cs="Times New Roman"/>
                <w:color w:val="000000"/>
                <w:sz w:val="24"/>
                <w:szCs w:val="24"/>
              </w:rPr>
            </w:pPr>
          </w:p>
        </w:tc>
      </w:tr>
      <w:tr w14:paraId="7CA4AF6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D7E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9D3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1F1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E36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191C">
            <w:pPr>
              <w:rPr>
                <w:rFonts w:ascii="Times New Roman" w:hAnsi="Times New Roman" w:eastAsia="宋体" w:cs="Times New Roman"/>
                <w:color w:val="000000"/>
                <w:sz w:val="24"/>
                <w:szCs w:val="24"/>
              </w:rPr>
            </w:pPr>
          </w:p>
        </w:tc>
      </w:tr>
      <w:tr w14:paraId="00DFD9B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AC3C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8F3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D6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A8E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AB37">
            <w:pPr>
              <w:rPr>
                <w:rFonts w:ascii="Times New Roman" w:hAnsi="Times New Roman" w:eastAsia="宋体" w:cs="Times New Roman"/>
                <w:color w:val="000000"/>
                <w:sz w:val="24"/>
                <w:szCs w:val="24"/>
              </w:rPr>
            </w:pPr>
          </w:p>
        </w:tc>
      </w:tr>
    </w:tbl>
    <w:p w14:paraId="159EFD0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FC320C6">
      <w:pPr>
        <w:widowControl/>
        <w:jc w:val="left"/>
        <w:textAlignment w:val="center"/>
        <w:rPr>
          <w:rFonts w:ascii="Times New Roman" w:hAnsi="Times New Roman" w:eastAsia="宋体" w:cs="Times New Roman"/>
          <w:color w:val="000000"/>
          <w:kern w:val="0"/>
          <w:sz w:val="24"/>
          <w:szCs w:val="24"/>
          <w:lang w:bidi="ar"/>
        </w:rPr>
      </w:pPr>
    </w:p>
    <w:p w14:paraId="046843D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6925697">
      <w:pPr>
        <w:widowControl/>
        <w:jc w:val="center"/>
        <w:rPr>
          <w:rFonts w:ascii="Times New Roman" w:hAnsi="Times New Roman" w:eastAsia="方正小标宋_GBK" w:cs="Times New Roman"/>
          <w:color w:val="000000"/>
          <w:kern w:val="0"/>
          <w:sz w:val="36"/>
          <w:szCs w:val="36"/>
        </w:rPr>
      </w:pPr>
    </w:p>
    <w:p w14:paraId="7D15ADEE">
      <w:pPr>
        <w:pStyle w:val="8"/>
        <w:spacing w:line="400" w:lineRule="exact"/>
        <w:rPr>
          <w:rFonts w:ascii="Times New Roman" w:hAnsi="Times New Roman" w:eastAsia="华文中宋" w:cs="Times New Roman"/>
          <w:color w:val="000000"/>
          <w:kern w:val="0"/>
          <w:sz w:val="32"/>
          <w:szCs w:val="32"/>
          <w:lang w:bidi="ar"/>
        </w:rPr>
      </w:pPr>
    </w:p>
    <w:p w14:paraId="2CEDE1C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E96E6A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66AE19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BA5167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A38F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816A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60D5161">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4C1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E9CE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ACB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3FD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547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53D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222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765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607C20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CFF3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7153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BA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2AC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C0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AFFE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50C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B51F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70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63D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5D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E973">
            <w:pPr>
              <w:jc w:val="center"/>
              <w:rPr>
                <w:rFonts w:ascii="Times New Roman" w:hAnsi="Times New Roman" w:eastAsia="仿宋_GB2312" w:cs="Times New Roman"/>
                <w:color w:val="000000"/>
                <w:sz w:val="22"/>
              </w:rPr>
            </w:pPr>
          </w:p>
        </w:tc>
      </w:tr>
      <w:tr w14:paraId="3C7C034F">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E2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6C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A4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C6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35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9F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50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2D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47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BA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761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B31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F27088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831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0C1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4D291">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F797">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43641">
            <w:pPr>
              <w:jc w:val="cente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429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6B99">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60C0D">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73C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FE3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4BE8">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27D2">
            <w:pPr>
              <w:rPr>
                <w:rFonts w:ascii="Times New Roman" w:hAnsi="Times New Roman" w:eastAsia="仿宋_GB2312" w:cs="Times New Roman"/>
                <w:color w:val="000000"/>
                <w:sz w:val="22"/>
              </w:rPr>
            </w:pPr>
          </w:p>
        </w:tc>
      </w:tr>
    </w:tbl>
    <w:p w14:paraId="1067182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F6DF91A">
      <w:pPr>
        <w:autoSpaceDE w:val="0"/>
        <w:autoSpaceDN w:val="0"/>
        <w:adjustRightInd w:val="0"/>
        <w:ind w:left="315" w:leftChars="150"/>
        <w:jc w:val="left"/>
        <w:rPr>
          <w:rFonts w:ascii="Times New Roman" w:hAnsi="Times New Roman" w:eastAsia="宋体" w:cs="Times New Roman"/>
          <w:kern w:val="0"/>
          <w:sz w:val="24"/>
          <w:szCs w:val="24"/>
        </w:rPr>
      </w:pPr>
    </w:p>
    <w:p w14:paraId="234C24C7">
      <w:pPr>
        <w:autoSpaceDE w:val="0"/>
        <w:autoSpaceDN w:val="0"/>
        <w:adjustRightInd w:val="0"/>
        <w:ind w:left="315" w:leftChars="150"/>
        <w:jc w:val="left"/>
        <w:rPr>
          <w:rFonts w:ascii="Times New Roman" w:hAnsi="Times New Roman" w:eastAsia="宋体" w:cs="Times New Roman"/>
          <w:kern w:val="0"/>
          <w:sz w:val="24"/>
          <w:szCs w:val="24"/>
        </w:rPr>
      </w:pPr>
    </w:p>
    <w:p w14:paraId="5D061E99">
      <w:pPr>
        <w:autoSpaceDE w:val="0"/>
        <w:autoSpaceDN w:val="0"/>
        <w:adjustRightInd w:val="0"/>
        <w:ind w:left="315" w:leftChars="150"/>
        <w:jc w:val="left"/>
        <w:rPr>
          <w:rFonts w:ascii="Times New Roman" w:hAnsi="Times New Roman" w:eastAsia="宋体" w:cs="Times New Roman"/>
          <w:kern w:val="0"/>
          <w:sz w:val="24"/>
          <w:szCs w:val="24"/>
        </w:rPr>
      </w:pPr>
    </w:p>
    <w:p w14:paraId="3E5C0CD6">
      <w:pPr>
        <w:autoSpaceDE w:val="0"/>
        <w:autoSpaceDN w:val="0"/>
        <w:adjustRightInd w:val="0"/>
        <w:ind w:left="315" w:leftChars="150"/>
        <w:jc w:val="left"/>
        <w:rPr>
          <w:rFonts w:ascii="Times New Roman" w:hAnsi="Times New Roman" w:eastAsia="宋体" w:cs="Times New Roman"/>
          <w:kern w:val="0"/>
          <w:sz w:val="24"/>
          <w:szCs w:val="24"/>
        </w:rPr>
      </w:pPr>
    </w:p>
    <w:p w14:paraId="0C41EAF6">
      <w:pPr>
        <w:autoSpaceDE w:val="0"/>
        <w:autoSpaceDN w:val="0"/>
        <w:adjustRightInd w:val="0"/>
        <w:ind w:left="315" w:leftChars="150"/>
        <w:jc w:val="left"/>
        <w:rPr>
          <w:rFonts w:ascii="Times New Roman" w:hAnsi="Times New Roman" w:eastAsia="宋体" w:cs="Times New Roman"/>
          <w:kern w:val="0"/>
          <w:sz w:val="24"/>
          <w:szCs w:val="24"/>
        </w:rPr>
      </w:pPr>
    </w:p>
    <w:p w14:paraId="6A6C80C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16CDF7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EDC354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B012CA2">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6A18DAD">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年度收、支总计</w:t>
      </w:r>
      <w:r>
        <w:rPr>
          <w:rFonts w:hint="eastAsia" w:ascii="Times New Roman" w:hAnsi="Times New Roman" w:eastAsia="仿宋_GB2312" w:cs="Times New Roman"/>
          <w:bCs/>
          <w:kern w:val="0"/>
          <w:sz w:val="32"/>
          <w:szCs w:val="32"/>
          <w:lang w:val="en-US" w:eastAsia="zh-CN"/>
        </w:rPr>
        <w:t>709.96</w:t>
      </w:r>
      <w:r>
        <w:rPr>
          <w:rFonts w:ascii="Times New Roman" w:hAnsi="Times New Roman" w:eastAsia="仿宋_GB2312" w:cs="Times New Roman"/>
          <w:bCs/>
          <w:kern w:val="0"/>
          <w:sz w:val="32"/>
          <w:szCs w:val="32"/>
        </w:rPr>
        <w:t>万元。与上年相比，增加</w:t>
      </w:r>
      <w:r>
        <w:rPr>
          <w:rFonts w:hint="eastAsia" w:ascii="Times New Roman" w:hAnsi="Times New Roman" w:eastAsia="仿宋_GB2312" w:cs="Times New Roman"/>
          <w:bCs/>
          <w:kern w:val="0"/>
          <w:sz w:val="32"/>
          <w:szCs w:val="32"/>
          <w:lang w:val="en-US" w:eastAsia="zh-CN"/>
        </w:rPr>
        <w:t>201.85</w:t>
      </w:r>
      <w:r>
        <w:rPr>
          <w:rFonts w:ascii="Times New Roman" w:hAnsi="Times New Roman" w:eastAsia="仿宋_GB2312" w:cs="Times New Roman"/>
          <w:bCs/>
          <w:kern w:val="0"/>
          <w:sz w:val="32"/>
          <w:szCs w:val="32"/>
        </w:rPr>
        <w:t>万元，增长</w:t>
      </w:r>
      <w:r>
        <w:rPr>
          <w:rFonts w:hint="eastAsia" w:ascii="Times New Roman" w:hAnsi="Times New Roman" w:eastAsia="仿宋_GB2312" w:cs="Times New Roman"/>
          <w:bCs/>
          <w:kern w:val="0"/>
          <w:sz w:val="32"/>
          <w:szCs w:val="32"/>
          <w:lang w:val="en-US" w:eastAsia="zh-CN"/>
        </w:rPr>
        <w:t>39.73</w:t>
      </w:r>
      <w:r>
        <w:rPr>
          <w:rFonts w:ascii="Times New Roman" w:hAnsi="Times New Roman" w:eastAsia="仿宋_GB2312" w:cs="Times New Roman"/>
          <w:bCs/>
          <w:kern w:val="0"/>
          <w:sz w:val="32"/>
          <w:szCs w:val="32"/>
        </w:rPr>
        <w:t>%，主要是因为</w:t>
      </w:r>
      <w:r>
        <w:rPr>
          <w:rFonts w:hint="eastAsia" w:ascii="Times New Roman" w:hAnsi="Times New Roman" w:eastAsia="仿宋_GB2312" w:cs="Times New Roman"/>
          <w:bCs/>
          <w:kern w:val="0"/>
          <w:sz w:val="32"/>
          <w:szCs w:val="32"/>
          <w:lang w:eastAsia="zh-CN"/>
        </w:rPr>
        <w:t>补发</w:t>
      </w:r>
      <w:r>
        <w:rPr>
          <w:rFonts w:hint="eastAsia" w:ascii="Times New Roman" w:hAnsi="Times New Roman" w:eastAsia="仿宋_GB2312" w:cs="Times New Roman"/>
          <w:bCs/>
          <w:kern w:val="0"/>
          <w:sz w:val="32"/>
          <w:szCs w:val="32"/>
        </w:rPr>
        <w:t>2</w:t>
      </w:r>
      <w:r>
        <w:rPr>
          <w:rFonts w:ascii="Times New Roman" w:hAnsi="Times New Roman" w:eastAsia="仿宋_GB2312" w:cs="Times New Roman"/>
          <w:bCs/>
          <w:kern w:val="0"/>
          <w:sz w:val="32"/>
          <w:szCs w:val="32"/>
        </w:rPr>
        <w:t>024</w:t>
      </w:r>
      <w:r>
        <w:rPr>
          <w:rFonts w:hint="eastAsia" w:ascii="Times New Roman" w:hAnsi="Times New Roman" w:eastAsia="仿宋_GB2312" w:cs="Times New Roman"/>
          <w:bCs/>
          <w:kern w:val="0"/>
          <w:sz w:val="32"/>
          <w:szCs w:val="32"/>
        </w:rPr>
        <w:t>年拖欠</w:t>
      </w:r>
      <w:r>
        <w:rPr>
          <w:rFonts w:hint="eastAsia" w:ascii="Times New Roman" w:hAnsi="Times New Roman" w:eastAsia="仿宋_GB2312" w:cs="Times New Roman"/>
          <w:bCs/>
          <w:kern w:val="0"/>
          <w:sz w:val="32"/>
          <w:szCs w:val="32"/>
          <w:lang w:eastAsia="zh-CN"/>
        </w:rPr>
        <w:t>的</w:t>
      </w:r>
      <w:r>
        <w:rPr>
          <w:rFonts w:hint="eastAsia" w:ascii="Times New Roman" w:hAnsi="Times New Roman" w:eastAsia="仿宋_GB2312" w:cs="Times New Roman"/>
          <w:bCs/>
          <w:kern w:val="0"/>
          <w:sz w:val="32"/>
          <w:szCs w:val="32"/>
        </w:rPr>
        <w:t>干部职工</w:t>
      </w:r>
      <w:r>
        <w:rPr>
          <w:rFonts w:ascii="Times New Roman" w:hAnsi="Times New Roman" w:eastAsia="仿宋_GB2312" w:cs="Times New Roman"/>
          <w:bCs/>
          <w:kern w:val="0"/>
          <w:sz w:val="32"/>
          <w:szCs w:val="32"/>
        </w:rPr>
        <w:t>4</w:t>
      </w:r>
      <w:r>
        <w:rPr>
          <w:rFonts w:hint="eastAsia" w:ascii="Times New Roman" w:hAnsi="Times New Roman" w:eastAsia="仿宋_GB2312" w:cs="Times New Roman"/>
          <w:bCs/>
          <w:kern w:val="0"/>
          <w:sz w:val="32"/>
          <w:szCs w:val="32"/>
        </w:rPr>
        <w:t>个月工资。</w:t>
      </w:r>
    </w:p>
    <w:p w14:paraId="1C399133">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bCs/>
          <w:kern w:val="0"/>
          <w:sz w:val="32"/>
          <w:szCs w:val="32"/>
          <w:lang w:eastAsia="zh-CN"/>
        </w:rPr>
        <w:t>干部职工基本支出</w:t>
      </w:r>
      <w:r>
        <w:rPr>
          <w:rFonts w:hint="eastAsia" w:ascii="Times New Roman" w:hAnsi="Times New Roman" w:eastAsia="仿宋_GB2312" w:cs="Times New Roman"/>
          <w:bCs/>
          <w:kern w:val="0"/>
          <w:sz w:val="32"/>
          <w:szCs w:val="32"/>
        </w:rPr>
        <w:t>。</w:t>
      </w:r>
    </w:p>
    <w:p w14:paraId="7C3B72E3">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36E1928">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年度收入合计</w:t>
      </w:r>
      <w:r>
        <w:rPr>
          <w:rFonts w:hint="eastAsia" w:ascii="Times New Roman" w:hAnsi="Times New Roman" w:eastAsia="仿宋_GB2312" w:cs="Times New Roman"/>
          <w:bCs/>
          <w:kern w:val="0"/>
          <w:sz w:val="32"/>
          <w:szCs w:val="32"/>
          <w:lang w:val="en-US" w:eastAsia="zh-CN"/>
        </w:rPr>
        <w:t>709.96</w:t>
      </w:r>
      <w:r>
        <w:rPr>
          <w:rFonts w:ascii="Times New Roman" w:hAnsi="Times New Roman" w:eastAsia="仿宋_GB2312" w:cs="Times New Roman"/>
          <w:bCs/>
          <w:kern w:val="0"/>
          <w:sz w:val="32"/>
          <w:szCs w:val="32"/>
        </w:rPr>
        <w:t>万元，其中：财政拨款收入</w:t>
      </w:r>
      <w:r>
        <w:rPr>
          <w:rFonts w:hint="eastAsia" w:ascii="Times New Roman" w:hAnsi="Times New Roman" w:eastAsia="仿宋_GB2312" w:cs="Times New Roman"/>
          <w:bCs/>
          <w:kern w:val="0"/>
          <w:sz w:val="32"/>
          <w:szCs w:val="32"/>
          <w:lang w:val="en-US" w:eastAsia="zh-CN"/>
        </w:rPr>
        <w:t>267.96</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37.74</w:t>
      </w:r>
      <w:r>
        <w:rPr>
          <w:rFonts w:ascii="Times New Roman" w:hAnsi="Times New Roman" w:eastAsia="仿宋_GB2312" w:cs="Times New Roman"/>
          <w:bCs/>
          <w:kern w:val="0"/>
          <w:sz w:val="32"/>
          <w:szCs w:val="32"/>
        </w:rPr>
        <w:t>%；上级补助收入</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%；事业收入</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%；经营收入</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%；附属单位上缴收入</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%；其他收入</w:t>
      </w:r>
      <w:r>
        <w:rPr>
          <w:rFonts w:hint="eastAsia" w:ascii="Times New Roman" w:hAnsi="Times New Roman" w:eastAsia="仿宋_GB2312" w:cs="Times New Roman"/>
          <w:bCs/>
          <w:kern w:val="0"/>
          <w:sz w:val="32"/>
          <w:szCs w:val="32"/>
          <w:lang w:val="en-US" w:eastAsia="zh-CN"/>
        </w:rPr>
        <w:t>442</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62.26</w:t>
      </w:r>
      <w:r>
        <w:rPr>
          <w:rFonts w:ascii="Times New Roman" w:hAnsi="Times New Roman" w:eastAsia="仿宋_GB2312" w:cs="Times New Roman"/>
          <w:bCs/>
          <w:kern w:val="0"/>
          <w:sz w:val="32"/>
          <w:szCs w:val="32"/>
        </w:rPr>
        <w:t>%。</w:t>
      </w:r>
    </w:p>
    <w:p w14:paraId="10B52213">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C820DFB">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年度支出合计</w:t>
      </w:r>
      <w:r>
        <w:rPr>
          <w:rFonts w:hint="eastAsia" w:ascii="Times New Roman" w:hAnsi="Times New Roman" w:eastAsia="仿宋_GB2312" w:cs="Times New Roman"/>
          <w:bCs/>
          <w:kern w:val="0"/>
          <w:sz w:val="32"/>
          <w:szCs w:val="32"/>
          <w:lang w:val="en-US" w:eastAsia="zh-CN"/>
        </w:rPr>
        <w:t>709.96</w:t>
      </w:r>
      <w:r>
        <w:rPr>
          <w:rFonts w:ascii="Times New Roman" w:hAnsi="Times New Roman" w:eastAsia="仿宋_GB2312" w:cs="Times New Roman"/>
          <w:bCs/>
          <w:kern w:val="0"/>
          <w:sz w:val="32"/>
          <w:szCs w:val="32"/>
        </w:rPr>
        <w:t>万元，其中：基本支出</w:t>
      </w:r>
      <w:r>
        <w:rPr>
          <w:rFonts w:hint="eastAsia" w:ascii="Times New Roman" w:hAnsi="Times New Roman" w:eastAsia="仿宋_GB2312" w:cs="Times New Roman"/>
          <w:bCs/>
          <w:kern w:val="0"/>
          <w:sz w:val="32"/>
          <w:szCs w:val="32"/>
          <w:lang w:val="en-US" w:eastAsia="zh-CN"/>
        </w:rPr>
        <w:t>709.96</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100</w:t>
      </w:r>
      <w:r>
        <w:rPr>
          <w:rFonts w:ascii="Times New Roman" w:hAnsi="Times New Roman" w:eastAsia="仿宋_GB2312" w:cs="Times New Roman"/>
          <w:bCs/>
          <w:kern w:val="0"/>
          <w:sz w:val="32"/>
          <w:szCs w:val="32"/>
        </w:rPr>
        <w:t>%；项目支出</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%；上缴上级支出</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%；经营支出</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%；对附属单位补助支出</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万元，占</w:t>
      </w:r>
      <w:r>
        <w:rPr>
          <w:rFonts w:hint="eastAsia" w:ascii="Times New Roman" w:hAnsi="Times New Roman" w:eastAsia="仿宋_GB2312" w:cs="Times New Roman"/>
          <w:bCs/>
          <w:kern w:val="0"/>
          <w:sz w:val="32"/>
          <w:szCs w:val="32"/>
          <w:lang w:val="en-US" w:eastAsia="zh-CN"/>
        </w:rPr>
        <w:t>0</w:t>
      </w:r>
      <w:r>
        <w:rPr>
          <w:rFonts w:ascii="Times New Roman" w:hAnsi="Times New Roman" w:eastAsia="仿宋_GB2312" w:cs="Times New Roman"/>
          <w:bCs/>
          <w:kern w:val="0"/>
          <w:sz w:val="32"/>
          <w:szCs w:val="32"/>
        </w:rPr>
        <w:t>%。</w:t>
      </w:r>
    </w:p>
    <w:p w14:paraId="02FB1108">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294DECB">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年度财政拨款收、支总计</w:t>
      </w:r>
      <w:r>
        <w:rPr>
          <w:rFonts w:hint="eastAsia" w:ascii="Times New Roman" w:hAnsi="Times New Roman" w:eastAsia="仿宋_GB2312" w:cs="Times New Roman"/>
          <w:bCs/>
          <w:kern w:val="0"/>
          <w:sz w:val="32"/>
          <w:szCs w:val="32"/>
          <w:lang w:eastAsia="zh-CN"/>
        </w:rPr>
        <w:t>各</w:t>
      </w:r>
      <w:r>
        <w:rPr>
          <w:rFonts w:hint="eastAsia" w:ascii="Times New Roman" w:hAnsi="Times New Roman" w:eastAsia="仿宋_GB2312" w:cs="Times New Roman"/>
          <w:bCs/>
          <w:kern w:val="0"/>
          <w:sz w:val="32"/>
          <w:szCs w:val="32"/>
          <w:lang w:val="en-US" w:eastAsia="zh-CN"/>
        </w:rPr>
        <w:t>267.96</w:t>
      </w:r>
      <w:r>
        <w:rPr>
          <w:rFonts w:ascii="Times New Roman" w:hAnsi="Times New Roman" w:eastAsia="仿宋_GB2312" w:cs="Times New Roman"/>
          <w:bCs/>
          <w:kern w:val="0"/>
          <w:sz w:val="32"/>
          <w:szCs w:val="32"/>
        </w:rPr>
        <w:t>万元，与上年相比，增加</w:t>
      </w:r>
      <w:r>
        <w:rPr>
          <w:rFonts w:hint="eastAsia" w:ascii="Times New Roman" w:hAnsi="Times New Roman" w:eastAsia="仿宋_GB2312" w:cs="Times New Roman"/>
          <w:bCs/>
          <w:kern w:val="0"/>
          <w:sz w:val="32"/>
          <w:szCs w:val="32"/>
          <w:lang w:val="en-US" w:eastAsia="zh-CN"/>
        </w:rPr>
        <w:t>24.38</w:t>
      </w:r>
      <w:r>
        <w:rPr>
          <w:rFonts w:ascii="Times New Roman" w:hAnsi="Times New Roman" w:eastAsia="仿宋_GB2312" w:cs="Times New Roman"/>
          <w:bCs/>
          <w:kern w:val="0"/>
          <w:sz w:val="32"/>
          <w:szCs w:val="32"/>
        </w:rPr>
        <w:t>万元,增长</w:t>
      </w:r>
      <w:r>
        <w:rPr>
          <w:rFonts w:hint="eastAsia" w:ascii="Times New Roman" w:hAnsi="Times New Roman" w:eastAsia="仿宋_GB2312" w:cs="Times New Roman"/>
          <w:bCs/>
          <w:kern w:val="0"/>
          <w:sz w:val="32"/>
          <w:szCs w:val="32"/>
          <w:lang w:val="en-US" w:eastAsia="zh-CN"/>
        </w:rPr>
        <w:t>10</w:t>
      </w:r>
      <w:r>
        <w:rPr>
          <w:rFonts w:ascii="Times New Roman" w:hAnsi="Times New Roman" w:eastAsia="仿宋_GB2312" w:cs="Times New Roman"/>
          <w:bCs/>
          <w:kern w:val="0"/>
          <w:sz w:val="32"/>
          <w:szCs w:val="32"/>
        </w:rPr>
        <w:t>%，主要是因为</w:t>
      </w:r>
      <w:r>
        <w:rPr>
          <w:rFonts w:hint="eastAsia" w:ascii="Times New Roman" w:hAnsi="Times New Roman" w:eastAsia="仿宋_GB2312" w:cs="Times New Roman"/>
          <w:bCs/>
          <w:kern w:val="0"/>
          <w:sz w:val="32"/>
          <w:szCs w:val="32"/>
          <w:lang w:eastAsia="zh-CN"/>
        </w:rPr>
        <w:t>职工工资增加。</w:t>
      </w:r>
    </w:p>
    <w:p w14:paraId="6BE9D7DB">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D4B7096">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ascii="Times New Roman" w:hAnsi="Times New Roman" w:eastAsia="楷体_GB2312" w:cs="Times New Roman"/>
          <w:b/>
          <w:color w:val="000000"/>
          <w:kern w:val="0"/>
          <w:sz w:val="32"/>
          <w:szCs w:val="32"/>
          <w:lang w:val="en-US" w:eastAsia="zh-CN" w:bidi="ar-SA"/>
        </w:rPr>
      </w:pPr>
      <w:r>
        <w:rPr>
          <w:rFonts w:ascii="Times New Roman" w:hAnsi="Times New Roman" w:eastAsia="楷体_GB2312" w:cs="Times New Roman"/>
          <w:b/>
          <w:color w:val="000000"/>
          <w:kern w:val="0"/>
          <w:sz w:val="32"/>
          <w:szCs w:val="32"/>
          <w:lang w:val="en-US" w:eastAsia="zh-CN" w:bidi="ar-SA"/>
        </w:rPr>
        <w:t>（一）一般公共预算财政拨款支出决算总体情况</w:t>
      </w:r>
    </w:p>
    <w:p w14:paraId="62DDA330">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年度财政拨款支出</w:t>
      </w:r>
      <w:r>
        <w:rPr>
          <w:rFonts w:hint="eastAsia" w:ascii="Times New Roman" w:hAnsi="Times New Roman" w:eastAsia="仿宋_GB2312" w:cs="Times New Roman"/>
          <w:bCs/>
          <w:kern w:val="0"/>
          <w:sz w:val="32"/>
          <w:szCs w:val="32"/>
          <w:lang w:val="en-US" w:eastAsia="zh-CN"/>
        </w:rPr>
        <w:t>267.96</w:t>
      </w:r>
      <w:r>
        <w:rPr>
          <w:rFonts w:ascii="Times New Roman" w:hAnsi="Times New Roman" w:eastAsia="仿宋_GB2312" w:cs="Times New Roman"/>
          <w:bCs/>
          <w:kern w:val="0"/>
          <w:sz w:val="32"/>
          <w:szCs w:val="32"/>
        </w:rPr>
        <w:t>万元，占本年支出合计的</w:t>
      </w:r>
      <w:r>
        <w:rPr>
          <w:rFonts w:hint="eastAsia" w:ascii="Times New Roman" w:hAnsi="Times New Roman" w:eastAsia="仿宋_GB2312" w:cs="Times New Roman"/>
          <w:bCs/>
          <w:kern w:val="0"/>
          <w:sz w:val="32"/>
          <w:szCs w:val="32"/>
          <w:lang w:val="en-US" w:eastAsia="zh-CN"/>
        </w:rPr>
        <w:t>37.74</w:t>
      </w:r>
      <w:r>
        <w:rPr>
          <w:rFonts w:ascii="Times New Roman" w:hAnsi="Times New Roman" w:eastAsia="仿宋_GB2312" w:cs="Times New Roman"/>
          <w:bCs/>
          <w:kern w:val="0"/>
          <w:sz w:val="32"/>
          <w:szCs w:val="32"/>
        </w:rPr>
        <w:t>%，与上年相比，财政拨款支出增加</w:t>
      </w:r>
      <w:r>
        <w:rPr>
          <w:rFonts w:hint="eastAsia" w:ascii="Times New Roman" w:hAnsi="Times New Roman" w:eastAsia="仿宋_GB2312" w:cs="Times New Roman"/>
          <w:bCs/>
          <w:kern w:val="0"/>
          <w:sz w:val="32"/>
          <w:szCs w:val="32"/>
          <w:lang w:val="en-US" w:eastAsia="zh-CN"/>
        </w:rPr>
        <w:t>24.38</w:t>
      </w:r>
      <w:r>
        <w:rPr>
          <w:rFonts w:ascii="Times New Roman" w:hAnsi="Times New Roman" w:eastAsia="仿宋_GB2312" w:cs="Times New Roman"/>
          <w:bCs/>
          <w:kern w:val="0"/>
          <w:sz w:val="32"/>
          <w:szCs w:val="32"/>
        </w:rPr>
        <w:t>万元，增长</w:t>
      </w:r>
      <w:r>
        <w:rPr>
          <w:rFonts w:hint="eastAsia" w:ascii="Times New Roman" w:hAnsi="Times New Roman" w:eastAsia="仿宋_GB2312" w:cs="Times New Roman"/>
          <w:bCs/>
          <w:kern w:val="0"/>
          <w:sz w:val="32"/>
          <w:szCs w:val="32"/>
          <w:lang w:val="en-US" w:eastAsia="zh-CN"/>
        </w:rPr>
        <w:t>10</w:t>
      </w:r>
      <w:r>
        <w:rPr>
          <w:rFonts w:ascii="Times New Roman" w:hAnsi="Times New Roman" w:eastAsia="仿宋_GB2312" w:cs="Times New Roman"/>
          <w:bCs/>
          <w:kern w:val="0"/>
          <w:sz w:val="32"/>
          <w:szCs w:val="32"/>
        </w:rPr>
        <w:t>%，主要是因为</w:t>
      </w:r>
      <w:r>
        <w:rPr>
          <w:rFonts w:hint="eastAsia" w:ascii="Times New Roman" w:hAnsi="Times New Roman" w:eastAsia="仿宋_GB2312" w:cs="Times New Roman"/>
          <w:bCs/>
          <w:kern w:val="0"/>
          <w:sz w:val="32"/>
          <w:szCs w:val="32"/>
          <w:lang w:eastAsia="zh-CN"/>
        </w:rPr>
        <w:t>职工工资增加。</w:t>
      </w:r>
    </w:p>
    <w:p w14:paraId="746CBF55">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ascii="Times New Roman" w:hAnsi="Times New Roman" w:eastAsia="楷体_GB2312" w:cs="Times New Roman"/>
          <w:b/>
          <w:color w:val="000000"/>
          <w:kern w:val="0"/>
          <w:sz w:val="32"/>
          <w:szCs w:val="32"/>
          <w:lang w:val="en-US" w:eastAsia="zh-CN" w:bidi="ar-SA"/>
        </w:rPr>
      </w:pPr>
      <w:r>
        <w:rPr>
          <w:rFonts w:ascii="Times New Roman" w:hAnsi="Times New Roman" w:eastAsia="楷体_GB2312" w:cs="Times New Roman"/>
          <w:b/>
          <w:color w:val="000000"/>
          <w:kern w:val="0"/>
          <w:sz w:val="32"/>
          <w:szCs w:val="32"/>
          <w:lang w:val="en-US" w:eastAsia="zh-CN" w:bidi="ar-SA"/>
        </w:rPr>
        <w:t>（二）一般公共预算财政拨款支出决算结构情况</w:t>
      </w:r>
    </w:p>
    <w:p w14:paraId="10212B71">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w:t>
      </w:r>
      <w:r>
        <w:rPr>
          <w:rFonts w:ascii="Times New Roman" w:hAnsi="Times New Roman" w:eastAsia="仿宋_GB2312" w:cs="Times New Roman"/>
          <w:bCs/>
          <w:kern w:val="0"/>
          <w:sz w:val="32"/>
          <w:szCs w:val="32"/>
        </w:rPr>
        <w:t>度财政拨款支出</w:t>
      </w:r>
      <w:r>
        <w:rPr>
          <w:rFonts w:hint="eastAsia" w:ascii="Times New Roman" w:hAnsi="Times New Roman" w:eastAsia="仿宋_GB2312" w:cs="Times New Roman"/>
          <w:bCs/>
          <w:kern w:val="0"/>
          <w:sz w:val="32"/>
          <w:szCs w:val="32"/>
          <w:lang w:val="en-US" w:eastAsia="zh-CN"/>
        </w:rPr>
        <w:t>267.96</w:t>
      </w:r>
      <w:r>
        <w:rPr>
          <w:rFonts w:ascii="Times New Roman" w:hAnsi="Times New Roman" w:eastAsia="仿宋_GB2312" w:cs="Times New Roman"/>
          <w:bCs/>
          <w:kern w:val="0"/>
          <w:sz w:val="32"/>
          <w:szCs w:val="32"/>
        </w:rPr>
        <w:t>万元，主要用于以下方面：</w:t>
      </w:r>
      <w:r>
        <w:rPr>
          <w:rFonts w:hint="eastAsia" w:ascii="Times New Roman" w:hAnsi="Times New Roman" w:eastAsia="仿宋_GB2312" w:cs="Times New Roman"/>
          <w:bCs/>
          <w:kern w:val="0"/>
          <w:sz w:val="32"/>
          <w:szCs w:val="32"/>
        </w:rPr>
        <w:t>农林水（类）支出</w:t>
      </w:r>
      <w:r>
        <w:rPr>
          <w:rFonts w:ascii="Times New Roman" w:hAnsi="Times New Roman" w:eastAsia="仿宋_GB2312" w:cs="Times New Roman"/>
          <w:bCs/>
          <w:kern w:val="0"/>
          <w:sz w:val="32"/>
          <w:szCs w:val="32"/>
        </w:rPr>
        <w:t>243.58</w:t>
      </w:r>
      <w:r>
        <w:rPr>
          <w:rFonts w:hint="eastAsia" w:ascii="Times New Roman" w:hAnsi="Times New Roman" w:eastAsia="仿宋_GB2312" w:cs="Times New Roman"/>
          <w:bCs/>
          <w:kern w:val="0"/>
          <w:sz w:val="32"/>
          <w:szCs w:val="32"/>
        </w:rPr>
        <w:t>万元，占</w:t>
      </w:r>
      <w:r>
        <w:rPr>
          <w:rFonts w:ascii="Times New Roman" w:hAnsi="Times New Roman" w:eastAsia="仿宋_GB2312" w:cs="Times New Roman"/>
          <w:bCs/>
          <w:kern w:val="0"/>
          <w:sz w:val="32"/>
          <w:szCs w:val="32"/>
        </w:rPr>
        <w:t>100</w:t>
      </w:r>
      <w:r>
        <w:rPr>
          <w:rFonts w:hint="eastAsia" w:ascii="Times New Roman" w:hAnsi="Times New Roman" w:eastAsia="仿宋_GB2312" w:cs="Times New Roman"/>
          <w:bCs/>
          <w:kern w:val="0"/>
          <w:sz w:val="32"/>
          <w:szCs w:val="32"/>
        </w:rPr>
        <w:t>%。</w:t>
      </w:r>
    </w:p>
    <w:p w14:paraId="643F035E">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ascii="Times New Roman" w:hAnsi="Times New Roman" w:eastAsia="楷体_GB2312" w:cs="Times New Roman"/>
          <w:b/>
          <w:color w:val="000000"/>
          <w:kern w:val="0"/>
          <w:sz w:val="32"/>
          <w:szCs w:val="32"/>
          <w:lang w:val="en-US" w:eastAsia="zh-CN" w:bidi="ar-SA"/>
        </w:rPr>
      </w:pPr>
      <w:r>
        <w:rPr>
          <w:rFonts w:ascii="Times New Roman" w:hAnsi="Times New Roman" w:eastAsia="楷体_GB2312" w:cs="Times New Roman"/>
          <w:b/>
          <w:color w:val="000000"/>
          <w:kern w:val="0"/>
          <w:sz w:val="32"/>
          <w:szCs w:val="32"/>
          <w:lang w:val="en-US" w:eastAsia="zh-CN" w:bidi="ar-SA"/>
        </w:rPr>
        <w:t>（三）一般公共预算财政拨款支出决算具体情况</w:t>
      </w:r>
    </w:p>
    <w:p w14:paraId="18C6573C">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2025年度财政拨款支出年初预算数为</w:t>
      </w:r>
      <w:r>
        <w:rPr>
          <w:rFonts w:hint="eastAsia" w:ascii="Times New Roman" w:hAnsi="Times New Roman" w:eastAsia="仿宋_GB2312" w:cs="Times New Roman"/>
          <w:bCs/>
          <w:kern w:val="0"/>
          <w:sz w:val="32"/>
          <w:szCs w:val="32"/>
          <w:lang w:val="en-US" w:eastAsia="zh-CN"/>
        </w:rPr>
        <w:t>224.92</w:t>
      </w:r>
      <w:r>
        <w:rPr>
          <w:rFonts w:hint="eastAsia" w:ascii="Times New Roman" w:hAnsi="Times New Roman" w:eastAsia="仿宋_GB2312" w:cs="Times New Roman"/>
          <w:bCs/>
          <w:kern w:val="0"/>
          <w:sz w:val="32"/>
          <w:szCs w:val="32"/>
        </w:rPr>
        <w:t>万元，支出决算数为</w:t>
      </w:r>
      <w:r>
        <w:rPr>
          <w:rFonts w:hint="eastAsia" w:ascii="Times New Roman" w:hAnsi="Times New Roman" w:eastAsia="仿宋_GB2312" w:cs="Times New Roman"/>
          <w:bCs/>
          <w:kern w:val="0"/>
          <w:sz w:val="32"/>
          <w:szCs w:val="32"/>
          <w:lang w:val="en-US" w:eastAsia="zh-CN"/>
        </w:rPr>
        <w:t>267.96</w:t>
      </w:r>
      <w:r>
        <w:rPr>
          <w:rFonts w:hint="eastAsia" w:ascii="Times New Roman" w:hAnsi="Times New Roman" w:eastAsia="仿宋_GB2312" w:cs="Times New Roman"/>
          <w:bCs/>
          <w:kern w:val="0"/>
          <w:sz w:val="32"/>
          <w:szCs w:val="32"/>
        </w:rPr>
        <w:t>万元，完成年初预算的</w:t>
      </w:r>
      <w:r>
        <w:rPr>
          <w:rFonts w:hint="eastAsia" w:ascii="Times New Roman" w:hAnsi="Times New Roman" w:eastAsia="仿宋_GB2312" w:cs="Times New Roman"/>
          <w:bCs/>
          <w:kern w:val="0"/>
          <w:sz w:val="32"/>
          <w:szCs w:val="32"/>
          <w:lang w:val="en-US" w:eastAsia="zh-CN"/>
        </w:rPr>
        <w:t>119.14</w:t>
      </w:r>
      <w:r>
        <w:rPr>
          <w:rFonts w:hint="eastAsia" w:ascii="Times New Roman" w:hAnsi="Times New Roman" w:eastAsia="仿宋_GB2312" w:cs="Times New Roman"/>
          <w:bCs/>
          <w:kern w:val="0"/>
          <w:sz w:val="32"/>
          <w:szCs w:val="32"/>
        </w:rPr>
        <w:t>%，其中：</w:t>
      </w:r>
    </w:p>
    <w:p w14:paraId="2BCB3C93">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1、农林水支出（类）水利（款）其他水利支出（项）。</w:t>
      </w:r>
    </w:p>
    <w:p w14:paraId="032EEE40">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年初预算为</w:t>
      </w:r>
      <w:r>
        <w:rPr>
          <w:rFonts w:hint="eastAsia" w:ascii="Times New Roman" w:hAnsi="Times New Roman" w:eastAsia="仿宋_GB2312" w:cs="Times New Roman"/>
          <w:bCs/>
          <w:kern w:val="0"/>
          <w:sz w:val="32"/>
          <w:szCs w:val="32"/>
          <w:lang w:val="en-US" w:eastAsia="zh-CN"/>
        </w:rPr>
        <w:t>224.92</w:t>
      </w:r>
      <w:r>
        <w:rPr>
          <w:rFonts w:hint="eastAsia" w:ascii="Times New Roman" w:hAnsi="Times New Roman" w:eastAsia="仿宋_GB2312" w:cs="Times New Roman"/>
          <w:bCs/>
          <w:kern w:val="0"/>
          <w:sz w:val="32"/>
          <w:szCs w:val="32"/>
        </w:rPr>
        <w:t>万元，支出决算</w:t>
      </w:r>
      <w:r>
        <w:rPr>
          <w:rFonts w:hint="eastAsia" w:ascii="Times New Roman" w:hAnsi="Times New Roman" w:eastAsia="仿宋_GB2312" w:cs="Times New Roman"/>
          <w:bCs/>
          <w:kern w:val="0"/>
          <w:sz w:val="32"/>
          <w:szCs w:val="32"/>
          <w:lang w:val="en-US" w:eastAsia="zh-CN"/>
        </w:rPr>
        <w:t>267.96</w:t>
      </w:r>
      <w:r>
        <w:rPr>
          <w:rFonts w:hint="eastAsia" w:ascii="Times New Roman" w:hAnsi="Times New Roman" w:eastAsia="仿宋_GB2312" w:cs="Times New Roman"/>
          <w:bCs/>
          <w:kern w:val="0"/>
          <w:sz w:val="32"/>
          <w:szCs w:val="32"/>
        </w:rPr>
        <w:t>万元，完成年初预算的</w:t>
      </w:r>
      <w:r>
        <w:rPr>
          <w:rFonts w:hint="eastAsia" w:ascii="Times New Roman" w:hAnsi="Times New Roman" w:eastAsia="仿宋_GB2312" w:cs="Times New Roman"/>
          <w:bCs/>
          <w:kern w:val="0"/>
          <w:sz w:val="32"/>
          <w:szCs w:val="32"/>
          <w:lang w:val="en-US" w:eastAsia="zh-CN"/>
        </w:rPr>
        <w:t>119.14</w:t>
      </w:r>
      <w:r>
        <w:rPr>
          <w:rFonts w:hint="eastAsia" w:ascii="Times New Roman" w:hAnsi="Times New Roman" w:eastAsia="仿宋_GB2312" w:cs="Times New Roman"/>
          <w:bCs/>
          <w:kern w:val="0"/>
          <w:sz w:val="32"/>
          <w:szCs w:val="32"/>
        </w:rPr>
        <w:t>%，决算数大于年初预算数的主要原因是：</w:t>
      </w:r>
      <w:r>
        <w:rPr>
          <w:rFonts w:hint="eastAsia" w:ascii="Times New Roman" w:hAnsi="Times New Roman" w:eastAsia="仿宋_GB2312" w:cs="Times New Roman"/>
          <w:bCs/>
          <w:kern w:val="0"/>
          <w:sz w:val="32"/>
          <w:szCs w:val="32"/>
          <w:lang w:eastAsia="zh-CN"/>
        </w:rPr>
        <w:t>本年职工人数不变的情况下，调职增资。</w:t>
      </w:r>
    </w:p>
    <w:p w14:paraId="27D16BF2">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A29D902">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2025年度一般公共预算财政拨款基本支出</w:t>
      </w:r>
      <w:r>
        <w:rPr>
          <w:rFonts w:hint="eastAsia" w:ascii="Times New Roman" w:hAnsi="Times New Roman" w:eastAsia="仿宋_GB2312" w:cs="Times New Roman"/>
          <w:bCs/>
          <w:kern w:val="0"/>
          <w:sz w:val="32"/>
          <w:szCs w:val="32"/>
          <w:lang w:val="en-US" w:eastAsia="zh-CN"/>
        </w:rPr>
        <w:t>267.96</w:t>
      </w:r>
      <w:r>
        <w:rPr>
          <w:rFonts w:hint="eastAsia" w:ascii="Times New Roman" w:hAnsi="Times New Roman" w:eastAsia="仿宋_GB2312" w:cs="Times New Roman"/>
          <w:bCs/>
          <w:kern w:val="0"/>
          <w:sz w:val="32"/>
          <w:szCs w:val="32"/>
        </w:rPr>
        <w:t>万元，其中：</w:t>
      </w:r>
    </w:p>
    <w:p w14:paraId="2FA2A72F">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人员经费</w:t>
      </w:r>
      <w:r>
        <w:rPr>
          <w:rFonts w:hint="eastAsia" w:ascii="Times New Roman" w:hAnsi="Times New Roman" w:eastAsia="仿宋_GB2312" w:cs="Times New Roman"/>
          <w:bCs/>
          <w:kern w:val="0"/>
          <w:sz w:val="32"/>
          <w:szCs w:val="32"/>
          <w:lang w:val="en-US" w:eastAsia="zh-CN"/>
        </w:rPr>
        <w:t>267.96</w:t>
      </w:r>
      <w:r>
        <w:rPr>
          <w:rFonts w:hint="eastAsia" w:ascii="Times New Roman" w:hAnsi="Times New Roman" w:eastAsia="仿宋_GB2312" w:cs="Times New Roman"/>
          <w:bCs/>
          <w:kern w:val="0"/>
          <w:sz w:val="32"/>
          <w:szCs w:val="32"/>
        </w:rPr>
        <w:t>万元，占基本支出的</w:t>
      </w:r>
      <w:r>
        <w:rPr>
          <w:rFonts w:hint="eastAsia" w:ascii="Times New Roman" w:hAnsi="Times New Roman" w:eastAsia="仿宋_GB2312" w:cs="Times New Roman"/>
          <w:bCs/>
          <w:kern w:val="0"/>
          <w:sz w:val="32"/>
          <w:szCs w:val="32"/>
          <w:lang w:val="en-US" w:eastAsia="zh-CN"/>
        </w:rPr>
        <w:t>100</w:t>
      </w:r>
      <w:r>
        <w:rPr>
          <w:rFonts w:hint="eastAsia" w:ascii="Times New Roman" w:hAnsi="Times New Roman" w:eastAsia="仿宋_GB2312" w:cs="Times New Roman"/>
          <w:bCs/>
          <w:kern w:val="0"/>
          <w:sz w:val="32"/>
          <w:szCs w:val="32"/>
        </w:rPr>
        <w:t>%,主要包括基本工资157.68万元、奖金</w:t>
      </w:r>
      <w:r>
        <w:rPr>
          <w:rFonts w:hint="eastAsia" w:ascii="Times New Roman" w:hAnsi="Times New Roman" w:eastAsia="仿宋_GB2312" w:cs="Times New Roman"/>
          <w:bCs/>
          <w:kern w:val="0"/>
          <w:sz w:val="32"/>
          <w:szCs w:val="32"/>
          <w:lang w:val="en-US" w:eastAsia="zh-CN"/>
        </w:rPr>
        <w:t>55.85</w:t>
      </w:r>
      <w:r>
        <w:rPr>
          <w:rFonts w:hint="eastAsia" w:ascii="Times New Roman" w:hAnsi="Times New Roman" w:eastAsia="仿宋_GB2312" w:cs="Times New Roman"/>
          <w:bCs/>
          <w:kern w:val="0"/>
          <w:sz w:val="32"/>
          <w:szCs w:val="32"/>
        </w:rPr>
        <w:t>万元、住房公积金</w:t>
      </w:r>
      <w:r>
        <w:rPr>
          <w:rFonts w:hint="eastAsia" w:ascii="Times New Roman" w:hAnsi="Times New Roman" w:eastAsia="仿宋_GB2312" w:cs="Times New Roman"/>
          <w:bCs/>
          <w:kern w:val="0"/>
          <w:sz w:val="32"/>
          <w:szCs w:val="32"/>
          <w:lang w:val="en-US" w:eastAsia="zh-CN"/>
        </w:rPr>
        <w:t>19.63</w:t>
      </w:r>
      <w:r>
        <w:rPr>
          <w:rFonts w:hint="eastAsia" w:ascii="Times New Roman" w:hAnsi="Times New Roman" w:eastAsia="仿宋_GB2312" w:cs="Times New Roman"/>
          <w:bCs/>
          <w:kern w:val="0"/>
          <w:sz w:val="32"/>
          <w:szCs w:val="32"/>
        </w:rPr>
        <w:t>万元、其他对家庭和个人的补助</w:t>
      </w:r>
      <w:r>
        <w:rPr>
          <w:rFonts w:hint="eastAsia" w:ascii="Times New Roman" w:hAnsi="Times New Roman" w:eastAsia="仿宋_GB2312" w:cs="Times New Roman"/>
          <w:bCs/>
          <w:kern w:val="0"/>
          <w:sz w:val="32"/>
          <w:szCs w:val="32"/>
          <w:lang w:val="en-US" w:eastAsia="zh-CN"/>
        </w:rPr>
        <w:t>14.94</w:t>
      </w:r>
      <w:r>
        <w:rPr>
          <w:rFonts w:hint="eastAsia" w:ascii="Times New Roman" w:hAnsi="Times New Roman" w:eastAsia="仿宋_GB2312" w:cs="Times New Roman"/>
          <w:bCs/>
          <w:kern w:val="0"/>
          <w:sz w:val="32"/>
          <w:szCs w:val="32"/>
        </w:rPr>
        <w:t>万元。</w:t>
      </w:r>
    </w:p>
    <w:p w14:paraId="572B602A">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7191673D">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ascii="Times New Roman" w:hAnsi="Times New Roman" w:eastAsia="楷体_GB2312" w:cs="Times New Roman"/>
          <w:b/>
          <w:color w:val="000000"/>
          <w:kern w:val="0"/>
          <w:sz w:val="32"/>
          <w:szCs w:val="32"/>
          <w:lang w:val="en-US" w:eastAsia="zh-CN" w:bidi="ar-SA"/>
        </w:rPr>
      </w:pPr>
      <w:r>
        <w:rPr>
          <w:rFonts w:ascii="Times New Roman" w:hAnsi="Times New Roman" w:eastAsia="楷体_GB2312" w:cs="Times New Roman"/>
          <w:b/>
          <w:color w:val="000000"/>
          <w:kern w:val="0"/>
          <w:sz w:val="32"/>
          <w:szCs w:val="32"/>
          <w:lang w:val="en-US" w:eastAsia="zh-CN" w:bidi="ar-SA"/>
        </w:rPr>
        <w:t>（一）“三公”经费财政拨款支出决算总体情况说明</w:t>
      </w:r>
    </w:p>
    <w:p w14:paraId="58889B7B">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2025年度“三公”经费财政拨款支出预算为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万元，支出决算为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万元，完成预算的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%；与上年相比增加（减少）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%。决算数大于（小于）预算数的主要原因是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。决算数大于（小于）上年数的主要原因是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w:t>
      </w:r>
    </w:p>
    <w:p w14:paraId="7919E75F">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hint="eastAsia" w:ascii="Times New Roman" w:hAnsi="Times New Roman" w:eastAsia="楷体_GB2312" w:cs="Times New Roman"/>
          <w:b/>
          <w:color w:val="000000"/>
          <w:kern w:val="0"/>
          <w:sz w:val="32"/>
          <w:szCs w:val="32"/>
          <w:lang w:val="en-US" w:eastAsia="zh-CN" w:bidi="ar-SA"/>
        </w:rPr>
      </w:pPr>
      <w:r>
        <w:rPr>
          <w:rFonts w:hint="eastAsia" w:ascii="Times New Roman" w:hAnsi="Times New Roman" w:eastAsia="楷体_GB2312" w:cs="Times New Roman"/>
          <w:b/>
          <w:color w:val="000000"/>
          <w:kern w:val="0"/>
          <w:sz w:val="32"/>
          <w:szCs w:val="32"/>
          <w:lang w:val="en-US" w:eastAsia="zh-CN" w:bidi="ar-SA"/>
        </w:rPr>
        <w:t>（二）“三公”经费财政拨款支出决算具体情况说明</w:t>
      </w:r>
    </w:p>
    <w:p w14:paraId="6C5F8FAF">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1.因公出国（境）费支出预算为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万元，支出决算为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万元，完成预算的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%；与上年相比增加（减少）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%。决算数大于（小于）预算数的主要原因是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。决算数大于（小于）上年数的主要原因是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。2025年度安排因公出国（境）团组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个，累计</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人次（精确到个位数）,主要包括：</w:t>
      </w:r>
      <w:r>
        <w:rPr>
          <w:rFonts w:hint="eastAsia" w:ascii="Times New Roman" w:hAnsi="Times New Roman" w:eastAsia="仿宋_GB2312" w:cs="Times New Roman"/>
          <w:bCs/>
          <w:kern w:val="0"/>
          <w:sz w:val="32"/>
          <w:szCs w:val="32"/>
          <w:lang w:eastAsia="zh-CN"/>
        </w:rPr>
        <w:t>无。</w:t>
      </w:r>
    </w:p>
    <w:p w14:paraId="64ADFC0D">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2.公务用车购置费及运行维护费支出预算为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万元，支出决算为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万元，完成预算的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%；与上年相比增加（减少）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%。其中：</w:t>
      </w:r>
    </w:p>
    <w:p w14:paraId="23178DAB">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公务用车购置费支出预算为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万元，支出决算为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万元，完成预算的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%；与上年相比增加（减少）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%。决算数大于（小于）预算数的主要原因是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，决算数大于（小于）上年数的主要原因是</w:t>
      </w:r>
      <w:r>
        <w:rPr>
          <w:rFonts w:hint="eastAsia" w:ascii="Times New Roman" w:hAnsi="Times New Roman" w:eastAsia="仿宋_GB2312" w:cs="Times New Roman"/>
          <w:bCs/>
          <w:kern w:val="0"/>
          <w:sz w:val="32"/>
          <w:szCs w:val="32"/>
          <w:lang w:eastAsia="zh-CN"/>
        </w:rPr>
        <w:t>无。</w:t>
      </w:r>
    </w:p>
    <w:p w14:paraId="6894F443">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公务用车运行维护费支出预算为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万元，支出决算为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w:t>
      </w:r>
    </w:p>
    <w:p w14:paraId="1EDCCC69">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主要是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支出，完成预算的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%；与上年相比增加（减少）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%。决算数大于（小于）预算数的主要原因是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。决算数大于（小于）上年数的主要原因是</w:t>
      </w:r>
      <w:r>
        <w:rPr>
          <w:rFonts w:hint="eastAsia" w:ascii="Times New Roman" w:hAnsi="Times New Roman" w:eastAsia="仿宋_GB2312" w:cs="Times New Roman"/>
          <w:bCs/>
          <w:kern w:val="0"/>
          <w:sz w:val="32"/>
          <w:szCs w:val="32"/>
          <w:lang w:eastAsia="zh-CN"/>
        </w:rPr>
        <w:t>无</w:t>
      </w:r>
      <w:r>
        <w:rPr>
          <w:rFonts w:hint="eastAsia" w:ascii="Times New Roman" w:hAnsi="Times New Roman" w:eastAsia="仿宋_GB2312" w:cs="Times New Roman"/>
          <w:bCs/>
          <w:kern w:val="0"/>
          <w:sz w:val="32"/>
          <w:szCs w:val="32"/>
        </w:rPr>
        <w:t>。截</w:t>
      </w:r>
      <w:r>
        <w:rPr>
          <w:rFonts w:hint="eastAsia" w:ascii="Times New Roman" w:hAnsi="Times New Roman" w:eastAsia="仿宋_GB2312" w:cs="Times New Roman"/>
          <w:bCs/>
          <w:kern w:val="0"/>
          <w:sz w:val="32"/>
          <w:szCs w:val="32"/>
          <w:lang w:eastAsia="zh-CN"/>
        </w:rPr>
        <w:t>至</w:t>
      </w:r>
      <w:r>
        <w:rPr>
          <w:rFonts w:hint="eastAsia" w:ascii="Times New Roman" w:hAnsi="Times New Roman" w:eastAsia="仿宋_GB2312" w:cs="Times New Roman"/>
          <w:bCs/>
          <w:kern w:val="0"/>
          <w:sz w:val="32"/>
          <w:szCs w:val="32"/>
        </w:rPr>
        <w:t>2025年12月31日，我单位开支财政拨款的公务用车保有量为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w:t>
      </w:r>
    </w:p>
    <w:p w14:paraId="77F03718">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3.公务接待费支出预算为0万元，支出决算为0万元，完成预算的0%；与上年相比增加（减少）0万元，增长（降低）0%。决算数大于（小于）预算数的主要原因是无。决算数大于（小于）上年数的主要原因是无。202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年度共接待来访团组0个、来宾0人次，主要是无发生的接待支出。</w:t>
      </w:r>
    </w:p>
    <w:p w14:paraId="449525AD">
      <w:pPr>
        <w:pStyle w:val="14"/>
        <w:keepNext w:val="0"/>
        <w:keepLines w:val="0"/>
        <w:pageBreakBefore w:val="0"/>
        <w:widowControl w:val="0"/>
        <w:kinsoku/>
        <w:wordWrap/>
        <w:overflowPunct w:val="0"/>
        <w:topLinePunct w:val="0"/>
        <w:autoSpaceDE/>
        <w:autoSpaceDN/>
        <w:bidi w:val="0"/>
        <w:spacing w:before="157" w:beforeLines="50" w:line="360" w:lineRule="auto"/>
        <w:ind w:left="0" w:right="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八、政府性基金预算收入支出决算情况（本单位无政府性基金收支）</w:t>
      </w:r>
    </w:p>
    <w:p w14:paraId="00DDD568">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2025年度政府性基金预算财政拨款收入</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万元；年初结转和结余</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万元，其中基本支出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万元，项目支出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万元；年末结转和结余</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万元。具体情况如下：本单位无政府性基金收支。</w:t>
      </w:r>
    </w:p>
    <w:p w14:paraId="1671608A">
      <w:pPr>
        <w:pStyle w:val="14"/>
        <w:keepNext w:val="0"/>
        <w:keepLines w:val="0"/>
        <w:pageBreakBefore w:val="0"/>
        <w:widowControl w:val="0"/>
        <w:kinsoku/>
        <w:wordWrap/>
        <w:overflowPunct w:val="0"/>
        <w:topLinePunct w:val="0"/>
        <w:autoSpaceDE/>
        <w:autoSpaceDN/>
        <w:bidi w:val="0"/>
        <w:spacing w:before="157" w:beforeLines="50" w:line="360" w:lineRule="auto"/>
        <w:ind w:left="0" w:right="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九、国有资本经营预算财政拨款收入支出决算情况说明（本单位无国有资本经营预算财政拨款收支）</w:t>
      </w:r>
    </w:p>
    <w:p w14:paraId="7DA51C5D">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年度国有资本经营预算财政拨款收入0万元；年初结转和结余0万元；</w:t>
      </w:r>
      <w:bookmarkStart w:id="7" w:name="_Hlk146695518"/>
      <w:r>
        <w:rPr>
          <w:rFonts w:hint="eastAsia" w:ascii="Times New Roman" w:hAnsi="Times New Roman" w:eastAsia="仿宋_GB2312" w:cs="Times New Roman"/>
          <w:bCs/>
          <w:kern w:val="0"/>
          <w:sz w:val="32"/>
          <w:szCs w:val="32"/>
        </w:rPr>
        <w:t>国有资本经营预算财政拨款</w:t>
      </w:r>
      <w:bookmarkEnd w:id="7"/>
      <w:r>
        <w:rPr>
          <w:rFonts w:hint="eastAsia" w:ascii="Times New Roman" w:hAnsi="Times New Roman" w:eastAsia="仿宋_GB2312" w:cs="Times New Roman"/>
          <w:bCs/>
          <w:kern w:val="0"/>
          <w:sz w:val="32"/>
          <w:szCs w:val="32"/>
        </w:rPr>
        <w:t>支出0万元，其中基本支出 0万元，项目支出0万元。</w:t>
      </w:r>
      <w:r>
        <w:rPr>
          <w:rFonts w:hint="eastAsia" w:ascii="Times New Roman" w:hAnsi="Times New Roman" w:eastAsia="仿宋_GB2312" w:cs="Times New Roman"/>
          <w:bCs/>
          <w:kern w:val="0"/>
          <w:sz w:val="32"/>
          <w:szCs w:val="32"/>
          <w:lang w:eastAsia="zh-CN"/>
        </w:rPr>
        <w:t>具</w:t>
      </w:r>
      <w:r>
        <w:rPr>
          <w:rFonts w:hint="eastAsia" w:ascii="Times New Roman" w:hAnsi="Times New Roman" w:eastAsia="仿宋_GB2312" w:cs="Times New Roman"/>
          <w:bCs/>
          <w:kern w:val="0"/>
          <w:sz w:val="32"/>
          <w:szCs w:val="32"/>
        </w:rPr>
        <w:t>体情况如下：本单位无政府性基金收支。</w:t>
      </w:r>
    </w:p>
    <w:p w14:paraId="621F789A">
      <w:pPr>
        <w:pStyle w:val="14"/>
        <w:keepNext w:val="0"/>
        <w:keepLines w:val="0"/>
        <w:pageBreakBefore w:val="0"/>
        <w:widowControl w:val="0"/>
        <w:kinsoku/>
        <w:wordWrap/>
        <w:topLinePunct w:val="0"/>
        <w:bidi w:val="0"/>
        <w:spacing w:before="157" w:beforeLines="50" w:line="360" w:lineRule="auto"/>
        <w:ind w:left="0" w:right="0"/>
        <w:jc w:val="both"/>
        <w:textAlignment w:val="auto"/>
        <w:rPr>
          <w:rFonts w:hint="eastAsia" w:ascii="Times New Roman" w:hAnsi="Times New Roman" w:cs="Times New Roman"/>
          <w:bCs/>
          <w:sz w:val="32"/>
          <w:szCs w:val="32"/>
        </w:rPr>
      </w:pPr>
      <w:r>
        <w:rPr>
          <w:rFonts w:hint="eastAsia" w:ascii="Times New Roman" w:hAnsi="Times New Roman" w:cs="Times New Roman"/>
          <w:bCs/>
          <w:sz w:val="32"/>
          <w:szCs w:val="32"/>
          <w:lang w:eastAsia="zh-CN"/>
        </w:rPr>
        <w:t>十</w:t>
      </w:r>
      <w:r>
        <w:rPr>
          <w:rFonts w:hint="eastAsia" w:ascii="Times New Roman" w:hAnsi="Times New Roman" w:cs="Times New Roman"/>
          <w:bCs/>
          <w:sz w:val="32"/>
          <w:szCs w:val="32"/>
        </w:rPr>
        <w:t>、关于机关运行经费支出说明（本单位无机关运行经费支出）</w:t>
      </w:r>
    </w:p>
    <w:p w14:paraId="11EB9B2C">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本部门2025年度机关运行经费支出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万元，比年初预算数（或者上年决算数）增加（减少）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万元，增长（降低）</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%。主要原因是：本单位无机关运行经费支出。</w:t>
      </w:r>
    </w:p>
    <w:p w14:paraId="7FCC9BD6">
      <w:pPr>
        <w:pStyle w:val="14"/>
        <w:keepNext w:val="0"/>
        <w:keepLines w:val="0"/>
        <w:pageBreakBefore w:val="0"/>
        <w:widowControl w:val="0"/>
        <w:kinsoku/>
        <w:wordWrap/>
        <w:topLinePunct w:val="0"/>
        <w:bidi w:val="0"/>
        <w:spacing w:before="157" w:beforeLines="50" w:line="360" w:lineRule="auto"/>
        <w:ind w:left="0" w:right="0"/>
        <w:jc w:val="both"/>
        <w:textAlignment w:val="auto"/>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十一、一般性支出情况说明</w:t>
      </w:r>
      <w:r>
        <w:rPr>
          <w:rFonts w:hint="eastAsia" w:hAnsi="黑体"/>
          <w:bCs/>
          <w:sz w:val="32"/>
          <w:szCs w:val="32"/>
        </w:rPr>
        <w:t>（本单位无一般性支出）</w:t>
      </w:r>
    </w:p>
    <w:p w14:paraId="25696AA4">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rPr>
        <w:t>2025年本部门开支会议费</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万元，人数</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人；开支培训费</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万元，人数</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人；举办节庆、晚会、论坛、赛事活动，开支</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w:t>
      </w:r>
      <w:r>
        <w:rPr>
          <w:rFonts w:hint="eastAsia" w:ascii="Times New Roman" w:hAnsi="Times New Roman" w:eastAsia="仿宋_GB2312" w:cs="Times New Roman"/>
          <w:bCs/>
          <w:kern w:val="0"/>
          <w:sz w:val="32"/>
          <w:szCs w:val="32"/>
          <w:lang w:eastAsia="zh-CN"/>
        </w:rPr>
        <w:t>。</w:t>
      </w:r>
    </w:p>
    <w:p w14:paraId="1F020938">
      <w:pPr>
        <w:pStyle w:val="14"/>
        <w:keepNext w:val="0"/>
        <w:keepLines w:val="0"/>
        <w:pageBreakBefore w:val="0"/>
        <w:widowControl w:val="0"/>
        <w:kinsoku/>
        <w:wordWrap/>
        <w:overflowPunct w:val="0"/>
        <w:topLinePunct w:val="0"/>
        <w:autoSpaceDE/>
        <w:autoSpaceDN/>
        <w:bidi w:val="0"/>
        <w:adjustRightInd w:val="0"/>
        <w:snapToGrid/>
        <w:spacing w:before="157" w:beforeLines="50" w:line="360" w:lineRule="auto"/>
        <w:ind w:left="0" w:right="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十二、关于政府采购支出说明（本单位无政府采购支出）</w:t>
      </w:r>
    </w:p>
    <w:p w14:paraId="7D94C5F0">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本部门2025年度政府采购支出总额</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万元，其中：政府采购货物支出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万元、政府采购工程支出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万元、政府采购服务支出</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万元。授予中小企业合同金额</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万元，占政府采购支出总额的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%，其中：授予小微企业合同金额</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万元，占授予中小企业合同金额的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%。货物采购授予中小企业合同金额占货物支出金额的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%，工程采购授予中小企业合同金额占工程支出金额的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%，服务采购授予中小企业合同金额占服务支出金额的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w:t>
      </w:r>
    </w:p>
    <w:p w14:paraId="05CF6A5F">
      <w:pPr>
        <w:pStyle w:val="14"/>
        <w:keepNext w:val="0"/>
        <w:keepLines w:val="0"/>
        <w:pageBreakBefore w:val="0"/>
        <w:widowControl w:val="0"/>
        <w:kinsoku/>
        <w:wordWrap/>
        <w:overflowPunct w:val="0"/>
        <w:topLinePunct w:val="0"/>
        <w:autoSpaceDE/>
        <w:autoSpaceDN/>
        <w:bidi w:val="0"/>
        <w:spacing w:before="157" w:beforeLines="50" w:line="360" w:lineRule="auto"/>
        <w:ind w:left="0" w:right="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十三、关于国有资产占用情况说明</w:t>
      </w:r>
    </w:p>
    <w:p w14:paraId="63DCE030">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截至2025年12月31日，部门（单位）共有车辆</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辆，其中，副部（省）级及以上领导用车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辆、主要负责人用车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辆、机要通信用车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辆、应急保障用车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辆、执法执勤用车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辆、特种专业技术用车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辆、离退休干部服务用车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辆、其他用车</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辆，其他用车主要是公务用车；单位价值100万元以上设备（不含车辆）</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台（套）。</w:t>
      </w:r>
    </w:p>
    <w:p w14:paraId="3480E9ED">
      <w:pPr>
        <w:pStyle w:val="14"/>
        <w:keepNext w:val="0"/>
        <w:keepLines w:val="0"/>
        <w:pageBreakBefore w:val="0"/>
        <w:widowControl w:val="0"/>
        <w:kinsoku/>
        <w:wordWrap/>
        <w:overflowPunct w:val="0"/>
        <w:topLinePunct w:val="0"/>
        <w:autoSpaceDE/>
        <w:autoSpaceDN/>
        <w:bidi w:val="0"/>
        <w:spacing w:before="157" w:beforeLines="50" w:line="360" w:lineRule="auto"/>
        <w:ind w:left="0" w:right="0"/>
        <w:jc w:val="both"/>
        <w:textAlignment w:val="auto"/>
        <w:rPr>
          <w:rFonts w:hint="eastAsia" w:ascii="Times New Roman" w:hAnsi="Times New Roman" w:cs="Times New Roman"/>
          <w:color w:val="auto"/>
          <w:kern w:val="2"/>
          <w:sz w:val="32"/>
          <w:szCs w:val="32"/>
          <w:lang w:eastAsia="zh-CN"/>
        </w:rPr>
      </w:pPr>
      <w:r>
        <w:rPr>
          <w:rFonts w:hint="eastAsia" w:ascii="Times New Roman" w:hAnsi="Times New Roman" w:cs="Times New Roman"/>
          <w:color w:val="auto"/>
          <w:kern w:val="2"/>
          <w:sz w:val="32"/>
          <w:szCs w:val="32"/>
          <w:lang w:eastAsia="zh-CN"/>
        </w:rPr>
        <w:t>十四、关于2025年度预算绩效情况的说明</w:t>
      </w:r>
    </w:p>
    <w:p w14:paraId="7B3D933B">
      <w:pPr>
        <w:keepNext w:val="0"/>
        <w:keepLines w:val="0"/>
        <w:pageBreakBefore w:val="0"/>
        <w:widowControl w:val="0"/>
        <w:kinsoku/>
        <w:wordWrap/>
        <w:overflowPunct w:val="0"/>
        <w:topLinePunct w:val="0"/>
        <w:bidi w:val="0"/>
        <w:spacing w:before="157" w:beforeLines="50" w:line="360" w:lineRule="auto"/>
        <w:ind w:left="0" w:right="0" w:firstLine="640" w:firstLineChars="200"/>
        <w:jc w:val="both"/>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Cs/>
          <w:kern w:val="0"/>
          <w:sz w:val="32"/>
          <w:szCs w:val="32"/>
        </w:rPr>
        <w:t>组织对2025年度本单位整体支出开展绩效自评，涉及项目</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个，共涉及资金</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万元。其中，一般公共预算项目</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个</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万元，占一般公共预算支出总额的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%；政府性基金预算项目</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个</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万元，占政府性基金预算支出总额的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%；国有资本经营预算项目</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个</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万元，占国有资本经营预算支出总额的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%；社会保险基金预算项目</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个</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 xml:space="preserve"> 万元，占社会保险基金预算支出总额的</w:t>
      </w:r>
      <w:r>
        <w:rPr>
          <w:rFonts w:hint="eastAsia" w:ascii="Times New Roman" w:hAnsi="Times New Roman" w:eastAsia="仿宋_GB2312" w:cs="Times New Roman"/>
          <w:bCs/>
          <w:kern w:val="0"/>
          <w:sz w:val="32"/>
          <w:szCs w:val="32"/>
          <w:lang w:val="en-US" w:eastAsia="zh-CN"/>
        </w:rPr>
        <w:t>0</w:t>
      </w:r>
      <w:r>
        <w:rPr>
          <w:rFonts w:hint="eastAsia" w:ascii="Times New Roman" w:hAnsi="Times New Roman" w:eastAsia="仿宋_GB2312" w:cs="Times New Roman"/>
          <w:bCs/>
          <w:kern w:val="0"/>
          <w:sz w:val="32"/>
          <w:szCs w:val="32"/>
        </w:rPr>
        <w:t>%。</w:t>
      </w:r>
    </w:p>
    <w:p w14:paraId="39E15944">
      <w:pPr>
        <w:keepNext w:val="0"/>
        <w:keepLines w:val="0"/>
        <w:pageBreakBefore w:val="0"/>
        <w:widowControl w:val="0"/>
        <w:kinsoku/>
        <w:wordWrap/>
        <w:overflowPunct/>
        <w:topLinePunct w:val="0"/>
        <w:autoSpaceDE/>
        <w:autoSpaceDN/>
        <w:bidi w:val="0"/>
        <w:adjustRightInd/>
        <w:snapToGrid/>
        <w:spacing w:before="157" w:beforeLines="50" w:line="360" w:lineRule="auto"/>
        <w:ind w:left="0" w:right="0" w:firstLine="640" w:firstLineChars="200"/>
        <w:jc w:val="both"/>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（二）绩效评价结果。一是绩效自评结果。</w:t>
      </w:r>
      <w:r>
        <w:rPr>
          <w:rFonts w:hint="eastAsia" w:ascii="Times New Roman" w:hAnsi="Times New Roman" w:eastAsia="仿宋_GB2312" w:cs="Times New Roman"/>
          <w:bCs/>
          <w:kern w:val="0"/>
          <w:sz w:val="32"/>
          <w:szCs w:val="32"/>
        </w:rPr>
        <w:t>2025年度本单位整体支出全年预算数</w:t>
      </w:r>
      <w:r>
        <w:rPr>
          <w:rFonts w:hint="eastAsia" w:ascii="Times New Roman" w:hAnsi="Times New Roman" w:eastAsia="仿宋_GB2312" w:cs="Times New Roman"/>
          <w:bCs/>
          <w:kern w:val="0"/>
          <w:sz w:val="32"/>
          <w:szCs w:val="32"/>
          <w:lang w:val="en-US" w:eastAsia="zh-CN"/>
        </w:rPr>
        <w:t>715.74</w:t>
      </w:r>
      <w:r>
        <w:rPr>
          <w:rFonts w:hint="eastAsia" w:ascii="Times New Roman" w:hAnsi="Times New Roman" w:eastAsia="仿宋_GB2312" w:cs="Times New Roman"/>
          <w:bCs/>
          <w:kern w:val="0"/>
          <w:sz w:val="32"/>
          <w:szCs w:val="32"/>
        </w:rPr>
        <w:t>万元，执行数</w:t>
      </w:r>
      <w:r>
        <w:rPr>
          <w:rFonts w:hint="eastAsia" w:ascii="Times New Roman" w:hAnsi="Times New Roman" w:eastAsia="仿宋_GB2312" w:cs="Times New Roman"/>
          <w:bCs/>
          <w:kern w:val="0"/>
          <w:sz w:val="32"/>
          <w:szCs w:val="32"/>
          <w:lang w:val="en-US" w:eastAsia="zh-CN"/>
        </w:rPr>
        <w:t>709.96</w:t>
      </w:r>
      <w:r>
        <w:rPr>
          <w:rFonts w:hint="eastAsia" w:ascii="Times New Roman" w:hAnsi="Times New Roman" w:eastAsia="仿宋_GB2312" w:cs="Times New Roman"/>
          <w:bCs/>
          <w:kern w:val="0"/>
          <w:sz w:val="32"/>
          <w:szCs w:val="32"/>
        </w:rPr>
        <w:t>万元，完成预算的</w:t>
      </w:r>
      <w:r>
        <w:rPr>
          <w:rFonts w:hint="eastAsia" w:ascii="Times New Roman" w:hAnsi="Times New Roman" w:eastAsia="仿宋_GB2312" w:cs="Times New Roman"/>
          <w:bCs/>
          <w:kern w:val="0"/>
          <w:sz w:val="32"/>
          <w:szCs w:val="32"/>
          <w:lang w:val="en-US" w:eastAsia="zh-CN"/>
        </w:rPr>
        <w:t>99.19</w:t>
      </w:r>
      <w:r>
        <w:rPr>
          <w:rFonts w:hint="eastAsia" w:ascii="Times New Roman" w:hAnsi="Times New Roman" w:eastAsia="仿宋_GB2312" w:cs="Times New Roman"/>
          <w:bCs/>
          <w:kern w:val="0"/>
          <w:sz w:val="32"/>
          <w:szCs w:val="32"/>
        </w:rPr>
        <w:t>%，绩效自评得分</w:t>
      </w:r>
      <w:r>
        <w:rPr>
          <w:rFonts w:hint="eastAsia" w:ascii="Times New Roman" w:hAnsi="Times New Roman" w:eastAsia="仿宋_GB2312" w:cs="Times New Roman"/>
          <w:bCs/>
          <w:kern w:val="0"/>
          <w:sz w:val="32"/>
          <w:szCs w:val="32"/>
          <w:lang w:val="en-US" w:eastAsia="zh-CN"/>
        </w:rPr>
        <w:t>99.92</w:t>
      </w:r>
      <w:r>
        <w:rPr>
          <w:rFonts w:hint="eastAsia" w:ascii="Times New Roman" w:hAnsi="Times New Roman" w:eastAsia="仿宋_GB2312" w:cs="Times New Roman"/>
          <w:bCs/>
          <w:kern w:val="0"/>
          <w:sz w:val="32"/>
          <w:szCs w:val="32"/>
        </w:rPr>
        <w:t>分，评价等级为“</w:t>
      </w:r>
      <w:r>
        <w:rPr>
          <w:rFonts w:hint="eastAsia" w:ascii="Times New Roman" w:hAnsi="Times New Roman" w:eastAsia="仿宋_GB2312" w:cs="Times New Roman"/>
          <w:bCs/>
          <w:kern w:val="0"/>
          <w:sz w:val="32"/>
          <w:szCs w:val="32"/>
          <w:lang w:eastAsia="zh-CN"/>
        </w:rPr>
        <w:t>优</w:t>
      </w:r>
      <w:r>
        <w:rPr>
          <w:rFonts w:hint="eastAsia" w:ascii="Times New Roman" w:hAnsi="Times New Roman" w:eastAsia="仿宋_GB2312" w:cs="Times New Roman"/>
          <w:bCs/>
          <w:kern w:val="0"/>
          <w:sz w:val="32"/>
          <w:szCs w:val="32"/>
        </w:rPr>
        <w:t>”。绩效目标完成情况</w:t>
      </w: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年度</w:t>
      </w:r>
      <w:r>
        <w:rPr>
          <w:rFonts w:hint="eastAsia" w:ascii="Times New Roman" w:hAnsi="Times New Roman" w:eastAsia="仿宋_GB2312" w:cs="Times New Roman"/>
          <w:bCs/>
          <w:kern w:val="0"/>
          <w:sz w:val="32"/>
          <w:szCs w:val="32"/>
          <w:lang w:val="en-US" w:eastAsia="zh-CN"/>
        </w:rPr>
        <w:t>:应</w:t>
      </w:r>
      <w:r>
        <w:rPr>
          <w:rFonts w:hint="eastAsia" w:ascii="Times New Roman" w:hAnsi="Times New Roman" w:eastAsia="仿宋_GB2312" w:cs="Times New Roman"/>
          <w:bCs/>
          <w:kern w:val="0"/>
          <w:sz w:val="32"/>
          <w:szCs w:val="32"/>
        </w:rPr>
        <w:t>支出总额</w:t>
      </w:r>
      <w:r>
        <w:rPr>
          <w:rFonts w:hint="eastAsia" w:ascii="Times New Roman" w:hAnsi="Times New Roman" w:eastAsia="仿宋_GB2312" w:cs="Times New Roman"/>
          <w:bCs/>
          <w:kern w:val="0"/>
          <w:sz w:val="32"/>
          <w:szCs w:val="32"/>
          <w:lang w:val="en-US" w:eastAsia="zh-CN"/>
        </w:rPr>
        <w:t>715.74</w:t>
      </w:r>
      <w:r>
        <w:rPr>
          <w:rFonts w:hint="eastAsia" w:ascii="Times New Roman" w:hAnsi="Times New Roman" w:eastAsia="仿宋_GB2312" w:cs="Times New Roman"/>
          <w:bCs/>
          <w:kern w:val="0"/>
          <w:sz w:val="32"/>
          <w:szCs w:val="32"/>
        </w:rPr>
        <w:t>8万元，其中人员经费</w:t>
      </w:r>
      <w:r>
        <w:rPr>
          <w:rFonts w:hint="eastAsia" w:ascii="Times New Roman" w:hAnsi="Times New Roman" w:eastAsia="仿宋_GB2312" w:cs="Times New Roman"/>
          <w:bCs/>
          <w:kern w:val="0"/>
          <w:sz w:val="32"/>
          <w:szCs w:val="32"/>
          <w:lang w:val="en-US" w:eastAsia="zh-CN"/>
        </w:rPr>
        <w:t>682.14</w:t>
      </w:r>
      <w:r>
        <w:rPr>
          <w:rFonts w:hint="eastAsia" w:ascii="Times New Roman" w:hAnsi="Times New Roman" w:eastAsia="仿宋_GB2312" w:cs="Times New Roman"/>
          <w:bCs/>
          <w:kern w:val="0"/>
          <w:sz w:val="32"/>
          <w:szCs w:val="32"/>
        </w:rPr>
        <w:t>万元，占总支出的</w:t>
      </w:r>
      <w:r>
        <w:rPr>
          <w:rFonts w:hint="eastAsia" w:ascii="Times New Roman" w:hAnsi="Times New Roman" w:eastAsia="仿宋_GB2312" w:cs="Times New Roman"/>
          <w:bCs/>
          <w:kern w:val="0"/>
          <w:sz w:val="32"/>
          <w:szCs w:val="32"/>
          <w:lang w:val="en-US" w:eastAsia="zh-CN"/>
        </w:rPr>
        <w:t>95.31</w:t>
      </w:r>
      <w:r>
        <w:rPr>
          <w:rFonts w:hint="eastAsia" w:ascii="Times New Roman" w:hAnsi="Times New Roman" w:eastAsia="仿宋_GB2312" w:cs="Times New Roman"/>
          <w:bCs/>
          <w:kern w:val="0"/>
          <w:sz w:val="32"/>
          <w:szCs w:val="32"/>
        </w:rPr>
        <w:t>%；公用经费</w:t>
      </w:r>
      <w:r>
        <w:rPr>
          <w:rFonts w:hint="eastAsia" w:ascii="Times New Roman" w:hAnsi="Times New Roman" w:eastAsia="仿宋_GB2312" w:cs="Times New Roman"/>
          <w:bCs/>
          <w:kern w:val="0"/>
          <w:sz w:val="32"/>
          <w:szCs w:val="32"/>
          <w:lang w:val="en-US" w:eastAsia="zh-CN"/>
        </w:rPr>
        <w:t>33.59</w:t>
      </w:r>
      <w:r>
        <w:rPr>
          <w:rFonts w:hint="eastAsia" w:ascii="Times New Roman" w:hAnsi="Times New Roman" w:eastAsia="仿宋_GB2312" w:cs="Times New Roman"/>
          <w:bCs/>
          <w:kern w:val="0"/>
          <w:sz w:val="32"/>
          <w:szCs w:val="32"/>
        </w:rPr>
        <w:t>万元，占总支出的</w:t>
      </w:r>
      <w:r>
        <w:rPr>
          <w:rFonts w:hint="eastAsia" w:ascii="Times New Roman" w:hAnsi="Times New Roman" w:eastAsia="仿宋_GB2312" w:cs="Times New Roman"/>
          <w:bCs/>
          <w:kern w:val="0"/>
          <w:sz w:val="32"/>
          <w:szCs w:val="32"/>
          <w:lang w:val="en-US" w:eastAsia="zh-CN"/>
        </w:rPr>
        <w:t>4.69</w:t>
      </w:r>
      <w:r>
        <w:rPr>
          <w:rFonts w:hint="eastAsia" w:ascii="Times New Roman" w:hAnsi="Times New Roman" w:eastAsia="仿宋_GB2312" w:cs="Times New Roman"/>
          <w:bCs/>
          <w:kern w:val="0"/>
          <w:sz w:val="32"/>
          <w:szCs w:val="32"/>
        </w:rPr>
        <w:t>%。发现的主要问题及原因：</w:t>
      </w:r>
      <w:r>
        <w:rPr>
          <w:rFonts w:hint="eastAsia" w:ascii="Times New Roman" w:hAnsi="Times New Roman" w:eastAsia="仿宋_GB2312" w:cs="Times New Roman"/>
          <w:bCs/>
          <w:kern w:val="0"/>
          <w:sz w:val="32"/>
          <w:szCs w:val="32"/>
          <w:lang w:val="en-US" w:eastAsia="zh-CN"/>
        </w:rPr>
        <w:t>作为市水利局二级预算管理单位，应收账款的收取过程无任何经营费用,县市区财政压力较大,历史欠款较多,清算核资时并未对未立项的工程项目设计合同进行终止,加之技术服务中心现在未开展经营活动,无法继续从事设计服务,与县市区水利局沟通衔接不顺畅，目前应收账</w:t>
      </w:r>
      <w:bookmarkStart w:id="8" w:name="_GoBack"/>
      <w:bookmarkEnd w:id="8"/>
      <w:r>
        <w:rPr>
          <w:rFonts w:hint="eastAsia" w:ascii="Times New Roman" w:hAnsi="Times New Roman" w:eastAsia="仿宋_GB2312" w:cs="Times New Roman"/>
          <w:bCs/>
          <w:kern w:val="0"/>
          <w:sz w:val="32"/>
          <w:szCs w:val="32"/>
          <w:lang w:val="en-US" w:eastAsia="zh-CN"/>
        </w:rPr>
        <w:t>款回款比较困难。</w:t>
      </w:r>
      <w:r>
        <w:rPr>
          <w:rFonts w:hint="eastAsia" w:ascii="Times New Roman" w:hAnsi="Times New Roman" w:eastAsia="仿宋_GB2312" w:cs="Times New Roman"/>
          <w:bCs/>
          <w:kern w:val="0"/>
          <w:sz w:val="32"/>
          <w:szCs w:val="32"/>
        </w:rPr>
        <w:t>下一步改进措施：</w:t>
      </w:r>
      <w:r>
        <w:rPr>
          <w:rFonts w:hint="eastAsia" w:ascii="Times New Roman" w:hAnsi="Times New Roman" w:eastAsia="仿宋_GB2312" w:cs="Times New Roman"/>
          <w:bCs/>
          <w:kern w:val="0"/>
          <w:sz w:val="32"/>
          <w:szCs w:val="32"/>
          <w:lang w:val="en-US" w:eastAsia="zh-CN"/>
        </w:rPr>
        <w:t>进一步加强对预算执行情况的跟踪和分析，及时发现问题并采取措施加以解决。优化项目审批流程，提高效率，确保预算执行进度与工作进度相匹配。同时，加强财务管理，积极与相关单位协商解决债权问题，提高资金使用效益</w:t>
      </w:r>
    </w:p>
    <w:p w14:paraId="5011D345">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640" w:firstLineChars="200"/>
        <w:jc w:val="both"/>
        <w:textAlignment w:val="auto"/>
        <w:rPr>
          <w:rFonts w:hint="eastAsia" w:ascii="Times New Roman" w:hAnsi="Times New Roman" w:eastAsia="仿宋_GB2312" w:cs="Times New Roman"/>
          <w:bCs/>
          <w:color w:val="auto"/>
          <w:kern w:val="0"/>
          <w:sz w:val="32"/>
          <w:szCs w:val="32"/>
          <w:lang w:val="en-US" w:eastAsia="zh-CN" w:bidi="ar-SA"/>
        </w:rPr>
      </w:pPr>
      <w:r>
        <w:rPr>
          <w:rFonts w:ascii="Times New Roman" w:hAnsi="Times New Roman" w:eastAsia="楷体_GB2312" w:cs="Times New Roman"/>
          <w:b/>
          <w:bCs/>
          <w:color w:val="auto"/>
          <w:kern w:val="2"/>
          <w:sz w:val="32"/>
          <w:szCs w:val="32"/>
          <w:lang w:val="en-US" w:eastAsia="zh-CN" w:bidi="ar-SA"/>
        </w:rPr>
        <w:t>（三）评价结果应用情况。</w:t>
      </w:r>
      <w:r>
        <w:rPr>
          <w:rFonts w:hint="eastAsia" w:ascii="Times New Roman" w:hAnsi="Times New Roman" w:eastAsia="仿宋_GB2312" w:cs="Times New Roman"/>
          <w:bCs/>
          <w:color w:val="auto"/>
          <w:kern w:val="0"/>
          <w:sz w:val="32"/>
          <w:szCs w:val="32"/>
          <w:lang w:val="en-US" w:eastAsia="zh-CN" w:bidi="ar-SA"/>
        </w:rPr>
        <w:t>根据2024年度绩效自评结果、对本单位2025年度预算安排进行如下说明。</w:t>
      </w:r>
    </w:p>
    <w:p w14:paraId="58B9BC1E">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加强预算执行管理：进一步加强对预算执行情况的跟踪和分析，及时发现问题并采取措施加以解决。优化项目审批流程，提高项目实施效率，确保预算执行进度与工作进度相匹配。同时，加强财务管理，积极与相关单位协商解决债权问题，提高资金使用效益争取按时按量完成应收账款回款。</w:t>
      </w:r>
    </w:p>
    <w:p w14:paraId="7703D00C">
      <w:pPr>
        <w:keepNext w:val="0"/>
        <w:keepLines w:val="0"/>
        <w:pageBreakBefore w:val="0"/>
        <w:widowControl w:val="0"/>
        <w:kinsoku/>
        <w:wordWrap/>
        <w:topLinePunct w:val="0"/>
        <w:bidi w:val="0"/>
        <w:snapToGrid w:val="0"/>
        <w:spacing w:before="157" w:beforeLines="50" w:line="360" w:lineRule="auto"/>
        <w:ind w:left="0" w:right="0" w:firstLine="640" w:firstLineChars="200"/>
        <w:jc w:val="both"/>
        <w:textAlignment w:val="auto"/>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完善体制机制：进一步理顺中心的体制机制，建立健全激励机制和创新机制，激发中心的发展动力和创新活力。加强内部管理，优化工作流程，提高工作效率和质量。同时，积极探索多元化的发展路径，提高中心的抗风险能力和可持续发展能力。</w:t>
      </w:r>
    </w:p>
    <w:p w14:paraId="77EA5EB0">
      <w:pPr>
        <w:pStyle w:val="14"/>
        <w:keepNext w:val="0"/>
        <w:keepLines w:val="0"/>
        <w:pageBreakBefore w:val="0"/>
        <w:widowControl w:val="0"/>
        <w:kinsoku/>
        <w:wordWrap/>
        <w:overflowPunct w:val="0"/>
        <w:topLinePunct w:val="0"/>
        <w:autoSpaceDE/>
        <w:autoSpaceDN/>
        <w:bidi w:val="0"/>
        <w:spacing w:before="157" w:beforeLines="50" w:line="360" w:lineRule="auto"/>
        <w:ind w:left="0" w:right="0" w:firstLine="1440" w:firstLineChars="200"/>
        <w:jc w:val="both"/>
        <w:textAlignment w:val="auto"/>
        <w:rPr>
          <w:rFonts w:ascii="Times New Roman" w:hAnsi="Times New Roman" w:eastAsia="仿宋_GB2312" w:cs="Times New Roman"/>
          <w:color w:val="auto"/>
          <w:sz w:val="72"/>
          <w:szCs w:val="72"/>
        </w:rPr>
      </w:pPr>
    </w:p>
    <w:p w14:paraId="7BB8A458">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sz w:val="72"/>
          <w:szCs w:val="72"/>
        </w:rPr>
      </w:pPr>
    </w:p>
    <w:p w14:paraId="2599283E">
      <w:pPr>
        <w:pStyle w:val="14"/>
        <w:keepNext w:val="0"/>
        <w:keepLines w:val="0"/>
        <w:pageBreakBefore w:val="0"/>
        <w:widowControl w:val="0"/>
        <w:kinsoku/>
        <w:wordWrap/>
        <w:topLinePunct w:val="0"/>
        <w:bidi w:val="0"/>
        <w:spacing w:before="157" w:beforeLines="50" w:line="360" w:lineRule="auto"/>
        <w:ind w:left="0" w:right="0"/>
        <w:jc w:val="both"/>
        <w:textAlignment w:val="auto"/>
        <w:rPr>
          <w:rFonts w:ascii="Times New Roman" w:hAnsi="Times New Roman" w:cs="Times New Roman"/>
          <w:sz w:val="72"/>
          <w:szCs w:val="72"/>
        </w:rPr>
      </w:pPr>
    </w:p>
    <w:p w14:paraId="361FB339">
      <w:pPr>
        <w:pStyle w:val="14"/>
        <w:jc w:val="center"/>
        <w:rPr>
          <w:rFonts w:ascii="Times New Roman" w:hAnsi="Times New Roman" w:cs="Times New Roman"/>
          <w:sz w:val="72"/>
          <w:szCs w:val="72"/>
        </w:rPr>
      </w:pPr>
    </w:p>
    <w:p w14:paraId="52D7A4DD">
      <w:pPr>
        <w:pStyle w:val="14"/>
        <w:jc w:val="center"/>
        <w:rPr>
          <w:rFonts w:ascii="Times New Roman" w:hAnsi="Times New Roman" w:cs="Times New Roman"/>
          <w:sz w:val="72"/>
          <w:szCs w:val="72"/>
        </w:rPr>
      </w:pPr>
    </w:p>
    <w:p w14:paraId="3ACF10FA">
      <w:pPr>
        <w:pStyle w:val="14"/>
        <w:jc w:val="center"/>
        <w:rPr>
          <w:rFonts w:ascii="Times New Roman" w:hAnsi="Times New Roman" w:cs="Times New Roman"/>
          <w:sz w:val="72"/>
          <w:szCs w:val="72"/>
        </w:rPr>
      </w:pPr>
    </w:p>
    <w:p w14:paraId="7EAE9049">
      <w:pPr>
        <w:pStyle w:val="14"/>
        <w:jc w:val="center"/>
        <w:rPr>
          <w:rFonts w:ascii="Times New Roman" w:hAnsi="Times New Roman" w:cs="Times New Roman"/>
          <w:sz w:val="72"/>
          <w:szCs w:val="72"/>
        </w:rPr>
      </w:pPr>
    </w:p>
    <w:p w14:paraId="361248BB">
      <w:pPr>
        <w:pStyle w:val="14"/>
        <w:jc w:val="center"/>
        <w:rPr>
          <w:rFonts w:ascii="Times New Roman" w:hAnsi="Times New Roman" w:cs="Times New Roman"/>
          <w:sz w:val="72"/>
          <w:szCs w:val="72"/>
        </w:rPr>
      </w:pPr>
    </w:p>
    <w:p w14:paraId="441AF161">
      <w:pPr>
        <w:pStyle w:val="14"/>
        <w:jc w:val="center"/>
        <w:rPr>
          <w:rFonts w:ascii="Times New Roman" w:hAnsi="Times New Roman" w:cs="Times New Roman"/>
          <w:sz w:val="72"/>
          <w:szCs w:val="72"/>
        </w:rPr>
      </w:pPr>
    </w:p>
    <w:p w14:paraId="65AE0F80">
      <w:pPr>
        <w:pStyle w:val="14"/>
        <w:jc w:val="center"/>
        <w:rPr>
          <w:rFonts w:ascii="Times New Roman" w:hAnsi="Times New Roman" w:cs="Times New Roman"/>
          <w:sz w:val="72"/>
          <w:szCs w:val="72"/>
        </w:rPr>
      </w:pPr>
    </w:p>
    <w:p w14:paraId="1DF39423">
      <w:pPr>
        <w:pStyle w:val="14"/>
        <w:jc w:val="center"/>
        <w:rPr>
          <w:rFonts w:ascii="Times New Roman" w:hAnsi="Times New Roman" w:cs="Times New Roman"/>
          <w:sz w:val="72"/>
          <w:szCs w:val="72"/>
        </w:rPr>
      </w:pPr>
    </w:p>
    <w:p w14:paraId="5E5F19DE">
      <w:pPr>
        <w:pStyle w:val="14"/>
        <w:jc w:val="both"/>
        <w:rPr>
          <w:rFonts w:ascii="Times New Roman" w:hAnsi="Times New Roman" w:cs="Times New Roman"/>
          <w:sz w:val="72"/>
          <w:szCs w:val="72"/>
        </w:rPr>
      </w:pPr>
    </w:p>
    <w:p w14:paraId="67AC651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CF35C6E">
      <w:pPr>
        <w:widowControl/>
        <w:jc w:val="left"/>
        <w:rPr>
          <w:rFonts w:ascii="Times New Roman" w:hAnsi="Times New Roman" w:cs="Times New Roman"/>
          <w:color w:val="000000"/>
          <w:kern w:val="0"/>
          <w:sz w:val="32"/>
          <w:szCs w:val="32"/>
        </w:rPr>
      </w:pPr>
    </w:p>
    <w:p w14:paraId="1CD1AEC3">
      <w:pPr>
        <w:pStyle w:val="14"/>
        <w:spacing w:line="360" w:lineRule="auto"/>
        <w:ind w:firstLine="640" w:firstLineChars="200"/>
        <w:rPr>
          <w:rFonts w:asciiTheme="minorEastAsia" w:hAnsiTheme="minorEastAsia" w:eastAsiaTheme="minorEastAsia"/>
          <w:sz w:val="32"/>
          <w:szCs w:val="32"/>
        </w:rPr>
      </w:pPr>
      <w:r>
        <w:rPr>
          <w:rFonts w:hint="eastAsia" w:ascii="Times New Roman" w:hAnsi="Times New Roman" w:cs="Times New Roman"/>
          <w:color w:val="auto"/>
          <w:kern w:val="2"/>
          <w:sz w:val="32"/>
          <w:szCs w:val="32"/>
        </w:rPr>
        <w:t>1.机关运行经费：</w:t>
      </w:r>
      <w:r>
        <w:rPr>
          <w:rFonts w:hint="eastAsia" w:asciiTheme="minorEastAsia" w:hAnsiTheme="minorEastAsia" w:eastAsiaTheme="minorEastAsia"/>
          <w:sz w:val="32"/>
          <w:szCs w:val="32"/>
        </w:rPr>
        <w:t>为</w:t>
      </w:r>
      <w:r>
        <w:rPr>
          <w:rFonts w:hint="eastAsia" w:ascii="Times New Roman" w:hAnsi="Times New Roman" w:eastAsia="仿宋_GB2312" w:cs="Times New Roman"/>
          <w:bCs/>
          <w:color w:val="auto"/>
          <w:sz w:val="32"/>
          <w:szCs w:val="32"/>
        </w:rPr>
        <w:t>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057C9367">
      <w:pPr>
        <w:pStyle w:val="14"/>
        <w:spacing w:line="360" w:lineRule="auto"/>
        <w:ind w:firstLine="640" w:firstLineChars="200"/>
        <w:rPr>
          <w:rFonts w:ascii="Times New Roman" w:hAnsi="Times New Roman" w:eastAsia="仿宋_GB2312" w:cs="Times New Roman"/>
          <w:bCs/>
          <w:color w:val="auto"/>
          <w:sz w:val="32"/>
          <w:szCs w:val="32"/>
        </w:rPr>
      </w:pPr>
      <w:r>
        <w:rPr>
          <w:rFonts w:hint="eastAsia" w:ascii="Times New Roman" w:hAnsi="Times New Roman" w:cs="Times New Roman"/>
          <w:color w:val="auto"/>
          <w:kern w:val="2"/>
          <w:sz w:val="32"/>
          <w:szCs w:val="32"/>
        </w:rPr>
        <w:t>2.“三公”经费：</w:t>
      </w:r>
      <w:r>
        <w:rPr>
          <w:rFonts w:hint="eastAsia" w:ascii="Times New Roman" w:hAnsi="Times New Roman" w:eastAsia="仿宋_GB2312" w:cs="Times New Roman"/>
          <w:bCs/>
          <w:color w:val="auto"/>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03F3818">
      <w:pPr>
        <w:pStyle w:val="14"/>
        <w:jc w:val="center"/>
        <w:rPr>
          <w:rFonts w:ascii="Times New Roman" w:hAnsi="Times New Roman" w:cs="Times New Roman"/>
          <w:sz w:val="72"/>
          <w:szCs w:val="72"/>
        </w:rPr>
      </w:pPr>
    </w:p>
    <w:p w14:paraId="2CB9AFCE">
      <w:pPr>
        <w:pStyle w:val="14"/>
        <w:jc w:val="center"/>
        <w:rPr>
          <w:rFonts w:ascii="Times New Roman" w:hAnsi="Times New Roman" w:cs="Times New Roman"/>
          <w:sz w:val="72"/>
          <w:szCs w:val="72"/>
        </w:rPr>
      </w:pPr>
    </w:p>
    <w:p w14:paraId="3D286089">
      <w:pPr>
        <w:pStyle w:val="14"/>
        <w:jc w:val="center"/>
        <w:rPr>
          <w:rFonts w:ascii="Times New Roman" w:hAnsi="Times New Roman" w:cs="Times New Roman"/>
          <w:sz w:val="72"/>
          <w:szCs w:val="72"/>
        </w:rPr>
      </w:pPr>
    </w:p>
    <w:p w14:paraId="6B7AB179">
      <w:pPr>
        <w:pStyle w:val="14"/>
        <w:jc w:val="both"/>
        <w:rPr>
          <w:rFonts w:ascii="Times New Roman" w:hAnsi="Times New Roman" w:cs="Times New Roman"/>
          <w:sz w:val="72"/>
          <w:szCs w:val="72"/>
        </w:rPr>
      </w:pPr>
    </w:p>
    <w:p w14:paraId="2BFCAE4A">
      <w:pPr>
        <w:pStyle w:val="14"/>
        <w:jc w:val="both"/>
        <w:rPr>
          <w:rFonts w:ascii="Times New Roman" w:hAnsi="Times New Roman" w:cs="Times New Roman"/>
          <w:sz w:val="72"/>
          <w:szCs w:val="72"/>
        </w:rPr>
      </w:pPr>
    </w:p>
    <w:p w14:paraId="3593A3BE">
      <w:pPr>
        <w:pStyle w:val="14"/>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514E16F4">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2BB8B14">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C6665C1">
      <w:pPr>
        <w:pStyle w:val="14"/>
        <w:spacing w:line="360" w:lineRule="auto"/>
        <w:rPr>
          <w:rFonts w:hint="eastAsia" w:ascii="黑体" w:hAnsi="黑体" w:eastAsia="黑体" w:cs="黑体"/>
          <w:color w:val="auto"/>
          <w:kern w:val="2"/>
          <w:sz w:val="30"/>
          <w:szCs w:val="30"/>
          <w:lang w:val="en-US" w:eastAsia="zh-CN"/>
        </w:rPr>
      </w:pPr>
      <w:r>
        <w:rPr>
          <w:rFonts w:hint="eastAsia" w:ascii="黑体" w:hAnsi="黑体" w:eastAsia="黑体" w:cs="黑体"/>
          <w:color w:val="auto"/>
          <w:kern w:val="2"/>
          <w:sz w:val="30"/>
          <w:szCs w:val="30"/>
          <w:lang w:val="en-US" w:eastAsia="zh-CN"/>
        </w:rPr>
        <w:t>附件1.2025年度怀化市水利技术事务中心公开决算表</w:t>
      </w:r>
    </w:p>
    <w:p w14:paraId="6BC88212">
      <w:pPr>
        <w:pStyle w:val="14"/>
        <w:spacing w:line="360" w:lineRule="auto"/>
        <w:rPr>
          <w:rFonts w:hint="eastAsia" w:ascii="黑体" w:hAnsi="黑体" w:eastAsia="黑体" w:cs="黑体"/>
          <w:color w:val="auto"/>
          <w:kern w:val="2"/>
          <w:sz w:val="30"/>
          <w:szCs w:val="30"/>
        </w:rPr>
      </w:pPr>
      <w:r>
        <w:rPr>
          <w:rFonts w:hint="eastAsia" w:ascii="黑体" w:hAnsi="黑体" w:eastAsia="黑体" w:cs="黑体"/>
          <w:color w:val="auto"/>
          <w:kern w:val="2"/>
          <w:sz w:val="30"/>
          <w:szCs w:val="30"/>
          <w:lang w:val="en-US" w:eastAsia="zh-CN"/>
        </w:rPr>
        <w:t>附件2.2025年度怀化市水利技术事务中心整体支出绩效自评报告</w:t>
      </w:r>
    </w:p>
    <w:p w14:paraId="599B7424">
      <w:pPr>
        <w:jc w:val="left"/>
        <w:rPr>
          <w:rFonts w:hint="eastAsia" w:ascii="黑体" w:hAnsi="黑体" w:eastAsia="黑体" w:cs="黑体"/>
          <w:color w:val="000000"/>
          <w:kern w:val="0"/>
          <w:sz w:val="30"/>
          <w:szCs w:val="30"/>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362B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21CA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429F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D52B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FAF2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CBFAF2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AAF757"/>
    <w:multiLevelType w:val="singleLevel"/>
    <w:tmpl w:val="F8AAF757"/>
    <w:lvl w:ilvl="0" w:tentative="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73AA9"/>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649DB"/>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B763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C207FEE"/>
    <w:rsid w:val="0F0213CB"/>
    <w:rsid w:val="17B9F1E5"/>
    <w:rsid w:val="1D97DEFF"/>
    <w:rsid w:val="1DFF72E5"/>
    <w:rsid w:val="1EFC6F07"/>
    <w:rsid w:val="2C955361"/>
    <w:rsid w:val="2FDF85B8"/>
    <w:rsid w:val="2FFFEE04"/>
    <w:rsid w:val="31553D32"/>
    <w:rsid w:val="33330AEE"/>
    <w:rsid w:val="34DF85B0"/>
    <w:rsid w:val="3A836644"/>
    <w:rsid w:val="3B8121B6"/>
    <w:rsid w:val="3B8F36BC"/>
    <w:rsid w:val="3DB316C2"/>
    <w:rsid w:val="491FF225"/>
    <w:rsid w:val="4B8F193B"/>
    <w:rsid w:val="4FFD214C"/>
    <w:rsid w:val="53BC37CF"/>
    <w:rsid w:val="5777D4F5"/>
    <w:rsid w:val="59DD8326"/>
    <w:rsid w:val="5C04759E"/>
    <w:rsid w:val="5CCF017E"/>
    <w:rsid w:val="5DEF592A"/>
    <w:rsid w:val="5FC6BB1E"/>
    <w:rsid w:val="5FF720F1"/>
    <w:rsid w:val="61B700D3"/>
    <w:rsid w:val="67FF5C0B"/>
    <w:rsid w:val="69EA7FA1"/>
    <w:rsid w:val="6EFC0924"/>
    <w:rsid w:val="6FB74722"/>
    <w:rsid w:val="6FEF8B7E"/>
    <w:rsid w:val="7085643A"/>
    <w:rsid w:val="71A6591B"/>
    <w:rsid w:val="737D59BA"/>
    <w:rsid w:val="751A5350"/>
    <w:rsid w:val="77976AE7"/>
    <w:rsid w:val="77C37683"/>
    <w:rsid w:val="78497994"/>
    <w:rsid w:val="796E1445"/>
    <w:rsid w:val="79D19834"/>
    <w:rsid w:val="79FF515B"/>
    <w:rsid w:val="7BF549BF"/>
    <w:rsid w:val="7C284E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字符"/>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标题1"/>
    <w:basedOn w:val="2"/>
    <w:autoRedefine/>
    <w:qFormat/>
    <w:uiPriority w:val="0"/>
    <w:rPr>
      <w:rFonts w:eastAsia="黑体"/>
    </w:rPr>
  </w:style>
  <w:style w:type="character" w:customStyle="1" w:styleId="21">
    <w:name w:val="MSG_EN_FONT_STYLE_NAME_TEMPLATE_ROLE_NUMBER MSG_EN_FONT_STYLE_NAME_BY_ROLE_TEXT 2 + MSG_EN_FONT_STYLE_MODIFER_SIZE 9"/>
    <w:basedOn w:val="22"/>
    <w:qFormat/>
    <w:uiPriority w:val="0"/>
    <w:rPr>
      <w:color w:val="000000"/>
      <w:spacing w:val="10"/>
      <w:w w:val="100"/>
      <w:position w:val="0"/>
      <w:sz w:val="18"/>
      <w:szCs w:val="18"/>
      <w:lang w:val="zh-CN" w:eastAsia="zh-CN" w:bidi="zh-CN"/>
    </w:rPr>
  </w:style>
  <w:style w:type="character" w:customStyle="1" w:styleId="22">
    <w:name w:val="MSG_EN_FONT_STYLE_NAME_TEMPLATE_ROLE_NUMBER MSG_EN_FONT_STYLE_NAME_BY_ROLE_TEXT 2_"/>
    <w:basedOn w:val="11"/>
    <w:link w:val="23"/>
    <w:qFormat/>
    <w:uiPriority w:val="0"/>
    <w:rPr>
      <w:rFonts w:ascii="宋体" w:hAnsi="宋体" w:eastAsia="宋体" w:cs="宋体"/>
      <w:sz w:val="30"/>
      <w:szCs w:val="30"/>
    </w:rPr>
  </w:style>
  <w:style w:type="paragraph" w:customStyle="1" w:styleId="23">
    <w:name w:val="MSG_EN_FONT_STYLE_NAME_TEMPLATE_ROLE_NUMBER MSG_EN_FONT_STYLE_NAME_BY_ROLE_TEXT 2"/>
    <w:basedOn w:val="1"/>
    <w:link w:val="22"/>
    <w:qFormat/>
    <w:uiPriority w:val="0"/>
    <w:pPr>
      <w:shd w:val="clear" w:color="auto" w:fill="FFFFFF"/>
      <w:spacing w:before="360" w:after="360" w:line="300" w:lineRule="exact"/>
      <w:ind w:hanging="960"/>
      <w:jc w:val="left"/>
    </w:pPr>
    <w:rPr>
      <w:rFonts w:ascii="宋体" w:hAnsi="宋体" w:eastAsia="宋体" w:cs="宋体"/>
      <w:sz w:val="30"/>
      <w:szCs w:val="3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1482</Words>
  <Characters>1675</Characters>
  <Lines>71</Lines>
  <Paragraphs>20</Paragraphs>
  <TotalTime>14</TotalTime>
  <ScaleCrop>false</ScaleCrop>
  <LinksUpToDate>false</LinksUpToDate>
  <CharactersWithSpaces>2047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2026-10-12T10:03:30Z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E9CB957064E04188A2B1ACE466D7FD3A_13</vt:lpwstr>
  </property>
  <property fmtid="{D5CDD505-2E9C-101B-9397-08002B2CF9AE}" pid="4" name="KSOTemplateDocerSaveRecord">
    <vt:lpwstr>eyJoZGlkIjoiYmNhMzk3N2UxYTNhZDM2NTdjMjlmNjdmNzcxMjg1ZjYiLCJ1c2VySWQiOiIxMTY4MDMxNTAxIn0=</vt:lpwstr>
  </property>
</Properties>
</file>